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3D49E" w14:textId="77777777" w:rsidR="00582F70" w:rsidRPr="008C1882" w:rsidRDefault="00582F70" w:rsidP="005572A6">
      <w:pPr>
        <w:spacing w:after="0" w:line="240" w:lineRule="auto"/>
        <w:jc w:val="center"/>
        <w:rPr>
          <w:rFonts w:ascii="Book Antiqua" w:hAnsi="Book Antiqua"/>
          <w:sz w:val="24"/>
          <w:szCs w:val="24"/>
        </w:rPr>
      </w:pPr>
    </w:p>
    <w:p w14:paraId="57209C65" w14:textId="77777777" w:rsidR="005572A6" w:rsidRPr="008C1882" w:rsidRDefault="005572A6" w:rsidP="005572A6">
      <w:pPr>
        <w:spacing w:after="0" w:line="240" w:lineRule="auto"/>
        <w:jc w:val="center"/>
        <w:rPr>
          <w:rFonts w:ascii="Book Antiqua" w:hAnsi="Book Antiqua"/>
          <w:sz w:val="24"/>
          <w:szCs w:val="24"/>
        </w:rPr>
      </w:pPr>
    </w:p>
    <w:p w14:paraId="191CB738" w14:textId="77777777" w:rsidR="005572A6" w:rsidRPr="008C1882" w:rsidRDefault="005572A6" w:rsidP="005572A6">
      <w:pPr>
        <w:spacing w:after="0" w:line="240" w:lineRule="auto"/>
        <w:jc w:val="center"/>
        <w:rPr>
          <w:rFonts w:ascii="Book Antiqua" w:hAnsi="Book Antiqua"/>
          <w:sz w:val="24"/>
          <w:szCs w:val="24"/>
        </w:rPr>
      </w:pPr>
    </w:p>
    <w:p w14:paraId="7DADA1BA" w14:textId="77777777" w:rsidR="005572A6" w:rsidRPr="008C1882" w:rsidRDefault="005572A6" w:rsidP="005572A6">
      <w:pPr>
        <w:spacing w:after="0" w:line="240" w:lineRule="auto"/>
        <w:jc w:val="center"/>
        <w:rPr>
          <w:rFonts w:ascii="Book Antiqua" w:hAnsi="Book Antiqua"/>
          <w:sz w:val="24"/>
          <w:szCs w:val="24"/>
        </w:rPr>
      </w:pPr>
    </w:p>
    <w:p w14:paraId="09225A3B" w14:textId="77777777" w:rsidR="005572A6" w:rsidRPr="008C1882" w:rsidRDefault="005572A6" w:rsidP="005572A6">
      <w:pPr>
        <w:spacing w:after="0" w:line="240" w:lineRule="auto"/>
        <w:jc w:val="center"/>
        <w:rPr>
          <w:rFonts w:ascii="Book Antiqua" w:hAnsi="Book Antiqua"/>
          <w:sz w:val="24"/>
          <w:szCs w:val="24"/>
        </w:rPr>
      </w:pPr>
    </w:p>
    <w:p w14:paraId="05EC2E14" w14:textId="77777777" w:rsidR="005572A6" w:rsidRPr="008C1882" w:rsidRDefault="005572A6" w:rsidP="005572A6">
      <w:pPr>
        <w:spacing w:after="0" w:line="240" w:lineRule="auto"/>
        <w:jc w:val="center"/>
        <w:rPr>
          <w:rFonts w:ascii="Book Antiqua" w:hAnsi="Book Antiqua"/>
          <w:sz w:val="24"/>
          <w:szCs w:val="24"/>
        </w:rPr>
      </w:pPr>
    </w:p>
    <w:p w14:paraId="50B061EC" w14:textId="77777777" w:rsidR="005572A6" w:rsidRPr="008C1882" w:rsidRDefault="005572A6" w:rsidP="005572A6">
      <w:pPr>
        <w:spacing w:after="0" w:line="240" w:lineRule="auto"/>
        <w:jc w:val="center"/>
        <w:rPr>
          <w:rFonts w:ascii="Book Antiqua" w:hAnsi="Book Antiqua"/>
          <w:sz w:val="24"/>
          <w:szCs w:val="24"/>
        </w:rPr>
      </w:pPr>
    </w:p>
    <w:p w14:paraId="19A97E77" w14:textId="77777777" w:rsidR="005572A6" w:rsidRPr="008C1882" w:rsidRDefault="005572A6" w:rsidP="005572A6">
      <w:pPr>
        <w:spacing w:after="0" w:line="240" w:lineRule="auto"/>
        <w:jc w:val="center"/>
        <w:rPr>
          <w:rFonts w:ascii="Book Antiqua" w:hAnsi="Book Antiqua"/>
          <w:sz w:val="24"/>
          <w:szCs w:val="24"/>
        </w:rPr>
      </w:pPr>
    </w:p>
    <w:p w14:paraId="16656C02" w14:textId="77777777" w:rsidR="005572A6" w:rsidRPr="008C1882" w:rsidRDefault="005572A6" w:rsidP="005572A6">
      <w:pPr>
        <w:spacing w:after="0" w:line="240" w:lineRule="auto"/>
        <w:jc w:val="center"/>
        <w:rPr>
          <w:rFonts w:ascii="Book Antiqua" w:hAnsi="Book Antiqua"/>
          <w:sz w:val="24"/>
          <w:szCs w:val="24"/>
        </w:rPr>
      </w:pPr>
    </w:p>
    <w:p w14:paraId="4BED34DC" w14:textId="77777777" w:rsidR="005572A6" w:rsidRPr="008C1882" w:rsidRDefault="005572A6" w:rsidP="005572A6">
      <w:pPr>
        <w:spacing w:after="0" w:line="240" w:lineRule="auto"/>
        <w:jc w:val="center"/>
        <w:rPr>
          <w:rFonts w:ascii="Book Antiqua" w:hAnsi="Book Antiqua"/>
          <w:sz w:val="24"/>
          <w:szCs w:val="24"/>
        </w:rPr>
      </w:pPr>
    </w:p>
    <w:p w14:paraId="6611B53C" w14:textId="77777777" w:rsidR="005572A6" w:rsidRPr="008C1882" w:rsidRDefault="005572A6" w:rsidP="005572A6">
      <w:pPr>
        <w:spacing w:after="0" w:line="240" w:lineRule="auto"/>
        <w:jc w:val="center"/>
        <w:rPr>
          <w:rFonts w:ascii="Book Antiqua" w:hAnsi="Book Antiqua"/>
          <w:sz w:val="24"/>
          <w:szCs w:val="24"/>
        </w:rPr>
      </w:pPr>
    </w:p>
    <w:p w14:paraId="5062AC6B" w14:textId="77777777" w:rsidR="005572A6" w:rsidRPr="008C1882" w:rsidRDefault="005572A6" w:rsidP="005572A6">
      <w:pPr>
        <w:spacing w:after="0" w:line="240" w:lineRule="auto"/>
        <w:jc w:val="center"/>
        <w:rPr>
          <w:rFonts w:ascii="Book Antiqua" w:hAnsi="Book Antiqua"/>
          <w:sz w:val="24"/>
          <w:szCs w:val="24"/>
        </w:rPr>
      </w:pPr>
    </w:p>
    <w:p w14:paraId="747D54BE" w14:textId="77777777" w:rsidR="005572A6" w:rsidRPr="008C1882" w:rsidRDefault="005572A6" w:rsidP="005572A6">
      <w:pPr>
        <w:spacing w:after="0" w:line="240" w:lineRule="auto"/>
        <w:jc w:val="center"/>
        <w:rPr>
          <w:rFonts w:ascii="Book Antiqua" w:hAnsi="Book Antiqua"/>
          <w:b/>
          <w:sz w:val="24"/>
          <w:szCs w:val="24"/>
        </w:rPr>
      </w:pPr>
    </w:p>
    <w:p w14:paraId="0728EEFE" w14:textId="77777777" w:rsidR="005572A6" w:rsidRPr="008C1882" w:rsidRDefault="005572A6" w:rsidP="005572A6">
      <w:pPr>
        <w:spacing w:after="0" w:line="240" w:lineRule="auto"/>
        <w:jc w:val="center"/>
        <w:rPr>
          <w:rFonts w:ascii="Book Antiqua" w:hAnsi="Book Antiqua"/>
          <w:b/>
          <w:sz w:val="24"/>
          <w:szCs w:val="24"/>
        </w:rPr>
      </w:pPr>
    </w:p>
    <w:p w14:paraId="48654464" w14:textId="77777777" w:rsidR="005572A6" w:rsidRPr="008C1882" w:rsidRDefault="005572A6" w:rsidP="005572A6">
      <w:pPr>
        <w:spacing w:after="0" w:line="240" w:lineRule="auto"/>
        <w:jc w:val="center"/>
        <w:rPr>
          <w:rFonts w:ascii="Book Antiqua" w:hAnsi="Book Antiqua"/>
          <w:b/>
          <w:sz w:val="24"/>
          <w:szCs w:val="24"/>
        </w:rPr>
      </w:pPr>
    </w:p>
    <w:p w14:paraId="6FFD7A0E" w14:textId="77777777" w:rsidR="005572A6" w:rsidRPr="0067128E" w:rsidRDefault="005572A6" w:rsidP="005572A6">
      <w:pPr>
        <w:spacing w:after="0" w:line="240" w:lineRule="auto"/>
        <w:jc w:val="center"/>
        <w:rPr>
          <w:rFonts w:ascii="Book Antiqua" w:hAnsi="Book Antiqua"/>
          <w:b/>
          <w:sz w:val="32"/>
          <w:szCs w:val="32"/>
        </w:rPr>
      </w:pPr>
      <w:r w:rsidRPr="0067128E">
        <w:rPr>
          <w:rFonts w:ascii="Book Antiqua" w:hAnsi="Book Antiqua"/>
          <w:b/>
          <w:sz w:val="32"/>
          <w:szCs w:val="32"/>
        </w:rPr>
        <w:t>COMMERCIAL BAR ASSOCIATION</w:t>
      </w:r>
    </w:p>
    <w:p w14:paraId="6A406119" w14:textId="77777777" w:rsidR="005572A6" w:rsidRPr="0067128E" w:rsidRDefault="005572A6" w:rsidP="005572A6">
      <w:pPr>
        <w:spacing w:after="0" w:line="240" w:lineRule="auto"/>
        <w:jc w:val="center"/>
        <w:rPr>
          <w:rFonts w:ascii="Book Antiqua" w:hAnsi="Book Antiqua"/>
          <w:b/>
          <w:sz w:val="32"/>
          <w:szCs w:val="32"/>
        </w:rPr>
      </w:pPr>
    </w:p>
    <w:p w14:paraId="42D9D938" w14:textId="77777777" w:rsidR="005572A6" w:rsidRPr="0067128E" w:rsidRDefault="005572A6" w:rsidP="005572A6">
      <w:pPr>
        <w:spacing w:after="0" w:line="240" w:lineRule="auto"/>
        <w:jc w:val="center"/>
        <w:rPr>
          <w:rFonts w:ascii="Book Antiqua" w:hAnsi="Book Antiqua"/>
          <w:b/>
          <w:sz w:val="32"/>
          <w:szCs w:val="32"/>
        </w:rPr>
      </w:pPr>
      <w:r w:rsidRPr="0067128E">
        <w:rPr>
          <w:rFonts w:ascii="Book Antiqua" w:hAnsi="Book Antiqua"/>
          <w:b/>
          <w:sz w:val="32"/>
          <w:szCs w:val="32"/>
        </w:rPr>
        <w:t>BREXIT REPORT</w:t>
      </w:r>
    </w:p>
    <w:p w14:paraId="3A6F0AB7" w14:textId="77777777" w:rsidR="005572A6" w:rsidRPr="0067128E" w:rsidRDefault="005572A6" w:rsidP="005572A6">
      <w:pPr>
        <w:spacing w:after="0" w:line="240" w:lineRule="auto"/>
        <w:jc w:val="center"/>
        <w:rPr>
          <w:rFonts w:ascii="Book Antiqua" w:hAnsi="Book Antiqua"/>
          <w:b/>
          <w:sz w:val="32"/>
          <w:szCs w:val="32"/>
        </w:rPr>
      </w:pPr>
    </w:p>
    <w:p w14:paraId="50FAF25C" w14:textId="77777777" w:rsidR="005572A6" w:rsidRPr="008C1882" w:rsidRDefault="005572A6" w:rsidP="005572A6">
      <w:pPr>
        <w:spacing w:after="0" w:line="240" w:lineRule="auto"/>
        <w:jc w:val="center"/>
        <w:rPr>
          <w:rFonts w:ascii="Book Antiqua" w:hAnsi="Book Antiqua"/>
          <w:b/>
          <w:sz w:val="24"/>
          <w:szCs w:val="24"/>
        </w:rPr>
      </w:pPr>
      <w:r w:rsidRPr="0067128E">
        <w:rPr>
          <w:rFonts w:ascii="Book Antiqua" w:hAnsi="Book Antiqua"/>
          <w:b/>
          <w:sz w:val="32"/>
          <w:szCs w:val="32"/>
        </w:rPr>
        <w:t>FINANCIAL SERVICES SUB-GROUP</w:t>
      </w:r>
    </w:p>
    <w:p w14:paraId="46309222" w14:textId="77777777" w:rsidR="005572A6" w:rsidRPr="008C1882" w:rsidRDefault="005572A6" w:rsidP="005572A6">
      <w:pPr>
        <w:spacing w:after="0" w:line="240" w:lineRule="auto"/>
        <w:rPr>
          <w:rFonts w:ascii="Book Antiqua" w:hAnsi="Book Antiqua"/>
          <w:b/>
          <w:sz w:val="24"/>
          <w:szCs w:val="24"/>
        </w:rPr>
      </w:pPr>
    </w:p>
    <w:p w14:paraId="5062EC9B" w14:textId="77777777" w:rsidR="005572A6" w:rsidRPr="008C1882" w:rsidRDefault="005572A6" w:rsidP="005572A6">
      <w:pPr>
        <w:spacing w:after="0" w:line="240" w:lineRule="auto"/>
        <w:rPr>
          <w:rFonts w:ascii="Book Antiqua" w:hAnsi="Book Antiqua"/>
          <w:b/>
          <w:sz w:val="24"/>
          <w:szCs w:val="24"/>
        </w:rPr>
      </w:pPr>
    </w:p>
    <w:p w14:paraId="7E1BD05E" w14:textId="77777777" w:rsidR="005572A6" w:rsidRPr="008C1882" w:rsidRDefault="005572A6" w:rsidP="005572A6">
      <w:pPr>
        <w:spacing w:after="0" w:line="240" w:lineRule="auto"/>
        <w:rPr>
          <w:rFonts w:ascii="Book Antiqua" w:hAnsi="Book Antiqua"/>
          <w:sz w:val="24"/>
          <w:szCs w:val="24"/>
        </w:rPr>
      </w:pPr>
    </w:p>
    <w:p w14:paraId="0C15B318" w14:textId="77777777" w:rsidR="005572A6" w:rsidRPr="008C1882" w:rsidRDefault="005572A6" w:rsidP="005572A6">
      <w:pPr>
        <w:spacing w:after="0" w:line="240" w:lineRule="auto"/>
        <w:rPr>
          <w:rFonts w:ascii="Book Antiqua" w:hAnsi="Book Antiqua"/>
          <w:sz w:val="24"/>
          <w:szCs w:val="24"/>
        </w:rPr>
      </w:pPr>
    </w:p>
    <w:p w14:paraId="37844675" w14:textId="77777777" w:rsidR="005572A6" w:rsidRPr="008C1882" w:rsidRDefault="005572A6" w:rsidP="005572A6">
      <w:pPr>
        <w:spacing w:after="0" w:line="240" w:lineRule="auto"/>
        <w:rPr>
          <w:rFonts w:ascii="Book Antiqua" w:hAnsi="Book Antiqua"/>
          <w:sz w:val="24"/>
          <w:szCs w:val="24"/>
        </w:rPr>
      </w:pPr>
      <w:r w:rsidRPr="008C1882">
        <w:rPr>
          <w:rFonts w:ascii="Book Antiqua" w:hAnsi="Book Antiqua"/>
          <w:sz w:val="24"/>
          <w:szCs w:val="24"/>
        </w:rPr>
        <w:br w:type="page"/>
      </w:r>
    </w:p>
    <w:p w14:paraId="72C624AB" w14:textId="731C55E8" w:rsidR="00030066" w:rsidRPr="00030066" w:rsidRDefault="00030066" w:rsidP="00030066">
      <w:pPr>
        <w:spacing w:after="0"/>
        <w:jc w:val="center"/>
        <w:rPr>
          <w:rFonts w:ascii="Book Antiqua" w:hAnsi="Book Antiqua"/>
          <w:b/>
          <w:sz w:val="24"/>
          <w:szCs w:val="24"/>
          <w:u w:val="single"/>
        </w:rPr>
      </w:pPr>
      <w:r>
        <w:rPr>
          <w:rFonts w:ascii="Book Antiqua" w:hAnsi="Book Antiqua"/>
          <w:b/>
          <w:sz w:val="24"/>
          <w:szCs w:val="24"/>
          <w:u w:val="single"/>
        </w:rPr>
        <w:lastRenderedPageBreak/>
        <w:t>TABLE OF CONTENTS</w:t>
      </w:r>
    </w:p>
    <w:p w14:paraId="3679A0D8" w14:textId="77777777" w:rsidR="00030066" w:rsidRDefault="00030066" w:rsidP="001053EF">
      <w:pPr>
        <w:spacing w:after="0"/>
        <w:rPr>
          <w:rFonts w:ascii="Book Antiqua" w:hAnsi="Book Antiqua"/>
          <w:b/>
          <w:sz w:val="24"/>
          <w:szCs w:val="24"/>
        </w:rPr>
      </w:pPr>
    </w:p>
    <w:p w14:paraId="688FCCD2" w14:textId="77777777" w:rsidR="005572A6" w:rsidRPr="008C1882" w:rsidRDefault="005572A6" w:rsidP="001053EF">
      <w:pPr>
        <w:spacing w:after="0"/>
        <w:rPr>
          <w:rFonts w:ascii="Book Antiqua" w:hAnsi="Book Antiqua"/>
          <w:b/>
          <w:sz w:val="24"/>
          <w:szCs w:val="24"/>
        </w:rPr>
      </w:pPr>
      <w:r w:rsidRPr="008C1882">
        <w:rPr>
          <w:rFonts w:ascii="Book Antiqua" w:hAnsi="Book Antiqua"/>
          <w:b/>
          <w:sz w:val="24"/>
          <w:szCs w:val="24"/>
        </w:rPr>
        <w:t>Authors / Contributors</w:t>
      </w:r>
      <w:r w:rsidR="00F84C5C" w:rsidRPr="008C1882">
        <w:rPr>
          <w:rFonts w:ascii="Book Antiqua" w:hAnsi="Book Antiqua"/>
          <w:b/>
          <w:sz w:val="24"/>
          <w:szCs w:val="24"/>
        </w:rPr>
        <w:tab/>
      </w:r>
      <w:r w:rsidR="00F84C5C" w:rsidRPr="008C1882">
        <w:rPr>
          <w:rFonts w:ascii="Book Antiqua" w:hAnsi="Book Antiqua"/>
          <w:b/>
          <w:sz w:val="24"/>
          <w:szCs w:val="24"/>
        </w:rPr>
        <w:tab/>
      </w:r>
      <w:r w:rsidR="00F84C5C" w:rsidRPr="008C1882">
        <w:rPr>
          <w:rFonts w:ascii="Book Antiqua" w:hAnsi="Book Antiqua"/>
          <w:b/>
          <w:sz w:val="24"/>
          <w:szCs w:val="24"/>
        </w:rPr>
        <w:tab/>
      </w:r>
      <w:r w:rsidR="00F84C5C" w:rsidRPr="008C1882">
        <w:rPr>
          <w:rFonts w:ascii="Book Antiqua" w:hAnsi="Book Antiqua"/>
          <w:b/>
          <w:sz w:val="24"/>
          <w:szCs w:val="24"/>
        </w:rPr>
        <w:tab/>
      </w:r>
      <w:r w:rsidR="00F84C5C" w:rsidRPr="008C1882">
        <w:rPr>
          <w:rFonts w:ascii="Book Antiqua" w:hAnsi="Book Antiqua"/>
          <w:b/>
          <w:sz w:val="24"/>
          <w:szCs w:val="24"/>
        </w:rPr>
        <w:tab/>
      </w:r>
      <w:r w:rsidR="00F84C5C" w:rsidRPr="008C1882">
        <w:rPr>
          <w:rFonts w:ascii="Book Antiqua" w:hAnsi="Book Antiqua"/>
          <w:b/>
          <w:sz w:val="24"/>
          <w:szCs w:val="24"/>
        </w:rPr>
        <w:tab/>
      </w:r>
      <w:r w:rsidR="00F84C5C" w:rsidRPr="008C1882">
        <w:rPr>
          <w:rFonts w:ascii="Book Antiqua" w:hAnsi="Book Antiqua"/>
          <w:b/>
          <w:sz w:val="24"/>
          <w:szCs w:val="24"/>
        </w:rPr>
        <w:tab/>
      </w:r>
      <w:r w:rsidR="00F84C5C" w:rsidRPr="008C1882">
        <w:rPr>
          <w:rFonts w:ascii="Book Antiqua" w:hAnsi="Book Antiqua"/>
          <w:b/>
          <w:sz w:val="24"/>
          <w:szCs w:val="24"/>
        </w:rPr>
        <w:tab/>
      </w:r>
      <w:r w:rsidR="00F84C5C" w:rsidRPr="008C1882">
        <w:rPr>
          <w:rFonts w:ascii="Book Antiqua" w:hAnsi="Book Antiqua"/>
          <w:b/>
          <w:sz w:val="24"/>
          <w:szCs w:val="24"/>
        </w:rPr>
        <w:tab/>
        <w:t xml:space="preserve"> </w:t>
      </w:r>
      <w:r w:rsidR="00F84C5C" w:rsidRPr="008C1882">
        <w:rPr>
          <w:rFonts w:ascii="Book Antiqua" w:hAnsi="Book Antiqua"/>
          <w:b/>
          <w:sz w:val="24"/>
          <w:szCs w:val="24"/>
        </w:rPr>
        <w:fldChar w:fldCharType="begin"/>
      </w:r>
      <w:r w:rsidR="00F84C5C" w:rsidRPr="008C1882">
        <w:rPr>
          <w:rFonts w:ascii="Book Antiqua" w:hAnsi="Book Antiqua"/>
          <w:b/>
          <w:sz w:val="24"/>
          <w:szCs w:val="24"/>
        </w:rPr>
        <w:instrText xml:space="preserve"> PAGEREF Authors \h </w:instrText>
      </w:r>
      <w:r w:rsidR="00F84C5C" w:rsidRPr="008C1882">
        <w:rPr>
          <w:rFonts w:ascii="Book Antiqua" w:hAnsi="Book Antiqua"/>
          <w:b/>
          <w:sz w:val="24"/>
          <w:szCs w:val="24"/>
        </w:rPr>
      </w:r>
      <w:r w:rsidR="00F84C5C" w:rsidRPr="008C1882">
        <w:rPr>
          <w:rFonts w:ascii="Book Antiqua" w:hAnsi="Book Antiqua"/>
          <w:b/>
          <w:sz w:val="24"/>
          <w:szCs w:val="24"/>
        </w:rPr>
        <w:fldChar w:fldCharType="separate"/>
      </w:r>
      <w:r w:rsidR="00F84C5C" w:rsidRPr="008C1882">
        <w:rPr>
          <w:rFonts w:ascii="Book Antiqua" w:hAnsi="Book Antiqua"/>
          <w:b/>
          <w:noProof/>
          <w:sz w:val="24"/>
          <w:szCs w:val="24"/>
        </w:rPr>
        <w:t>4</w:t>
      </w:r>
      <w:r w:rsidR="00F84C5C" w:rsidRPr="008C1882">
        <w:rPr>
          <w:rFonts w:ascii="Book Antiqua" w:hAnsi="Book Antiqua"/>
          <w:b/>
          <w:sz w:val="24"/>
          <w:szCs w:val="24"/>
        </w:rPr>
        <w:fldChar w:fldCharType="end"/>
      </w:r>
    </w:p>
    <w:p w14:paraId="6FB177B7" w14:textId="77777777" w:rsidR="001053EF" w:rsidRPr="008C1882" w:rsidRDefault="001053EF" w:rsidP="001053EF">
      <w:pPr>
        <w:spacing w:after="0"/>
        <w:rPr>
          <w:rFonts w:ascii="Book Antiqua" w:hAnsi="Book Antiqua"/>
          <w:sz w:val="24"/>
          <w:szCs w:val="24"/>
        </w:rPr>
      </w:pPr>
    </w:p>
    <w:p w14:paraId="0676F1C0" w14:textId="1BB3E18C" w:rsidR="005E73A3" w:rsidRPr="008C1882" w:rsidRDefault="005572A6" w:rsidP="005023D1">
      <w:pPr>
        <w:spacing w:after="0"/>
        <w:rPr>
          <w:rFonts w:ascii="Book Antiqua" w:hAnsi="Book Antiqua"/>
          <w:b/>
          <w:sz w:val="24"/>
          <w:szCs w:val="24"/>
        </w:rPr>
      </w:pPr>
      <w:r w:rsidRPr="008C1882">
        <w:rPr>
          <w:rFonts w:ascii="Book Antiqua" w:hAnsi="Book Antiqua"/>
          <w:b/>
          <w:sz w:val="24"/>
          <w:szCs w:val="24"/>
        </w:rPr>
        <w:t>Introduction</w:t>
      </w:r>
      <w:r w:rsidR="00F25BD0" w:rsidRPr="008C1882">
        <w:rPr>
          <w:rFonts w:ascii="Book Antiqua" w:hAnsi="Book Antiqua"/>
          <w:b/>
          <w:sz w:val="24"/>
          <w:szCs w:val="24"/>
        </w:rPr>
        <w:t xml:space="preserve"> and Overview</w:t>
      </w:r>
      <w:r w:rsidR="005023D1">
        <w:rPr>
          <w:rFonts w:ascii="Book Antiqua" w:hAnsi="Book Antiqua"/>
          <w:b/>
          <w:sz w:val="24"/>
          <w:szCs w:val="24"/>
        </w:rPr>
        <w:tab/>
      </w:r>
      <w:r w:rsidR="005023D1">
        <w:rPr>
          <w:rFonts w:ascii="Book Antiqua" w:hAnsi="Book Antiqua"/>
          <w:b/>
          <w:sz w:val="24"/>
          <w:szCs w:val="24"/>
        </w:rPr>
        <w:tab/>
      </w:r>
      <w:r w:rsidR="005023D1">
        <w:rPr>
          <w:rFonts w:ascii="Book Antiqua" w:hAnsi="Book Antiqua"/>
          <w:b/>
          <w:sz w:val="24"/>
          <w:szCs w:val="24"/>
        </w:rPr>
        <w:tab/>
      </w:r>
      <w:r w:rsidR="005023D1">
        <w:rPr>
          <w:rFonts w:ascii="Book Antiqua" w:hAnsi="Book Antiqua"/>
          <w:b/>
          <w:sz w:val="24"/>
          <w:szCs w:val="24"/>
        </w:rPr>
        <w:tab/>
      </w:r>
      <w:r w:rsidR="005023D1">
        <w:rPr>
          <w:rFonts w:ascii="Book Antiqua" w:hAnsi="Book Antiqua"/>
          <w:b/>
          <w:sz w:val="24"/>
          <w:szCs w:val="24"/>
        </w:rPr>
        <w:tab/>
      </w:r>
      <w:r w:rsidR="005023D1">
        <w:rPr>
          <w:rFonts w:ascii="Book Antiqua" w:hAnsi="Book Antiqua"/>
          <w:b/>
          <w:sz w:val="24"/>
          <w:szCs w:val="24"/>
        </w:rPr>
        <w:tab/>
      </w:r>
      <w:r w:rsidR="005023D1">
        <w:rPr>
          <w:rFonts w:ascii="Book Antiqua" w:hAnsi="Book Antiqua"/>
          <w:b/>
          <w:sz w:val="24"/>
          <w:szCs w:val="24"/>
        </w:rPr>
        <w:tab/>
      </w:r>
      <w:r w:rsidR="005023D1">
        <w:rPr>
          <w:rFonts w:ascii="Book Antiqua" w:hAnsi="Book Antiqua"/>
          <w:b/>
          <w:sz w:val="24"/>
          <w:szCs w:val="24"/>
        </w:rPr>
        <w:tab/>
        <w:t xml:space="preserve"> </w:t>
      </w:r>
      <w:r w:rsidR="0032620F">
        <w:rPr>
          <w:rFonts w:ascii="Book Antiqua" w:hAnsi="Book Antiqua"/>
          <w:b/>
          <w:sz w:val="24"/>
          <w:szCs w:val="24"/>
        </w:rPr>
        <w:fldChar w:fldCharType="begin"/>
      </w:r>
      <w:r w:rsidR="0032620F">
        <w:rPr>
          <w:rFonts w:ascii="Book Antiqua" w:hAnsi="Book Antiqua"/>
          <w:b/>
          <w:sz w:val="24"/>
          <w:szCs w:val="24"/>
        </w:rPr>
        <w:instrText xml:space="preserve"> PAGEREF _Ref345535705 \h </w:instrText>
      </w:r>
      <w:r w:rsidR="0032620F">
        <w:rPr>
          <w:rFonts w:ascii="Book Antiqua" w:hAnsi="Book Antiqua"/>
          <w:b/>
          <w:sz w:val="24"/>
          <w:szCs w:val="24"/>
        </w:rPr>
      </w:r>
      <w:r w:rsidR="0032620F">
        <w:rPr>
          <w:rFonts w:ascii="Book Antiqua" w:hAnsi="Book Antiqua"/>
          <w:b/>
          <w:sz w:val="24"/>
          <w:szCs w:val="24"/>
        </w:rPr>
        <w:fldChar w:fldCharType="separate"/>
      </w:r>
      <w:r w:rsidR="0032620F">
        <w:rPr>
          <w:rFonts w:ascii="Book Antiqua" w:hAnsi="Book Antiqua"/>
          <w:b/>
          <w:noProof/>
          <w:sz w:val="24"/>
          <w:szCs w:val="24"/>
        </w:rPr>
        <w:t>5</w:t>
      </w:r>
      <w:r w:rsidR="0032620F">
        <w:rPr>
          <w:rFonts w:ascii="Book Antiqua" w:hAnsi="Book Antiqua"/>
          <w:b/>
          <w:sz w:val="24"/>
          <w:szCs w:val="24"/>
        </w:rPr>
        <w:fldChar w:fldCharType="end"/>
      </w:r>
    </w:p>
    <w:p w14:paraId="1C251464" w14:textId="07B527B8" w:rsidR="005E73A3" w:rsidRPr="008C1882" w:rsidRDefault="005E73A3" w:rsidP="005E73A3">
      <w:pPr>
        <w:pStyle w:val="ListParagraph"/>
        <w:numPr>
          <w:ilvl w:val="0"/>
          <w:numId w:val="7"/>
        </w:numPr>
        <w:spacing w:after="0"/>
        <w:rPr>
          <w:rFonts w:ascii="Book Antiqua" w:hAnsi="Book Antiqua"/>
          <w:sz w:val="24"/>
          <w:szCs w:val="24"/>
        </w:rPr>
      </w:pPr>
      <w:r w:rsidRPr="008C1882">
        <w:rPr>
          <w:rFonts w:ascii="Book Antiqua" w:hAnsi="Book Antiqua"/>
          <w:sz w:val="24"/>
          <w:szCs w:val="24"/>
        </w:rPr>
        <w:t>The UK financial services sector</w:t>
      </w:r>
      <w:r w:rsidR="00B409D9">
        <w:rPr>
          <w:rFonts w:ascii="Book Antiqua" w:hAnsi="Book Antiqua"/>
          <w:sz w:val="24"/>
          <w:szCs w:val="24"/>
        </w:rPr>
        <w:tab/>
      </w:r>
      <w:r w:rsidR="00B409D9">
        <w:rPr>
          <w:rFonts w:ascii="Book Antiqua" w:hAnsi="Book Antiqua"/>
          <w:sz w:val="24"/>
          <w:szCs w:val="24"/>
        </w:rPr>
        <w:tab/>
      </w:r>
      <w:r w:rsidR="00B409D9">
        <w:rPr>
          <w:rFonts w:ascii="Book Antiqua" w:hAnsi="Book Antiqua"/>
          <w:sz w:val="24"/>
          <w:szCs w:val="24"/>
        </w:rPr>
        <w:tab/>
      </w:r>
      <w:r w:rsidR="00B409D9">
        <w:rPr>
          <w:rFonts w:ascii="Book Antiqua" w:hAnsi="Book Antiqua"/>
          <w:sz w:val="24"/>
          <w:szCs w:val="24"/>
        </w:rPr>
        <w:tab/>
      </w:r>
      <w:r w:rsidR="00B409D9">
        <w:rPr>
          <w:rFonts w:ascii="Book Antiqua" w:hAnsi="Book Antiqua"/>
          <w:sz w:val="24"/>
          <w:szCs w:val="24"/>
        </w:rPr>
        <w:tab/>
      </w:r>
      <w:r w:rsidR="00B409D9">
        <w:rPr>
          <w:rFonts w:ascii="Book Antiqua" w:hAnsi="Book Antiqua"/>
          <w:sz w:val="24"/>
          <w:szCs w:val="24"/>
        </w:rPr>
        <w:tab/>
        <w:t xml:space="preserve"> </w:t>
      </w:r>
    </w:p>
    <w:p w14:paraId="390EBADE" w14:textId="4C840937" w:rsidR="005E73A3" w:rsidRPr="008C1882" w:rsidRDefault="00652B8E" w:rsidP="005E73A3">
      <w:pPr>
        <w:pStyle w:val="ListParagraph"/>
        <w:numPr>
          <w:ilvl w:val="0"/>
          <w:numId w:val="7"/>
        </w:numPr>
        <w:spacing w:after="0"/>
        <w:rPr>
          <w:rFonts w:ascii="Book Antiqua" w:hAnsi="Book Antiqua"/>
          <w:sz w:val="24"/>
          <w:szCs w:val="24"/>
        </w:rPr>
      </w:pPr>
      <w:r w:rsidRPr="008C1882">
        <w:rPr>
          <w:rFonts w:ascii="Book Antiqua" w:hAnsi="Book Antiqua"/>
          <w:sz w:val="24"/>
          <w:szCs w:val="24"/>
        </w:rPr>
        <w:t>The legislative architecture</w:t>
      </w:r>
    </w:p>
    <w:p w14:paraId="575CEB4D" w14:textId="22BBC0B7" w:rsidR="00F512AE" w:rsidRPr="008C1882" w:rsidRDefault="00F512AE" w:rsidP="005E73A3">
      <w:pPr>
        <w:pStyle w:val="ListParagraph"/>
        <w:numPr>
          <w:ilvl w:val="0"/>
          <w:numId w:val="7"/>
        </w:numPr>
        <w:spacing w:after="0"/>
        <w:rPr>
          <w:rFonts w:ascii="Book Antiqua" w:hAnsi="Book Antiqua"/>
          <w:sz w:val="24"/>
          <w:szCs w:val="24"/>
        </w:rPr>
      </w:pPr>
      <w:r w:rsidRPr="008C1882">
        <w:rPr>
          <w:rFonts w:ascii="Book Antiqua" w:hAnsi="Book Antiqua"/>
          <w:sz w:val="24"/>
          <w:szCs w:val="24"/>
        </w:rPr>
        <w:t>Business as usual</w:t>
      </w:r>
    </w:p>
    <w:p w14:paraId="01EEE901" w14:textId="157106BB" w:rsidR="002151CA" w:rsidRPr="008C1882" w:rsidRDefault="002151CA" w:rsidP="005E73A3">
      <w:pPr>
        <w:pStyle w:val="ListParagraph"/>
        <w:numPr>
          <w:ilvl w:val="0"/>
          <w:numId w:val="7"/>
        </w:numPr>
        <w:spacing w:after="0"/>
        <w:rPr>
          <w:rFonts w:ascii="Book Antiqua" w:hAnsi="Book Antiqua"/>
          <w:sz w:val="24"/>
          <w:szCs w:val="24"/>
        </w:rPr>
      </w:pPr>
      <w:r w:rsidRPr="008C1882">
        <w:rPr>
          <w:rFonts w:ascii="Book Antiqua" w:hAnsi="Book Antiqua"/>
          <w:sz w:val="24"/>
          <w:szCs w:val="24"/>
        </w:rPr>
        <w:t>Transitional provisions</w:t>
      </w:r>
    </w:p>
    <w:p w14:paraId="5638A0F0" w14:textId="5582F67F" w:rsidR="00150390" w:rsidRPr="008C1882" w:rsidRDefault="00150390" w:rsidP="005E73A3">
      <w:pPr>
        <w:pStyle w:val="ListParagraph"/>
        <w:numPr>
          <w:ilvl w:val="0"/>
          <w:numId w:val="7"/>
        </w:numPr>
        <w:spacing w:after="0"/>
        <w:rPr>
          <w:rFonts w:ascii="Book Antiqua" w:hAnsi="Book Antiqua"/>
          <w:sz w:val="24"/>
          <w:szCs w:val="24"/>
        </w:rPr>
      </w:pPr>
      <w:r w:rsidRPr="008C1882">
        <w:rPr>
          <w:rFonts w:ascii="Book Antiqua" w:hAnsi="Book Antiqua"/>
          <w:sz w:val="24"/>
          <w:szCs w:val="24"/>
        </w:rPr>
        <w:t>Splitting domestic and wholesale financial services</w:t>
      </w:r>
    </w:p>
    <w:p w14:paraId="5D37B1E8" w14:textId="3CB0EBDF" w:rsidR="00150390" w:rsidRPr="008C1882" w:rsidRDefault="00150390" w:rsidP="005E73A3">
      <w:pPr>
        <w:pStyle w:val="ListParagraph"/>
        <w:numPr>
          <w:ilvl w:val="0"/>
          <w:numId w:val="7"/>
        </w:numPr>
        <w:spacing w:after="0"/>
        <w:rPr>
          <w:rFonts w:ascii="Book Antiqua" w:hAnsi="Book Antiqua"/>
          <w:sz w:val="24"/>
          <w:szCs w:val="24"/>
        </w:rPr>
      </w:pPr>
      <w:r w:rsidRPr="008C1882">
        <w:rPr>
          <w:rFonts w:ascii="Book Antiqua" w:hAnsi="Book Antiqua"/>
          <w:sz w:val="24"/>
          <w:szCs w:val="24"/>
        </w:rPr>
        <w:t>A London International Financial Centre</w:t>
      </w:r>
    </w:p>
    <w:p w14:paraId="064AA91C" w14:textId="1C168BA0" w:rsidR="005572A6" w:rsidRPr="00FD498B" w:rsidRDefault="007C794A" w:rsidP="001053EF">
      <w:pPr>
        <w:pStyle w:val="ListParagraph"/>
        <w:numPr>
          <w:ilvl w:val="0"/>
          <w:numId w:val="7"/>
        </w:numPr>
        <w:spacing w:after="0"/>
        <w:rPr>
          <w:rFonts w:ascii="Book Antiqua" w:hAnsi="Book Antiqua"/>
          <w:sz w:val="24"/>
          <w:szCs w:val="24"/>
        </w:rPr>
      </w:pPr>
      <w:r w:rsidRPr="008C1882">
        <w:rPr>
          <w:rFonts w:ascii="Book Antiqua" w:hAnsi="Book Antiqua"/>
          <w:sz w:val="24"/>
          <w:szCs w:val="24"/>
        </w:rPr>
        <w:t>An uncertain future</w:t>
      </w:r>
    </w:p>
    <w:p w14:paraId="794653F0" w14:textId="77777777" w:rsidR="001053EF" w:rsidRPr="008C1882" w:rsidRDefault="001053EF" w:rsidP="001053EF">
      <w:pPr>
        <w:spacing w:after="0"/>
        <w:rPr>
          <w:rFonts w:ascii="Book Antiqua" w:hAnsi="Book Antiqua"/>
          <w:sz w:val="24"/>
          <w:szCs w:val="24"/>
        </w:rPr>
      </w:pPr>
    </w:p>
    <w:p w14:paraId="5EE07201" w14:textId="77777777" w:rsidR="0032620F" w:rsidRDefault="00517BD0" w:rsidP="0032620F">
      <w:pPr>
        <w:spacing w:after="0" w:line="240" w:lineRule="auto"/>
        <w:rPr>
          <w:rFonts w:ascii="Book Antiqua" w:hAnsi="Book Antiqua"/>
          <w:b/>
          <w:sz w:val="24"/>
          <w:szCs w:val="24"/>
        </w:rPr>
      </w:pPr>
      <w:r w:rsidRPr="008C1882">
        <w:rPr>
          <w:rFonts w:ascii="Book Antiqua" w:hAnsi="Book Antiqua"/>
          <w:b/>
          <w:sz w:val="24"/>
          <w:szCs w:val="24"/>
        </w:rPr>
        <w:t xml:space="preserve">Chapter </w:t>
      </w:r>
      <w:r w:rsidR="002F4377" w:rsidRPr="008C1882">
        <w:rPr>
          <w:rFonts w:ascii="Book Antiqua" w:hAnsi="Book Antiqua"/>
          <w:b/>
          <w:sz w:val="24"/>
          <w:szCs w:val="24"/>
        </w:rPr>
        <w:t>1</w:t>
      </w:r>
      <w:r w:rsidRPr="008C1882">
        <w:rPr>
          <w:rFonts w:ascii="Book Antiqua" w:hAnsi="Book Antiqua"/>
          <w:b/>
          <w:sz w:val="24"/>
          <w:szCs w:val="24"/>
        </w:rPr>
        <w:t xml:space="preserve"> -</w:t>
      </w:r>
      <w:r w:rsidR="002F4377" w:rsidRPr="008C1882">
        <w:rPr>
          <w:rFonts w:ascii="Book Antiqua" w:hAnsi="Book Antiqua"/>
          <w:b/>
          <w:sz w:val="24"/>
          <w:szCs w:val="24"/>
        </w:rPr>
        <w:t xml:space="preserve"> </w:t>
      </w:r>
      <w:r w:rsidR="00EB7A0B" w:rsidRPr="008C1882">
        <w:rPr>
          <w:rFonts w:ascii="Book Antiqua" w:hAnsi="Book Antiqua"/>
          <w:b/>
          <w:sz w:val="24"/>
          <w:szCs w:val="24"/>
        </w:rPr>
        <w:t xml:space="preserve">The </w:t>
      </w:r>
      <w:proofErr w:type="spellStart"/>
      <w:r w:rsidR="00EB7A0B" w:rsidRPr="008C1882">
        <w:rPr>
          <w:rFonts w:ascii="Book Antiqua" w:hAnsi="Book Antiqua"/>
          <w:b/>
          <w:sz w:val="24"/>
          <w:szCs w:val="24"/>
        </w:rPr>
        <w:t>Passporting</w:t>
      </w:r>
      <w:proofErr w:type="spellEnd"/>
      <w:r w:rsidR="00EB7A0B" w:rsidRPr="008C1882">
        <w:rPr>
          <w:rFonts w:ascii="Book Antiqua" w:hAnsi="Book Antiqua"/>
          <w:b/>
          <w:sz w:val="24"/>
          <w:szCs w:val="24"/>
        </w:rPr>
        <w:t xml:space="preserve"> and </w:t>
      </w:r>
      <w:r w:rsidR="002B2BAA" w:rsidRPr="008C1882">
        <w:rPr>
          <w:rFonts w:ascii="Book Antiqua" w:hAnsi="Book Antiqua"/>
          <w:b/>
          <w:sz w:val="24"/>
          <w:szCs w:val="24"/>
        </w:rPr>
        <w:t xml:space="preserve">Equivalence Regimes: </w:t>
      </w:r>
    </w:p>
    <w:p w14:paraId="0DF7A977" w14:textId="00DE6162" w:rsidR="00D00D51" w:rsidRPr="008C1882" w:rsidRDefault="002B2BAA" w:rsidP="0032620F">
      <w:pPr>
        <w:spacing w:after="0"/>
        <w:rPr>
          <w:rFonts w:ascii="Book Antiqua" w:hAnsi="Book Antiqua"/>
          <w:b/>
          <w:sz w:val="24"/>
          <w:szCs w:val="24"/>
        </w:rPr>
      </w:pPr>
      <w:r w:rsidRPr="008C1882">
        <w:rPr>
          <w:rFonts w:ascii="Book Antiqua" w:hAnsi="Book Antiqua"/>
          <w:b/>
          <w:sz w:val="24"/>
          <w:szCs w:val="24"/>
        </w:rPr>
        <w:t>Concepts and Operation</w:t>
      </w:r>
      <w:r w:rsidR="0032620F">
        <w:rPr>
          <w:rFonts w:ascii="Book Antiqua" w:hAnsi="Book Antiqua"/>
          <w:b/>
          <w:sz w:val="24"/>
          <w:szCs w:val="24"/>
        </w:rPr>
        <w:tab/>
      </w:r>
      <w:r w:rsidR="0032620F">
        <w:rPr>
          <w:rFonts w:ascii="Book Antiqua" w:hAnsi="Book Antiqua"/>
          <w:b/>
          <w:sz w:val="24"/>
          <w:szCs w:val="24"/>
        </w:rPr>
        <w:tab/>
      </w:r>
      <w:r w:rsidR="0032620F">
        <w:rPr>
          <w:rFonts w:ascii="Book Antiqua" w:hAnsi="Book Antiqua"/>
          <w:b/>
          <w:sz w:val="24"/>
          <w:szCs w:val="24"/>
        </w:rPr>
        <w:tab/>
      </w:r>
      <w:r w:rsidR="0032620F">
        <w:rPr>
          <w:rFonts w:ascii="Book Antiqua" w:hAnsi="Book Antiqua"/>
          <w:b/>
          <w:sz w:val="24"/>
          <w:szCs w:val="24"/>
        </w:rPr>
        <w:tab/>
      </w:r>
      <w:r w:rsidR="0032620F">
        <w:rPr>
          <w:rFonts w:ascii="Book Antiqua" w:hAnsi="Book Antiqua"/>
          <w:b/>
          <w:sz w:val="24"/>
          <w:szCs w:val="24"/>
        </w:rPr>
        <w:tab/>
      </w:r>
      <w:r w:rsidR="0032620F">
        <w:rPr>
          <w:rFonts w:ascii="Book Antiqua" w:hAnsi="Book Antiqua"/>
          <w:b/>
          <w:sz w:val="24"/>
          <w:szCs w:val="24"/>
        </w:rPr>
        <w:tab/>
      </w:r>
      <w:r w:rsidR="0032620F">
        <w:rPr>
          <w:rFonts w:ascii="Book Antiqua" w:hAnsi="Book Antiqua"/>
          <w:b/>
          <w:sz w:val="24"/>
          <w:szCs w:val="24"/>
        </w:rPr>
        <w:tab/>
      </w:r>
      <w:r w:rsidR="0032620F">
        <w:rPr>
          <w:rFonts w:ascii="Book Antiqua" w:hAnsi="Book Antiqua"/>
          <w:b/>
          <w:sz w:val="24"/>
          <w:szCs w:val="24"/>
        </w:rPr>
        <w:tab/>
      </w:r>
      <w:r w:rsidR="0032620F">
        <w:rPr>
          <w:rFonts w:ascii="Book Antiqua" w:hAnsi="Book Antiqua"/>
          <w:b/>
          <w:sz w:val="24"/>
          <w:szCs w:val="24"/>
        </w:rPr>
        <w:tab/>
        <w:t xml:space="preserve"> </w:t>
      </w:r>
      <w:r w:rsidR="00F25CD7">
        <w:rPr>
          <w:rFonts w:ascii="Book Antiqua" w:hAnsi="Book Antiqua"/>
          <w:b/>
          <w:sz w:val="24"/>
          <w:szCs w:val="24"/>
        </w:rPr>
        <w:fldChar w:fldCharType="begin"/>
      </w:r>
      <w:r w:rsidR="00F25CD7">
        <w:rPr>
          <w:rFonts w:ascii="Book Antiqua" w:hAnsi="Book Antiqua"/>
          <w:b/>
          <w:sz w:val="24"/>
          <w:szCs w:val="24"/>
        </w:rPr>
        <w:instrText xml:space="preserve"> PAGEREF _Ref345535780 \h </w:instrText>
      </w:r>
      <w:r w:rsidR="00F25CD7">
        <w:rPr>
          <w:rFonts w:ascii="Book Antiqua" w:hAnsi="Book Antiqua"/>
          <w:b/>
          <w:sz w:val="24"/>
          <w:szCs w:val="24"/>
        </w:rPr>
      </w:r>
      <w:r w:rsidR="00F25CD7">
        <w:rPr>
          <w:rFonts w:ascii="Book Antiqua" w:hAnsi="Book Antiqua"/>
          <w:b/>
          <w:sz w:val="24"/>
          <w:szCs w:val="24"/>
        </w:rPr>
        <w:fldChar w:fldCharType="separate"/>
      </w:r>
      <w:r w:rsidR="00F25CD7">
        <w:rPr>
          <w:rFonts w:ascii="Book Antiqua" w:hAnsi="Book Antiqua"/>
          <w:b/>
          <w:noProof/>
          <w:sz w:val="24"/>
          <w:szCs w:val="24"/>
        </w:rPr>
        <w:t>13</w:t>
      </w:r>
      <w:r w:rsidR="00F25CD7">
        <w:rPr>
          <w:rFonts w:ascii="Book Antiqua" w:hAnsi="Book Antiqua"/>
          <w:b/>
          <w:sz w:val="24"/>
          <w:szCs w:val="24"/>
        </w:rPr>
        <w:fldChar w:fldCharType="end"/>
      </w:r>
    </w:p>
    <w:p w14:paraId="0D4C94F8" w14:textId="77777777" w:rsidR="00D00D51" w:rsidRPr="008C1882" w:rsidRDefault="00EB7A0B" w:rsidP="00D00D51">
      <w:pPr>
        <w:pStyle w:val="ListParagraph"/>
        <w:numPr>
          <w:ilvl w:val="0"/>
          <w:numId w:val="8"/>
        </w:numPr>
        <w:spacing w:after="0"/>
        <w:rPr>
          <w:rFonts w:ascii="Book Antiqua" w:hAnsi="Book Antiqua"/>
          <w:sz w:val="24"/>
          <w:szCs w:val="24"/>
        </w:rPr>
      </w:pPr>
      <w:r w:rsidRPr="008C1882">
        <w:rPr>
          <w:rFonts w:ascii="Book Antiqua" w:hAnsi="Book Antiqua"/>
          <w:sz w:val="24"/>
          <w:szCs w:val="24"/>
        </w:rPr>
        <w:t xml:space="preserve">The EEA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Regime</w:t>
      </w:r>
    </w:p>
    <w:p w14:paraId="1CE1F3D4" w14:textId="77777777" w:rsidR="00D00D51" w:rsidRPr="008C1882" w:rsidRDefault="00EB7A0B" w:rsidP="00D00D51">
      <w:pPr>
        <w:pStyle w:val="ListParagraph"/>
        <w:numPr>
          <w:ilvl w:val="0"/>
          <w:numId w:val="8"/>
        </w:numPr>
        <w:spacing w:after="0"/>
        <w:rPr>
          <w:rFonts w:ascii="Book Antiqua" w:hAnsi="Book Antiqua"/>
          <w:sz w:val="24"/>
          <w:szCs w:val="24"/>
        </w:rPr>
      </w:pPr>
      <w:r w:rsidRPr="008C1882">
        <w:rPr>
          <w:rFonts w:ascii="Book Antiqua" w:hAnsi="Book Antiqua"/>
          <w:sz w:val="24"/>
          <w:szCs w:val="24"/>
        </w:rPr>
        <w:t>Third Country Equivalence Regimes</w:t>
      </w:r>
    </w:p>
    <w:p w14:paraId="54E16E16" w14:textId="77777777" w:rsidR="00D00D51" w:rsidRPr="008C1882" w:rsidRDefault="00EB7A0B" w:rsidP="00D00D51">
      <w:pPr>
        <w:pStyle w:val="ListParagraph"/>
        <w:numPr>
          <w:ilvl w:val="0"/>
          <w:numId w:val="8"/>
        </w:numPr>
        <w:spacing w:after="0"/>
        <w:rPr>
          <w:rFonts w:ascii="Book Antiqua" w:hAnsi="Book Antiqua"/>
          <w:sz w:val="24"/>
          <w:szCs w:val="24"/>
        </w:rPr>
      </w:pPr>
      <w:r w:rsidRPr="008C1882">
        <w:rPr>
          <w:rFonts w:ascii="Book Antiqua" w:hAnsi="Book Antiqua"/>
          <w:sz w:val="24"/>
          <w:szCs w:val="24"/>
        </w:rPr>
        <w:t xml:space="preserve">Impact of a “soft” </w:t>
      </w:r>
      <w:proofErr w:type="spellStart"/>
      <w:r w:rsidRPr="008C1882">
        <w:rPr>
          <w:rFonts w:ascii="Book Antiqua" w:hAnsi="Book Antiqua"/>
          <w:sz w:val="24"/>
          <w:szCs w:val="24"/>
        </w:rPr>
        <w:t>Brexit</w:t>
      </w:r>
      <w:proofErr w:type="spellEnd"/>
    </w:p>
    <w:p w14:paraId="28E90576" w14:textId="77777777" w:rsidR="00D00D51" w:rsidRPr="008C1882" w:rsidRDefault="00EB7A0B" w:rsidP="00D00D51">
      <w:pPr>
        <w:pStyle w:val="ListParagraph"/>
        <w:numPr>
          <w:ilvl w:val="0"/>
          <w:numId w:val="8"/>
        </w:numPr>
        <w:spacing w:after="0"/>
        <w:rPr>
          <w:rFonts w:ascii="Book Antiqua" w:hAnsi="Book Antiqua"/>
          <w:sz w:val="24"/>
          <w:szCs w:val="24"/>
        </w:rPr>
      </w:pPr>
      <w:r w:rsidRPr="008C1882">
        <w:rPr>
          <w:rFonts w:ascii="Book Antiqua" w:hAnsi="Book Antiqua"/>
          <w:sz w:val="24"/>
          <w:szCs w:val="24"/>
        </w:rPr>
        <w:t xml:space="preserve">Impact of a “hard” </w:t>
      </w:r>
      <w:proofErr w:type="spellStart"/>
      <w:r w:rsidRPr="008C1882">
        <w:rPr>
          <w:rFonts w:ascii="Book Antiqua" w:hAnsi="Book Antiqua"/>
          <w:sz w:val="24"/>
          <w:szCs w:val="24"/>
        </w:rPr>
        <w:t>Brexit</w:t>
      </w:r>
      <w:proofErr w:type="spellEnd"/>
    </w:p>
    <w:p w14:paraId="5AC46843" w14:textId="77777777" w:rsidR="00D00D51" w:rsidRPr="008C1882" w:rsidRDefault="00EB7A0B" w:rsidP="00D00D51">
      <w:pPr>
        <w:pStyle w:val="ListParagraph"/>
        <w:numPr>
          <w:ilvl w:val="0"/>
          <w:numId w:val="8"/>
        </w:numPr>
        <w:spacing w:after="0"/>
        <w:rPr>
          <w:rFonts w:ascii="Book Antiqua" w:hAnsi="Book Antiqua"/>
          <w:sz w:val="24"/>
          <w:szCs w:val="24"/>
        </w:rPr>
      </w:pPr>
      <w:r w:rsidRPr="008C1882">
        <w:rPr>
          <w:rFonts w:ascii="Book Antiqua" w:hAnsi="Book Antiqua"/>
          <w:sz w:val="24"/>
          <w:szCs w:val="24"/>
        </w:rPr>
        <w:t>Expanded third country equivalence?</w:t>
      </w:r>
    </w:p>
    <w:p w14:paraId="4FBC965C" w14:textId="77777777" w:rsidR="00D00D51" w:rsidRPr="008C1882" w:rsidRDefault="00EB7A0B" w:rsidP="00D00D51">
      <w:pPr>
        <w:pStyle w:val="ListParagraph"/>
        <w:numPr>
          <w:ilvl w:val="0"/>
          <w:numId w:val="8"/>
        </w:numPr>
        <w:spacing w:after="0"/>
        <w:rPr>
          <w:rFonts w:ascii="Book Antiqua" w:hAnsi="Book Antiqua"/>
          <w:sz w:val="24"/>
          <w:szCs w:val="24"/>
        </w:rPr>
      </w:pPr>
      <w:r w:rsidRPr="008C1882">
        <w:rPr>
          <w:rFonts w:ascii="Book Antiqua" w:hAnsi="Book Antiqua"/>
          <w:sz w:val="24"/>
          <w:szCs w:val="24"/>
        </w:rPr>
        <w:t>Bespoke Bilateral Agreements?</w:t>
      </w:r>
      <w:bookmarkStart w:id="0" w:name="co_anchor_a932095_1"/>
      <w:bookmarkEnd w:id="0"/>
    </w:p>
    <w:p w14:paraId="6E23A5DF" w14:textId="77777777" w:rsidR="00D00D51" w:rsidRPr="008C1882" w:rsidRDefault="00EB7A0B" w:rsidP="00D00D51">
      <w:pPr>
        <w:pStyle w:val="ListParagraph"/>
        <w:numPr>
          <w:ilvl w:val="0"/>
          <w:numId w:val="8"/>
        </w:numPr>
        <w:spacing w:after="0"/>
        <w:rPr>
          <w:rFonts w:ascii="Book Antiqua" w:hAnsi="Book Antiqua"/>
          <w:sz w:val="24"/>
          <w:szCs w:val="24"/>
        </w:rPr>
      </w:pPr>
      <w:r w:rsidRPr="008C1882">
        <w:rPr>
          <w:rFonts w:ascii="Book Antiqua" w:hAnsi="Book Antiqua"/>
          <w:sz w:val="24"/>
          <w:szCs w:val="24"/>
        </w:rPr>
        <w:t>Extra-EU frameworks?</w:t>
      </w:r>
    </w:p>
    <w:p w14:paraId="3DFBBC87" w14:textId="689F41FD" w:rsidR="00EB7A0B" w:rsidRPr="008C1882" w:rsidRDefault="00EB7A0B" w:rsidP="00D00D51">
      <w:pPr>
        <w:pStyle w:val="ListParagraph"/>
        <w:numPr>
          <w:ilvl w:val="0"/>
          <w:numId w:val="8"/>
        </w:numPr>
        <w:spacing w:after="0"/>
        <w:rPr>
          <w:rFonts w:ascii="Book Antiqua" w:hAnsi="Book Antiqua"/>
          <w:sz w:val="24"/>
          <w:szCs w:val="24"/>
        </w:rPr>
      </w:pPr>
      <w:r w:rsidRPr="008C1882">
        <w:rPr>
          <w:rFonts w:ascii="Book Antiqua" w:hAnsi="Book Antiqua"/>
          <w:sz w:val="24"/>
          <w:szCs w:val="24"/>
        </w:rPr>
        <w:t xml:space="preserve">Recommendations in the Event of a “Hard” </w:t>
      </w:r>
      <w:proofErr w:type="spellStart"/>
      <w:r w:rsidRPr="008C1882">
        <w:rPr>
          <w:rFonts w:ascii="Book Antiqua" w:hAnsi="Book Antiqua"/>
          <w:sz w:val="24"/>
          <w:szCs w:val="24"/>
        </w:rPr>
        <w:t>Brexit</w:t>
      </w:r>
      <w:proofErr w:type="spellEnd"/>
    </w:p>
    <w:p w14:paraId="7D7C6347" w14:textId="77777777" w:rsidR="00EB7A0B" w:rsidRPr="008C1882" w:rsidRDefault="00EB7A0B" w:rsidP="00EB7A0B">
      <w:pPr>
        <w:spacing w:after="0"/>
        <w:ind w:firstLine="720"/>
        <w:rPr>
          <w:rFonts w:ascii="Book Antiqua" w:hAnsi="Book Antiqua"/>
          <w:sz w:val="24"/>
          <w:szCs w:val="24"/>
        </w:rPr>
      </w:pPr>
    </w:p>
    <w:p w14:paraId="664E95A7" w14:textId="23F0B59C" w:rsidR="00B23DCF" w:rsidRPr="008C1882" w:rsidRDefault="00517BD0" w:rsidP="00B23DCF">
      <w:pPr>
        <w:spacing w:after="0"/>
        <w:rPr>
          <w:rFonts w:ascii="Book Antiqua" w:hAnsi="Book Antiqua"/>
          <w:b/>
          <w:sz w:val="24"/>
          <w:szCs w:val="24"/>
        </w:rPr>
      </w:pPr>
      <w:r w:rsidRPr="008C1882">
        <w:rPr>
          <w:rFonts w:ascii="Book Antiqua" w:hAnsi="Book Antiqua"/>
          <w:b/>
          <w:sz w:val="24"/>
          <w:szCs w:val="24"/>
        </w:rPr>
        <w:t xml:space="preserve">Chapter 2 </w:t>
      </w:r>
      <w:r w:rsidR="00BA0361" w:rsidRPr="008C1882">
        <w:rPr>
          <w:rFonts w:ascii="Book Antiqua" w:hAnsi="Book Antiqua"/>
          <w:b/>
          <w:sz w:val="24"/>
          <w:szCs w:val="24"/>
        </w:rPr>
        <w:t>–</w:t>
      </w:r>
      <w:r w:rsidR="005316B3" w:rsidRPr="008C1882">
        <w:rPr>
          <w:rFonts w:ascii="Book Antiqua" w:hAnsi="Book Antiqua"/>
          <w:b/>
          <w:sz w:val="24"/>
          <w:szCs w:val="24"/>
        </w:rPr>
        <w:t xml:space="preserve"> </w:t>
      </w:r>
      <w:proofErr w:type="spellStart"/>
      <w:r w:rsidR="00BA0361" w:rsidRPr="008C1882">
        <w:rPr>
          <w:rFonts w:ascii="Book Antiqua" w:hAnsi="Book Antiqua"/>
          <w:b/>
          <w:i/>
          <w:sz w:val="24"/>
          <w:szCs w:val="24"/>
        </w:rPr>
        <w:t>MiFID</w:t>
      </w:r>
      <w:proofErr w:type="spellEnd"/>
      <w:r w:rsidR="00BA0361" w:rsidRPr="008C1882">
        <w:rPr>
          <w:rFonts w:ascii="Book Antiqua" w:hAnsi="Book Antiqua"/>
          <w:b/>
          <w:sz w:val="24"/>
          <w:szCs w:val="24"/>
        </w:rPr>
        <w:t xml:space="preserve">, </w:t>
      </w:r>
      <w:proofErr w:type="spellStart"/>
      <w:r w:rsidR="00BA0361" w:rsidRPr="008C1882">
        <w:rPr>
          <w:rFonts w:ascii="Book Antiqua" w:hAnsi="Book Antiqua"/>
          <w:b/>
          <w:i/>
          <w:sz w:val="24"/>
          <w:szCs w:val="24"/>
        </w:rPr>
        <w:t>MiFID</w:t>
      </w:r>
      <w:proofErr w:type="spellEnd"/>
      <w:r w:rsidR="00BA0361" w:rsidRPr="008C1882">
        <w:rPr>
          <w:rFonts w:ascii="Book Antiqua" w:hAnsi="Book Antiqua"/>
          <w:b/>
          <w:i/>
          <w:sz w:val="24"/>
          <w:szCs w:val="24"/>
        </w:rPr>
        <w:t xml:space="preserve"> II</w:t>
      </w:r>
      <w:r w:rsidR="00BA0361" w:rsidRPr="008C1882">
        <w:rPr>
          <w:rFonts w:ascii="Book Antiqua" w:hAnsi="Book Antiqua"/>
          <w:b/>
          <w:sz w:val="24"/>
          <w:szCs w:val="24"/>
        </w:rPr>
        <w:t xml:space="preserve"> and </w:t>
      </w:r>
      <w:proofErr w:type="spellStart"/>
      <w:r w:rsidR="00BA0361" w:rsidRPr="008C1882">
        <w:rPr>
          <w:rFonts w:ascii="Book Antiqua" w:hAnsi="Book Antiqua"/>
          <w:b/>
          <w:i/>
          <w:sz w:val="24"/>
          <w:szCs w:val="24"/>
        </w:rPr>
        <w:t>MiFIR</w:t>
      </w:r>
      <w:proofErr w:type="spellEnd"/>
      <w:r w:rsidR="005316B3" w:rsidRPr="008C1882">
        <w:rPr>
          <w:rFonts w:ascii="Book Antiqua" w:hAnsi="Book Antiqua"/>
          <w:b/>
          <w:sz w:val="24"/>
          <w:szCs w:val="24"/>
        </w:rPr>
        <w:t xml:space="preserve">: (1) </w:t>
      </w:r>
      <w:proofErr w:type="spellStart"/>
      <w:r w:rsidR="005316B3" w:rsidRPr="008C1882">
        <w:rPr>
          <w:rFonts w:ascii="Book Antiqua" w:hAnsi="Book Antiqua"/>
          <w:b/>
          <w:sz w:val="24"/>
          <w:szCs w:val="24"/>
        </w:rPr>
        <w:t>Passporting</w:t>
      </w:r>
      <w:proofErr w:type="spellEnd"/>
      <w:r w:rsidR="005316B3" w:rsidRPr="008C1882">
        <w:rPr>
          <w:rFonts w:ascii="Book Antiqua" w:hAnsi="Book Antiqua"/>
          <w:b/>
          <w:sz w:val="24"/>
          <w:szCs w:val="24"/>
        </w:rPr>
        <w:t xml:space="preserve"> and Equivalence Regimes</w:t>
      </w:r>
      <w:r w:rsidR="009A25D3" w:rsidRPr="008C1882">
        <w:rPr>
          <w:rFonts w:ascii="Book Antiqua" w:hAnsi="Book Antiqua"/>
          <w:b/>
          <w:sz w:val="24"/>
          <w:szCs w:val="24"/>
        </w:rPr>
        <w:t xml:space="preserve">; (2) </w:t>
      </w:r>
      <w:proofErr w:type="spellStart"/>
      <w:r w:rsidR="00277888" w:rsidRPr="008C1882">
        <w:rPr>
          <w:rFonts w:ascii="Book Antiqua" w:hAnsi="Book Antiqua"/>
          <w:b/>
          <w:sz w:val="24"/>
          <w:szCs w:val="24"/>
        </w:rPr>
        <w:t>Brexit</w:t>
      </w:r>
      <w:proofErr w:type="spellEnd"/>
      <w:r w:rsidR="00277888" w:rsidRPr="008C1882">
        <w:rPr>
          <w:rFonts w:ascii="Book Antiqua" w:hAnsi="Book Antiqua"/>
          <w:b/>
          <w:sz w:val="24"/>
          <w:szCs w:val="24"/>
        </w:rPr>
        <w:t xml:space="preserve"> </w:t>
      </w:r>
      <w:r w:rsidR="00E104BB">
        <w:rPr>
          <w:rFonts w:ascii="Book Antiqua" w:hAnsi="Book Antiqua"/>
          <w:b/>
          <w:sz w:val="24"/>
          <w:szCs w:val="24"/>
        </w:rPr>
        <w:t xml:space="preserve">effect </w:t>
      </w:r>
      <w:r w:rsidR="009A25D3" w:rsidRPr="008C1882">
        <w:rPr>
          <w:rFonts w:ascii="Book Antiqua" w:hAnsi="Book Antiqua"/>
          <w:b/>
          <w:sz w:val="24"/>
          <w:szCs w:val="24"/>
        </w:rPr>
        <w:t xml:space="preserve">on </w:t>
      </w:r>
      <w:r w:rsidR="00E104BB">
        <w:rPr>
          <w:rFonts w:ascii="Book Antiqua" w:hAnsi="Book Antiqua"/>
          <w:b/>
          <w:sz w:val="24"/>
          <w:szCs w:val="24"/>
        </w:rPr>
        <w:t xml:space="preserve">UK </w:t>
      </w:r>
      <w:r w:rsidR="009A25D3" w:rsidRPr="008C1882">
        <w:rPr>
          <w:rFonts w:ascii="Book Antiqua" w:hAnsi="Book Antiqua"/>
          <w:b/>
          <w:sz w:val="24"/>
          <w:szCs w:val="24"/>
        </w:rPr>
        <w:t xml:space="preserve">financial services dispute resolution </w:t>
      </w:r>
      <w:r w:rsidR="00E104BB">
        <w:rPr>
          <w:rFonts w:ascii="Book Antiqua" w:hAnsi="Book Antiqua"/>
          <w:b/>
          <w:sz w:val="24"/>
          <w:szCs w:val="24"/>
        </w:rPr>
        <w:tab/>
      </w:r>
      <w:r w:rsidR="00E104BB">
        <w:rPr>
          <w:rFonts w:ascii="Book Antiqua" w:hAnsi="Book Antiqua"/>
          <w:b/>
          <w:sz w:val="24"/>
          <w:szCs w:val="24"/>
        </w:rPr>
        <w:tab/>
        <w:t xml:space="preserve"> </w:t>
      </w:r>
      <w:r w:rsidR="006002BE">
        <w:rPr>
          <w:rFonts w:ascii="Book Antiqua" w:hAnsi="Book Antiqua"/>
          <w:b/>
          <w:sz w:val="24"/>
          <w:szCs w:val="24"/>
        </w:rPr>
        <w:fldChar w:fldCharType="begin"/>
      </w:r>
      <w:r w:rsidR="006002BE">
        <w:rPr>
          <w:rFonts w:ascii="Book Antiqua" w:hAnsi="Book Antiqua"/>
          <w:b/>
          <w:sz w:val="24"/>
          <w:szCs w:val="24"/>
        </w:rPr>
        <w:instrText xml:space="preserve"> PAGEREF _Ref345535888 \h </w:instrText>
      </w:r>
      <w:r w:rsidR="006002BE">
        <w:rPr>
          <w:rFonts w:ascii="Book Antiqua" w:hAnsi="Book Antiqua"/>
          <w:b/>
          <w:sz w:val="24"/>
          <w:szCs w:val="24"/>
        </w:rPr>
      </w:r>
      <w:r w:rsidR="006002BE">
        <w:rPr>
          <w:rFonts w:ascii="Book Antiqua" w:hAnsi="Book Antiqua"/>
          <w:b/>
          <w:sz w:val="24"/>
          <w:szCs w:val="24"/>
        </w:rPr>
        <w:fldChar w:fldCharType="separate"/>
      </w:r>
      <w:r w:rsidR="006002BE">
        <w:rPr>
          <w:rFonts w:ascii="Book Antiqua" w:hAnsi="Book Antiqua"/>
          <w:b/>
          <w:noProof/>
          <w:sz w:val="24"/>
          <w:szCs w:val="24"/>
        </w:rPr>
        <w:t>25</w:t>
      </w:r>
      <w:r w:rsidR="006002BE">
        <w:rPr>
          <w:rFonts w:ascii="Book Antiqua" w:hAnsi="Book Antiqua"/>
          <w:b/>
          <w:sz w:val="24"/>
          <w:szCs w:val="24"/>
        </w:rPr>
        <w:fldChar w:fldCharType="end"/>
      </w:r>
    </w:p>
    <w:p w14:paraId="60BBC304" w14:textId="77777777" w:rsidR="00B23DCF" w:rsidRPr="008C1882" w:rsidRDefault="00FC6768" w:rsidP="001053EF">
      <w:pPr>
        <w:pStyle w:val="ListParagraph"/>
        <w:numPr>
          <w:ilvl w:val="0"/>
          <w:numId w:val="9"/>
        </w:numPr>
        <w:spacing w:after="0"/>
        <w:rPr>
          <w:rFonts w:ascii="Book Antiqua" w:hAnsi="Book Antiqua"/>
          <w:sz w:val="24"/>
          <w:szCs w:val="24"/>
        </w:rPr>
      </w:pPr>
      <w:r w:rsidRPr="008C1882">
        <w:rPr>
          <w:rFonts w:ascii="Book Antiqua" w:hAnsi="Book Antiqua"/>
          <w:sz w:val="24"/>
          <w:szCs w:val="24"/>
        </w:rPr>
        <w:t>Preliminaries</w:t>
      </w:r>
    </w:p>
    <w:p w14:paraId="3E5B91DB" w14:textId="77777777" w:rsidR="00B23DCF" w:rsidRPr="008C1882" w:rsidRDefault="00FC6768" w:rsidP="00B23DCF">
      <w:pPr>
        <w:pStyle w:val="ListParagraph"/>
        <w:numPr>
          <w:ilvl w:val="0"/>
          <w:numId w:val="9"/>
        </w:numPr>
        <w:spacing w:after="0"/>
        <w:rPr>
          <w:rFonts w:ascii="Book Antiqua" w:hAnsi="Book Antiqua"/>
          <w:sz w:val="24"/>
          <w:szCs w:val="24"/>
        </w:rPr>
      </w:pPr>
      <w:r w:rsidRPr="008C1882">
        <w:rPr>
          <w:rFonts w:ascii="Book Antiqua" w:hAnsi="Book Antiqua" w:cs="Times New Roman"/>
          <w:sz w:val="24"/>
          <w:szCs w:val="24"/>
        </w:rPr>
        <w:t xml:space="preserve">An introduction to </w:t>
      </w:r>
      <w:proofErr w:type="spellStart"/>
      <w:r w:rsidRPr="008C1882">
        <w:rPr>
          <w:rFonts w:ascii="Book Antiqua" w:hAnsi="Book Antiqua" w:cs="Times New Roman"/>
          <w:sz w:val="24"/>
          <w:szCs w:val="24"/>
        </w:rPr>
        <w:t>MiFID</w:t>
      </w:r>
      <w:proofErr w:type="spellEnd"/>
      <w:r w:rsidRPr="008C1882">
        <w:rPr>
          <w:rFonts w:ascii="Book Antiqua" w:hAnsi="Book Antiqua" w:cs="Times New Roman"/>
          <w:sz w:val="24"/>
          <w:szCs w:val="24"/>
        </w:rPr>
        <w:t xml:space="preserve">, </w:t>
      </w:r>
      <w:proofErr w:type="spellStart"/>
      <w:r w:rsidRPr="008C1882">
        <w:rPr>
          <w:rFonts w:ascii="Book Antiqua" w:hAnsi="Book Antiqua" w:cs="Times New Roman"/>
          <w:sz w:val="24"/>
          <w:szCs w:val="24"/>
        </w:rPr>
        <w:t>MiFID</w:t>
      </w:r>
      <w:proofErr w:type="spellEnd"/>
      <w:r w:rsidRPr="008C1882">
        <w:rPr>
          <w:rFonts w:ascii="Book Antiqua" w:hAnsi="Book Antiqua" w:cs="Times New Roman"/>
          <w:sz w:val="24"/>
          <w:szCs w:val="24"/>
        </w:rPr>
        <w:t xml:space="preserve"> II and </w:t>
      </w:r>
      <w:proofErr w:type="spellStart"/>
      <w:r w:rsidRPr="008C1882">
        <w:rPr>
          <w:rFonts w:ascii="Book Antiqua" w:hAnsi="Book Antiqua" w:cs="Times New Roman"/>
          <w:sz w:val="24"/>
          <w:szCs w:val="24"/>
        </w:rPr>
        <w:t>MiFIR</w:t>
      </w:r>
      <w:proofErr w:type="spellEnd"/>
    </w:p>
    <w:p w14:paraId="25AF1377" w14:textId="77777777" w:rsidR="00B23DCF" w:rsidRPr="008C1882" w:rsidRDefault="00FC6768" w:rsidP="00B23DCF">
      <w:pPr>
        <w:pStyle w:val="ListParagraph"/>
        <w:numPr>
          <w:ilvl w:val="0"/>
          <w:numId w:val="9"/>
        </w:numPr>
        <w:spacing w:after="0"/>
        <w:rPr>
          <w:rFonts w:ascii="Book Antiqua" w:hAnsi="Book Antiqua"/>
          <w:sz w:val="24"/>
          <w:szCs w:val="24"/>
        </w:rPr>
      </w:pPr>
      <w:proofErr w:type="spellStart"/>
      <w:r w:rsidRPr="008C1882">
        <w:rPr>
          <w:rFonts w:ascii="Book Antiqua" w:hAnsi="Book Antiqua" w:cs="Times New Roman"/>
          <w:sz w:val="24"/>
          <w:szCs w:val="24"/>
        </w:rPr>
        <w:t>Passporting</w:t>
      </w:r>
      <w:proofErr w:type="spellEnd"/>
      <w:r w:rsidRPr="008C1882">
        <w:rPr>
          <w:rFonts w:ascii="Book Antiqua" w:hAnsi="Book Antiqua" w:cs="Times New Roman"/>
          <w:sz w:val="24"/>
          <w:szCs w:val="24"/>
        </w:rPr>
        <w:t xml:space="preserve"> rights if the UK were to remain within the EEA</w:t>
      </w:r>
    </w:p>
    <w:p w14:paraId="3CABB002" w14:textId="77777777" w:rsidR="00B23DCF" w:rsidRPr="008C1882" w:rsidRDefault="00720EC6" w:rsidP="00B23DCF">
      <w:pPr>
        <w:pStyle w:val="ListParagraph"/>
        <w:numPr>
          <w:ilvl w:val="0"/>
          <w:numId w:val="9"/>
        </w:numPr>
        <w:spacing w:after="0"/>
        <w:rPr>
          <w:rFonts w:ascii="Book Antiqua" w:hAnsi="Book Antiqua"/>
          <w:sz w:val="24"/>
          <w:szCs w:val="24"/>
        </w:rPr>
      </w:pPr>
      <w:proofErr w:type="spellStart"/>
      <w:r w:rsidRPr="008C1882">
        <w:rPr>
          <w:rFonts w:ascii="Book Antiqua" w:hAnsi="Book Antiqua" w:cs="Times New Roman"/>
          <w:sz w:val="24"/>
          <w:szCs w:val="24"/>
        </w:rPr>
        <w:t>Passporting</w:t>
      </w:r>
      <w:proofErr w:type="spellEnd"/>
      <w:r w:rsidRPr="008C1882">
        <w:rPr>
          <w:rFonts w:ascii="Book Antiqua" w:hAnsi="Book Antiqua" w:cs="Times New Roman"/>
          <w:sz w:val="24"/>
          <w:szCs w:val="24"/>
        </w:rPr>
        <w:t xml:space="preserve"> rights if the UK were to leave the EEA</w:t>
      </w:r>
    </w:p>
    <w:p w14:paraId="508E7E76" w14:textId="77777777" w:rsidR="00B23DCF" w:rsidRPr="008C1882" w:rsidRDefault="00720EC6" w:rsidP="00B23DCF">
      <w:pPr>
        <w:pStyle w:val="ListParagraph"/>
        <w:numPr>
          <w:ilvl w:val="0"/>
          <w:numId w:val="9"/>
        </w:numPr>
        <w:spacing w:after="0"/>
        <w:rPr>
          <w:rFonts w:ascii="Book Antiqua" w:hAnsi="Book Antiqua"/>
          <w:sz w:val="24"/>
          <w:szCs w:val="24"/>
        </w:rPr>
      </w:pPr>
      <w:r w:rsidRPr="008C1882">
        <w:rPr>
          <w:rFonts w:ascii="Book Antiqua" w:hAnsi="Book Antiqua" w:cs="Times New Roman"/>
          <w:sz w:val="24"/>
          <w:szCs w:val="24"/>
        </w:rPr>
        <w:t xml:space="preserve">Some </w:t>
      </w:r>
      <w:proofErr w:type="spellStart"/>
      <w:r w:rsidR="009A25D3" w:rsidRPr="008C1882">
        <w:rPr>
          <w:rFonts w:ascii="Book Antiqua" w:hAnsi="Book Antiqua" w:cs="Times New Roman"/>
          <w:sz w:val="24"/>
          <w:szCs w:val="24"/>
        </w:rPr>
        <w:t>Passporting</w:t>
      </w:r>
      <w:proofErr w:type="spellEnd"/>
      <w:r w:rsidR="009A25D3" w:rsidRPr="008C1882">
        <w:rPr>
          <w:rFonts w:ascii="Book Antiqua" w:hAnsi="Book Antiqua" w:cs="Times New Roman"/>
          <w:sz w:val="24"/>
          <w:szCs w:val="24"/>
        </w:rPr>
        <w:t xml:space="preserve"> &amp; Equivalence </w:t>
      </w:r>
      <w:r w:rsidRPr="008C1882">
        <w:rPr>
          <w:rFonts w:ascii="Book Antiqua" w:hAnsi="Book Antiqua" w:cs="Times New Roman"/>
          <w:sz w:val="24"/>
          <w:szCs w:val="24"/>
        </w:rPr>
        <w:t>issues arising for consideration</w:t>
      </w:r>
    </w:p>
    <w:p w14:paraId="5121763E" w14:textId="05964711" w:rsidR="002B2BAA" w:rsidRPr="008C1882" w:rsidRDefault="00116221" w:rsidP="00B23DCF">
      <w:pPr>
        <w:pStyle w:val="ListParagraph"/>
        <w:numPr>
          <w:ilvl w:val="0"/>
          <w:numId w:val="9"/>
        </w:numPr>
        <w:spacing w:after="0"/>
        <w:rPr>
          <w:rFonts w:ascii="Book Antiqua" w:hAnsi="Book Antiqua"/>
          <w:sz w:val="24"/>
          <w:szCs w:val="24"/>
        </w:rPr>
      </w:pPr>
      <w:r w:rsidRPr="008C1882">
        <w:rPr>
          <w:rFonts w:ascii="Book Antiqua" w:hAnsi="Book Antiqua"/>
          <w:sz w:val="24"/>
          <w:szCs w:val="24"/>
        </w:rPr>
        <w:t xml:space="preserve">Brief observations on the effect of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on the resolution of financial services disputes in the UK</w:t>
      </w:r>
    </w:p>
    <w:p w14:paraId="0BC214CC" w14:textId="77777777" w:rsidR="001053EF" w:rsidRPr="008C1882" w:rsidRDefault="001053EF" w:rsidP="001053EF">
      <w:pPr>
        <w:spacing w:after="0"/>
        <w:rPr>
          <w:rFonts w:ascii="Book Antiqua" w:hAnsi="Book Antiqua"/>
          <w:sz w:val="24"/>
          <w:szCs w:val="24"/>
        </w:rPr>
      </w:pPr>
    </w:p>
    <w:p w14:paraId="65E16AF9" w14:textId="116600D1" w:rsidR="00602EC2" w:rsidRPr="008C1882" w:rsidRDefault="007302FE" w:rsidP="00602EC2">
      <w:pPr>
        <w:spacing w:after="0"/>
        <w:rPr>
          <w:rFonts w:ascii="Book Antiqua" w:hAnsi="Book Antiqua"/>
          <w:b/>
          <w:sz w:val="24"/>
          <w:szCs w:val="24"/>
        </w:rPr>
      </w:pPr>
      <w:r w:rsidRPr="008C1882">
        <w:rPr>
          <w:rFonts w:ascii="Book Antiqua" w:hAnsi="Book Antiqua"/>
          <w:b/>
          <w:sz w:val="24"/>
          <w:szCs w:val="24"/>
        </w:rPr>
        <w:t xml:space="preserve">Chapter 3 - </w:t>
      </w:r>
      <w:proofErr w:type="spellStart"/>
      <w:r w:rsidR="0003116E" w:rsidRPr="008C1882">
        <w:rPr>
          <w:rFonts w:ascii="Book Antiqua" w:hAnsi="Book Antiqua"/>
          <w:b/>
          <w:sz w:val="24"/>
          <w:szCs w:val="24"/>
        </w:rPr>
        <w:t>Brexit</w:t>
      </w:r>
      <w:proofErr w:type="spellEnd"/>
      <w:r w:rsidR="0003116E" w:rsidRPr="008C1882">
        <w:rPr>
          <w:rFonts w:ascii="Book Antiqua" w:hAnsi="Book Antiqua"/>
          <w:b/>
          <w:sz w:val="24"/>
          <w:szCs w:val="24"/>
        </w:rPr>
        <w:t xml:space="preserve"> and the Insurance Industry</w:t>
      </w:r>
      <w:r w:rsidR="00602EC2" w:rsidRPr="008C1882">
        <w:rPr>
          <w:rFonts w:ascii="Book Antiqua" w:hAnsi="Book Antiqua"/>
          <w:b/>
          <w:sz w:val="24"/>
          <w:szCs w:val="24"/>
        </w:rPr>
        <w:t xml:space="preserve"> Overview</w:t>
      </w:r>
      <w:r w:rsidR="006002BE">
        <w:rPr>
          <w:rFonts w:ascii="Book Antiqua" w:hAnsi="Book Antiqua"/>
          <w:b/>
          <w:sz w:val="24"/>
          <w:szCs w:val="24"/>
        </w:rPr>
        <w:tab/>
      </w:r>
      <w:r w:rsidR="006002BE">
        <w:rPr>
          <w:rFonts w:ascii="Book Antiqua" w:hAnsi="Book Antiqua"/>
          <w:b/>
          <w:sz w:val="24"/>
          <w:szCs w:val="24"/>
        </w:rPr>
        <w:tab/>
      </w:r>
      <w:r w:rsidR="006002BE">
        <w:rPr>
          <w:rFonts w:ascii="Book Antiqua" w:hAnsi="Book Antiqua"/>
          <w:b/>
          <w:sz w:val="24"/>
          <w:szCs w:val="24"/>
        </w:rPr>
        <w:tab/>
      </w:r>
      <w:r w:rsidR="006002BE">
        <w:rPr>
          <w:rFonts w:ascii="Book Antiqua" w:hAnsi="Book Antiqua"/>
          <w:b/>
          <w:sz w:val="24"/>
          <w:szCs w:val="24"/>
        </w:rPr>
        <w:tab/>
        <w:t xml:space="preserve"> </w:t>
      </w:r>
      <w:r w:rsidR="006002BE">
        <w:rPr>
          <w:rFonts w:ascii="Book Antiqua" w:hAnsi="Book Antiqua"/>
          <w:b/>
          <w:sz w:val="24"/>
          <w:szCs w:val="24"/>
        </w:rPr>
        <w:fldChar w:fldCharType="begin"/>
      </w:r>
      <w:r w:rsidR="006002BE">
        <w:rPr>
          <w:rFonts w:ascii="Book Antiqua" w:hAnsi="Book Antiqua"/>
          <w:b/>
          <w:sz w:val="24"/>
          <w:szCs w:val="24"/>
        </w:rPr>
        <w:instrText xml:space="preserve"> PAGEREF _Ref345535947 \h </w:instrText>
      </w:r>
      <w:r w:rsidR="006002BE">
        <w:rPr>
          <w:rFonts w:ascii="Book Antiqua" w:hAnsi="Book Antiqua"/>
          <w:b/>
          <w:sz w:val="24"/>
          <w:szCs w:val="24"/>
        </w:rPr>
      </w:r>
      <w:r w:rsidR="006002BE">
        <w:rPr>
          <w:rFonts w:ascii="Book Antiqua" w:hAnsi="Book Antiqua"/>
          <w:b/>
          <w:sz w:val="24"/>
          <w:szCs w:val="24"/>
        </w:rPr>
        <w:fldChar w:fldCharType="separate"/>
      </w:r>
      <w:r w:rsidR="006002BE">
        <w:rPr>
          <w:rFonts w:ascii="Book Antiqua" w:hAnsi="Book Antiqua"/>
          <w:b/>
          <w:noProof/>
          <w:sz w:val="24"/>
          <w:szCs w:val="24"/>
        </w:rPr>
        <w:t>41</w:t>
      </w:r>
      <w:r w:rsidR="006002BE">
        <w:rPr>
          <w:rFonts w:ascii="Book Antiqua" w:hAnsi="Book Antiqua"/>
          <w:b/>
          <w:sz w:val="24"/>
          <w:szCs w:val="24"/>
        </w:rPr>
        <w:fldChar w:fldCharType="end"/>
      </w:r>
    </w:p>
    <w:p w14:paraId="56AE98DA" w14:textId="77777777" w:rsidR="00602EC2" w:rsidRPr="008C1882" w:rsidRDefault="0003116E" w:rsidP="001053EF">
      <w:pPr>
        <w:pStyle w:val="ListParagraph"/>
        <w:numPr>
          <w:ilvl w:val="0"/>
          <w:numId w:val="10"/>
        </w:numPr>
        <w:spacing w:after="0"/>
        <w:rPr>
          <w:rFonts w:ascii="Book Antiqua" w:hAnsi="Book Antiqua"/>
          <w:sz w:val="24"/>
          <w:szCs w:val="24"/>
        </w:rPr>
      </w:pPr>
      <w:r w:rsidRPr="008C1882">
        <w:rPr>
          <w:rFonts w:ascii="Book Antiqua" w:hAnsi="Book Antiqua"/>
          <w:sz w:val="24"/>
          <w:szCs w:val="24"/>
        </w:rPr>
        <w:t>Introduction</w:t>
      </w:r>
    </w:p>
    <w:p w14:paraId="54ECBCE4" w14:textId="77777777" w:rsidR="00602EC2" w:rsidRPr="008C1882" w:rsidRDefault="0003116E" w:rsidP="00602EC2">
      <w:pPr>
        <w:pStyle w:val="ListParagraph"/>
        <w:numPr>
          <w:ilvl w:val="0"/>
          <w:numId w:val="10"/>
        </w:numPr>
        <w:spacing w:after="0"/>
        <w:rPr>
          <w:rFonts w:ascii="Book Antiqua" w:hAnsi="Book Antiqua"/>
          <w:sz w:val="24"/>
          <w:szCs w:val="24"/>
        </w:rPr>
      </w:pPr>
      <w:r w:rsidRPr="008C1882">
        <w:rPr>
          <w:rFonts w:ascii="Book Antiqua" w:hAnsi="Book Antiqua"/>
          <w:sz w:val="24"/>
          <w:szCs w:val="24"/>
        </w:rPr>
        <w:t>Nature of the Industry</w:t>
      </w:r>
    </w:p>
    <w:p w14:paraId="7B961CEB" w14:textId="77777777" w:rsidR="00602EC2" w:rsidRPr="008C1882" w:rsidRDefault="00560671" w:rsidP="00602EC2">
      <w:pPr>
        <w:pStyle w:val="ListParagraph"/>
        <w:numPr>
          <w:ilvl w:val="0"/>
          <w:numId w:val="10"/>
        </w:numPr>
        <w:spacing w:after="0"/>
        <w:rPr>
          <w:rFonts w:ascii="Book Antiqua" w:hAnsi="Book Antiqua"/>
          <w:sz w:val="24"/>
          <w:szCs w:val="24"/>
        </w:rPr>
      </w:pPr>
      <w:r w:rsidRPr="008C1882">
        <w:rPr>
          <w:rFonts w:ascii="Book Antiqua" w:hAnsi="Book Antiqua"/>
          <w:sz w:val="24"/>
          <w:szCs w:val="24"/>
        </w:rPr>
        <w:t>Size and Importance</w:t>
      </w:r>
    </w:p>
    <w:p w14:paraId="1A373A76" w14:textId="77777777" w:rsidR="00602EC2" w:rsidRPr="008C1882" w:rsidRDefault="00560671" w:rsidP="00602EC2">
      <w:pPr>
        <w:pStyle w:val="ListParagraph"/>
        <w:numPr>
          <w:ilvl w:val="0"/>
          <w:numId w:val="10"/>
        </w:numPr>
        <w:spacing w:after="0"/>
        <w:rPr>
          <w:rFonts w:ascii="Book Antiqua" w:hAnsi="Book Antiqua"/>
          <w:sz w:val="24"/>
          <w:szCs w:val="24"/>
        </w:rPr>
      </w:pPr>
      <w:r w:rsidRPr="008C1882">
        <w:rPr>
          <w:rFonts w:ascii="Book Antiqua" w:hAnsi="Book Antiqua"/>
          <w:sz w:val="24"/>
          <w:szCs w:val="24"/>
        </w:rPr>
        <w:t>Current Position in the EU Single Market</w:t>
      </w:r>
    </w:p>
    <w:p w14:paraId="7AF2CCFA" w14:textId="77777777" w:rsidR="00602EC2" w:rsidRPr="008C1882" w:rsidRDefault="00560671" w:rsidP="001053EF">
      <w:pPr>
        <w:pStyle w:val="ListParagraph"/>
        <w:numPr>
          <w:ilvl w:val="0"/>
          <w:numId w:val="10"/>
        </w:numPr>
        <w:spacing w:after="0"/>
        <w:rPr>
          <w:rFonts w:ascii="Book Antiqua" w:hAnsi="Book Antiqua"/>
          <w:sz w:val="24"/>
          <w:szCs w:val="24"/>
        </w:rPr>
      </w:pPr>
      <w:r w:rsidRPr="008C1882">
        <w:rPr>
          <w:rFonts w:ascii="Book Antiqua" w:hAnsi="Book Antiqua"/>
          <w:sz w:val="24"/>
          <w:szCs w:val="24"/>
        </w:rPr>
        <w:t>Position in a “Hard” BREXIT</w:t>
      </w:r>
    </w:p>
    <w:p w14:paraId="12B5EF73" w14:textId="77777777" w:rsidR="00602EC2" w:rsidRPr="008C1882" w:rsidRDefault="00560671" w:rsidP="001053EF">
      <w:pPr>
        <w:pStyle w:val="ListParagraph"/>
        <w:numPr>
          <w:ilvl w:val="0"/>
          <w:numId w:val="10"/>
        </w:numPr>
        <w:spacing w:after="0"/>
        <w:rPr>
          <w:rFonts w:ascii="Book Antiqua" w:hAnsi="Book Antiqua"/>
          <w:sz w:val="24"/>
          <w:szCs w:val="24"/>
        </w:rPr>
      </w:pPr>
      <w:r w:rsidRPr="008C1882">
        <w:rPr>
          <w:rFonts w:ascii="Book Antiqua" w:hAnsi="Book Antiqua"/>
          <w:sz w:val="24"/>
          <w:szCs w:val="24"/>
        </w:rPr>
        <w:t>Commentary</w:t>
      </w:r>
    </w:p>
    <w:p w14:paraId="03A68B2F" w14:textId="68AFBAFC" w:rsidR="0003116E" w:rsidRPr="008C1882" w:rsidRDefault="00560671" w:rsidP="001053EF">
      <w:pPr>
        <w:pStyle w:val="ListParagraph"/>
        <w:numPr>
          <w:ilvl w:val="0"/>
          <w:numId w:val="10"/>
        </w:numPr>
        <w:spacing w:after="0"/>
        <w:rPr>
          <w:rFonts w:ascii="Book Antiqua" w:hAnsi="Book Antiqua"/>
          <w:sz w:val="24"/>
          <w:szCs w:val="24"/>
        </w:rPr>
      </w:pPr>
      <w:r w:rsidRPr="008C1882">
        <w:rPr>
          <w:rFonts w:ascii="Book Antiqua" w:hAnsi="Book Antiqua"/>
          <w:sz w:val="24"/>
          <w:szCs w:val="24"/>
        </w:rPr>
        <w:t>Possible Mitigations</w:t>
      </w:r>
    </w:p>
    <w:p w14:paraId="2736310A" w14:textId="77777777" w:rsidR="001053EF" w:rsidRPr="008C1882" w:rsidRDefault="001053EF" w:rsidP="001053EF">
      <w:pPr>
        <w:spacing w:after="0"/>
        <w:rPr>
          <w:rFonts w:ascii="Book Antiqua" w:hAnsi="Book Antiqua"/>
          <w:sz w:val="24"/>
          <w:szCs w:val="24"/>
        </w:rPr>
      </w:pPr>
    </w:p>
    <w:p w14:paraId="4E311336" w14:textId="743920BD" w:rsidR="006C7680" w:rsidRPr="008C1882" w:rsidRDefault="006C7680" w:rsidP="006C7680">
      <w:pPr>
        <w:spacing w:after="0"/>
        <w:rPr>
          <w:rFonts w:ascii="Book Antiqua" w:hAnsi="Book Antiqua"/>
          <w:b/>
          <w:sz w:val="24"/>
          <w:szCs w:val="24"/>
        </w:rPr>
      </w:pPr>
      <w:r w:rsidRPr="008C1882">
        <w:rPr>
          <w:rFonts w:ascii="Book Antiqua" w:hAnsi="Book Antiqua"/>
          <w:b/>
          <w:sz w:val="24"/>
          <w:szCs w:val="24"/>
        </w:rPr>
        <w:t>Chapter 4 -</w:t>
      </w:r>
      <w:r w:rsidR="002F4377" w:rsidRPr="008C1882">
        <w:rPr>
          <w:rFonts w:ascii="Book Antiqua" w:hAnsi="Book Antiqua"/>
          <w:b/>
          <w:sz w:val="24"/>
          <w:szCs w:val="24"/>
        </w:rPr>
        <w:t xml:space="preserve"> </w:t>
      </w:r>
      <w:r w:rsidR="002B2BAA" w:rsidRPr="008C1882">
        <w:rPr>
          <w:rFonts w:ascii="Book Antiqua" w:hAnsi="Book Antiqua"/>
          <w:b/>
          <w:sz w:val="24"/>
          <w:szCs w:val="24"/>
        </w:rPr>
        <w:t>Business Transfers under Part VII FSMA</w:t>
      </w:r>
      <w:r w:rsidR="006002BE">
        <w:rPr>
          <w:rFonts w:ascii="Book Antiqua" w:hAnsi="Book Antiqua"/>
          <w:b/>
          <w:sz w:val="24"/>
          <w:szCs w:val="24"/>
        </w:rPr>
        <w:tab/>
      </w:r>
      <w:r w:rsidR="006002BE">
        <w:rPr>
          <w:rFonts w:ascii="Book Antiqua" w:hAnsi="Book Antiqua"/>
          <w:b/>
          <w:sz w:val="24"/>
          <w:szCs w:val="24"/>
        </w:rPr>
        <w:tab/>
      </w:r>
      <w:r w:rsidR="006002BE">
        <w:rPr>
          <w:rFonts w:ascii="Book Antiqua" w:hAnsi="Book Antiqua"/>
          <w:b/>
          <w:sz w:val="24"/>
          <w:szCs w:val="24"/>
        </w:rPr>
        <w:tab/>
      </w:r>
      <w:r w:rsidR="006002BE">
        <w:rPr>
          <w:rFonts w:ascii="Book Antiqua" w:hAnsi="Book Antiqua"/>
          <w:b/>
          <w:sz w:val="24"/>
          <w:szCs w:val="24"/>
        </w:rPr>
        <w:tab/>
      </w:r>
      <w:r w:rsidR="006002BE">
        <w:rPr>
          <w:rFonts w:ascii="Book Antiqua" w:hAnsi="Book Antiqua"/>
          <w:b/>
          <w:sz w:val="24"/>
          <w:szCs w:val="24"/>
        </w:rPr>
        <w:tab/>
        <w:t xml:space="preserve"> </w:t>
      </w:r>
      <w:r w:rsidR="006002BE">
        <w:rPr>
          <w:rFonts w:ascii="Book Antiqua" w:hAnsi="Book Antiqua"/>
          <w:b/>
          <w:sz w:val="24"/>
          <w:szCs w:val="24"/>
        </w:rPr>
        <w:fldChar w:fldCharType="begin"/>
      </w:r>
      <w:r w:rsidR="006002BE">
        <w:rPr>
          <w:rFonts w:ascii="Book Antiqua" w:hAnsi="Book Antiqua"/>
          <w:b/>
          <w:sz w:val="24"/>
          <w:szCs w:val="24"/>
        </w:rPr>
        <w:instrText xml:space="preserve"> PAGEREF _Ref345536009 \h </w:instrText>
      </w:r>
      <w:r w:rsidR="006002BE">
        <w:rPr>
          <w:rFonts w:ascii="Book Antiqua" w:hAnsi="Book Antiqua"/>
          <w:b/>
          <w:sz w:val="24"/>
          <w:szCs w:val="24"/>
        </w:rPr>
      </w:r>
      <w:r w:rsidR="006002BE">
        <w:rPr>
          <w:rFonts w:ascii="Book Antiqua" w:hAnsi="Book Antiqua"/>
          <w:b/>
          <w:sz w:val="24"/>
          <w:szCs w:val="24"/>
        </w:rPr>
        <w:fldChar w:fldCharType="separate"/>
      </w:r>
      <w:r w:rsidR="006002BE">
        <w:rPr>
          <w:rFonts w:ascii="Book Antiqua" w:hAnsi="Book Antiqua"/>
          <w:b/>
          <w:noProof/>
          <w:sz w:val="24"/>
          <w:szCs w:val="24"/>
        </w:rPr>
        <w:t>63</w:t>
      </w:r>
      <w:r w:rsidR="006002BE">
        <w:rPr>
          <w:rFonts w:ascii="Book Antiqua" w:hAnsi="Book Antiqua"/>
          <w:b/>
          <w:sz w:val="24"/>
          <w:szCs w:val="24"/>
        </w:rPr>
        <w:fldChar w:fldCharType="end"/>
      </w:r>
    </w:p>
    <w:p w14:paraId="6504117D" w14:textId="4AB97A9D" w:rsidR="002B2BAA" w:rsidRPr="008C1882" w:rsidRDefault="006C7680" w:rsidP="00E0761D">
      <w:pPr>
        <w:pStyle w:val="ListParagraph"/>
        <w:numPr>
          <w:ilvl w:val="0"/>
          <w:numId w:val="1"/>
        </w:numPr>
        <w:spacing w:after="0"/>
        <w:rPr>
          <w:rFonts w:ascii="Book Antiqua" w:hAnsi="Book Antiqua"/>
          <w:sz w:val="24"/>
          <w:szCs w:val="24"/>
        </w:rPr>
      </w:pPr>
      <w:r w:rsidRPr="008C1882">
        <w:rPr>
          <w:rFonts w:ascii="Book Antiqua" w:hAnsi="Book Antiqua"/>
          <w:sz w:val="24"/>
          <w:szCs w:val="24"/>
        </w:rPr>
        <w:t>Introduction</w:t>
      </w:r>
    </w:p>
    <w:p w14:paraId="78616054" w14:textId="3F165FCA" w:rsidR="00E0761D" w:rsidRPr="008C1882" w:rsidRDefault="00E0761D" w:rsidP="00E0761D">
      <w:pPr>
        <w:pStyle w:val="ListParagraph"/>
        <w:numPr>
          <w:ilvl w:val="0"/>
          <w:numId w:val="1"/>
        </w:numPr>
        <w:spacing w:after="0"/>
        <w:rPr>
          <w:rFonts w:ascii="Book Antiqua" w:hAnsi="Book Antiqua"/>
          <w:sz w:val="24"/>
          <w:szCs w:val="24"/>
        </w:rPr>
      </w:pPr>
      <w:r w:rsidRPr="008C1882">
        <w:rPr>
          <w:rFonts w:ascii="Book Antiqua" w:hAnsi="Book Antiqua"/>
          <w:sz w:val="24"/>
          <w:szCs w:val="24"/>
        </w:rPr>
        <w:t>Key features of the Part VII Framework</w:t>
      </w:r>
    </w:p>
    <w:p w14:paraId="5865B062" w14:textId="47382509" w:rsidR="00E0761D" w:rsidRPr="008C1882" w:rsidRDefault="00E0761D" w:rsidP="00E0761D">
      <w:pPr>
        <w:pStyle w:val="ListParagraph"/>
        <w:numPr>
          <w:ilvl w:val="0"/>
          <w:numId w:val="1"/>
        </w:numPr>
        <w:spacing w:after="0"/>
        <w:rPr>
          <w:rFonts w:ascii="Book Antiqua" w:hAnsi="Book Antiqua"/>
          <w:sz w:val="24"/>
          <w:szCs w:val="24"/>
        </w:rPr>
      </w:pPr>
      <w:r w:rsidRPr="008C1882">
        <w:rPr>
          <w:rFonts w:ascii="Book Antiqua" w:hAnsi="Book Antiqua"/>
          <w:sz w:val="24"/>
          <w:szCs w:val="24"/>
        </w:rPr>
        <w:t>The commercial and regulatory utility of FSMA 2000, Part VII</w:t>
      </w:r>
    </w:p>
    <w:p w14:paraId="07560F45" w14:textId="0B9489D5" w:rsidR="007C1F68" w:rsidRPr="008C1882" w:rsidRDefault="007C1F68" w:rsidP="00E0761D">
      <w:pPr>
        <w:pStyle w:val="ListParagraph"/>
        <w:numPr>
          <w:ilvl w:val="0"/>
          <w:numId w:val="1"/>
        </w:numPr>
        <w:spacing w:after="0"/>
        <w:rPr>
          <w:rFonts w:ascii="Book Antiqua" w:hAnsi="Book Antiqua"/>
          <w:sz w:val="24"/>
          <w:szCs w:val="24"/>
        </w:rPr>
      </w:pPr>
      <w:r w:rsidRPr="008C1882">
        <w:rPr>
          <w:rFonts w:ascii="Book Antiqua" w:hAnsi="Book Antiqua"/>
          <w:sz w:val="24"/>
          <w:szCs w:val="24"/>
        </w:rPr>
        <w:t>Automatic recognition of insurance business transfer schemes authorised in EEA states</w:t>
      </w:r>
    </w:p>
    <w:p w14:paraId="2C9CA892" w14:textId="10FBB2B2" w:rsidR="007C1F68" w:rsidRPr="008C1882" w:rsidRDefault="007C1F68" w:rsidP="00E0761D">
      <w:pPr>
        <w:pStyle w:val="ListParagraph"/>
        <w:numPr>
          <w:ilvl w:val="0"/>
          <w:numId w:val="1"/>
        </w:numPr>
        <w:spacing w:after="0"/>
        <w:rPr>
          <w:rFonts w:ascii="Book Antiqua" w:hAnsi="Book Antiqua"/>
          <w:sz w:val="24"/>
          <w:szCs w:val="24"/>
        </w:rPr>
      </w:pPr>
      <w:r w:rsidRPr="008C1882">
        <w:rPr>
          <w:rFonts w:ascii="Book Antiqua" w:hAnsi="Book Antiqua"/>
          <w:sz w:val="24"/>
          <w:szCs w:val="24"/>
        </w:rPr>
        <w:t>Post-</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business transfer schemes that include assets and liabilities subject to a foreign law</w:t>
      </w:r>
    </w:p>
    <w:p w14:paraId="79322783" w14:textId="53E82DF4" w:rsidR="00661631" w:rsidRPr="008C1882" w:rsidRDefault="00661631" w:rsidP="00E0761D">
      <w:pPr>
        <w:pStyle w:val="ListParagraph"/>
        <w:numPr>
          <w:ilvl w:val="0"/>
          <w:numId w:val="1"/>
        </w:numPr>
        <w:spacing w:after="0"/>
        <w:rPr>
          <w:rFonts w:ascii="Book Antiqua" w:hAnsi="Book Antiqua"/>
          <w:sz w:val="24"/>
          <w:szCs w:val="24"/>
        </w:rPr>
      </w:pPr>
      <w:r w:rsidRPr="008C1882">
        <w:rPr>
          <w:rFonts w:ascii="Book Antiqua" w:hAnsi="Book Antiqua"/>
          <w:sz w:val="24"/>
          <w:szCs w:val="24"/>
        </w:rPr>
        <w:t>Conclusion</w:t>
      </w:r>
      <w:r w:rsidR="005B4A12" w:rsidRPr="008C1882">
        <w:rPr>
          <w:rFonts w:ascii="Book Antiqua" w:hAnsi="Book Antiqua"/>
          <w:sz w:val="24"/>
          <w:szCs w:val="24"/>
        </w:rPr>
        <w:t>s</w:t>
      </w:r>
    </w:p>
    <w:p w14:paraId="681FE5D7" w14:textId="77777777" w:rsidR="001053EF" w:rsidRPr="008C1882" w:rsidRDefault="001053EF" w:rsidP="001053EF">
      <w:pPr>
        <w:spacing w:after="0"/>
        <w:rPr>
          <w:rFonts w:ascii="Book Antiqua" w:hAnsi="Book Antiqua"/>
          <w:b/>
          <w:sz w:val="24"/>
          <w:szCs w:val="24"/>
        </w:rPr>
      </w:pPr>
    </w:p>
    <w:p w14:paraId="5A7D65FD" w14:textId="2DAF6EE6" w:rsidR="00FE4A72" w:rsidRPr="008C1882" w:rsidRDefault="00FE4A72" w:rsidP="00FE4A72">
      <w:pPr>
        <w:spacing w:after="0"/>
        <w:rPr>
          <w:rFonts w:ascii="Book Antiqua" w:hAnsi="Book Antiqua"/>
          <w:b/>
          <w:sz w:val="24"/>
          <w:szCs w:val="24"/>
        </w:rPr>
      </w:pPr>
      <w:r w:rsidRPr="008C1882">
        <w:rPr>
          <w:rFonts w:ascii="Book Antiqua" w:hAnsi="Book Antiqua"/>
          <w:b/>
          <w:sz w:val="24"/>
          <w:szCs w:val="24"/>
        </w:rPr>
        <w:t>Chapter 5 -</w:t>
      </w:r>
      <w:r w:rsidR="002F4377" w:rsidRPr="008C1882">
        <w:rPr>
          <w:rFonts w:ascii="Book Antiqua" w:hAnsi="Book Antiqua"/>
          <w:b/>
          <w:sz w:val="24"/>
          <w:szCs w:val="24"/>
        </w:rPr>
        <w:t xml:space="preserve"> </w:t>
      </w:r>
      <w:r w:rsidR="00655794" w:rsidRPr="008C1882">
        <w:rPr>
          <w:rFonts w:ascii="Book Antiqua" w:hAnsi="Book Antiqua"/>
          <w:b/>
          <w:sz w:val="24"/>
          <w:szCs w:val="24"/>
        </w:rPr>
        <w:t>AIFMs and UCITS Funds</w:t>
      </w:r>
      <w:r w:rsidR="00206573">
        <w:rPr>
          <w:rFonts w:ascii="Book Antiqua" w:hAnsi="Book Antiqua"/>
          <w:b/>
          <w:sz w:val="24"/>
          <w:szCs w:val="24"/>
        </w:rPr>
        <w:tab/>
      </w:r>
      <w:r w:rsidR="00206573">
        <w:rPr>
          <w:rFonts w:ascii="Book Antiqua" w:hAnsi="Book Antiqua"/>
          <w:b/>
          <w:sz w:val="24"/>
          <w:szCs w:val="24"/>
        </w:rPr>
        <w:tab/>
      </w:r>
      <w:r w:rsidR="00206573">
        <w:rPr>
          <w:rFonts w:ascii="Book Antiqua" w:hAnsi="Book Antiqua"/>
          <w:b/>
          <w:sz w:val="24"/>
          <w:szCs w:val="24"/>
        </w:rPr>
        <w:tab/>
      </w:r>
      <w:r w:rsidR="00206573">
        <w:rPr>
          <w:rFonts w:ascii="Book Antiqua" w:hAnsi="Book Antiqua"/>
          <w:b/>
          <w:sz w:val="24"/>
          <w:szCs w:val="24"/>
        </w:rPr>
        <w:tab/>
      </w:r>
      <w:r w:rsidR="00206573">
        <w:rPr>
          <w:rFonts w:ascii="Book Antiqua" w:hAnsi="Book Antiqua"/>
          <w:b/>
          <w:sz w:val="24"/>
          <w:szCs w:val="24"/>
        </w:rPr>
        <w:tab/>
      </w:r>
      <w:r w:rsidR="00206573">
        <w:rPr>
          <w:rFonts w:ascii="Book Antiqua" w:hAnsi="Book Antiqua"/>
          <w:b/>
          <w:sz w:val="24"/>
          <w:szCs w:val="24"/>
        </w:rPr>
        <w:tab/>
      </w:r>
      <w:r w:rsidR="00206573">
        <w:rPr>
          <w:rFonts w:ascii="Book Antiqua" w:hAnsi="Book Antiqua"/>
          <w:b/>
          <w:sz w:val="24"/>
          <w:szCs w:val="24"/>
        </w:rPr>
        <w:tab/>
        <w:t xml:space="preserve"> </w:t>
      </w:r>
      <w:r w:rsidR="005D1BDC">
        <w:rPr>
          <w:rFonts w:ascii="Book Antiqua" w:hAnsi="Book Antiqua"/>
          <w:b/>
          <w:sz w:val="24"/>
          <w:szCs w:val="24"/>
        </w:rPr>
        <w:fldChar w:fldCharType="begin"/>
      </w:r>
      <w:r w:rsidR="005D1BDC">
        <w:rPr>
          <w:rFonts w:ascii="Book Antiqua" w:hAnsi="Book Antiqua"/>
          <w:b/>
          <w:sz w:val="24"/>
          <w:szCs w:val="24"/>
        </w:rPr>
        <w:instrText xml:space="preserve"> PAGEREF _Ref345536067 \h </w:instrText>
      </w:r>
      <w:r w:rsidR="005D1BDC">
        <w:rPr>
          <w:rFonts w:ascii="Book Antiqua" w:hAnsi="Book Antiqua"/>
          <w:b/>
          <w:sz w:val="24"/>
          <w:szCs w:val="24"/>
        </w:rPr>
      </w:r>
      <w:r w:rsidR="005D1BDC">
        <w:rPr>
          <w:rFonts w:ascii="Book Antiqua" w:hAnsi="Book Antiqua"/>
          <w:b/>
          <w:sz w:val="24"/>
          <w:szCs w:val="24"/>
        </w:rPr>
        <w:fldChar w:fldCharType="separate"/>
      </w:r>
      <w:r w:rsidR="005D1BDC">
        <w:rPr>
          <w:rFonts w:ascii="Book Antiqua" w:hAnsi="Book Antiqua"/>
          <w:b/>
          <w:noProof/>
          <w:sz w:val="24"/>
          <w:szCs w:val="24"/>
        </w:rPr>
        <w:t>75</w:t>
      </w:r>
      <w:r w:rsidR="005D1BDC">
        <w:rPr>
          <w:rFonts w:ascii="Book Antiqua" w:hAnsi="Book Antiqua"/>
          <w:b/>
          <w:sz w:val="24"/>
          <w:szCs w:val="24"/>
        </w:rPr>
        <w:fldChar w:fldCharType="end"/>
      </w:r>
    </w:p>
    <w:p w14:paraId="17BE7414" w14:textId="77777777" w:rsidR="00FE4A72" w:rsidRPr="008C1882" w:rsidRDefault="00FE4A72" w:rsidP="00FE4A72">
      <w:pPr>
        <w:pStyle w:val="ListParagraph"/>
        <w:numPr>
          <w:ilvl w:val="0"/>
          <w:numId w:val="2"/>
        </w:numPr>
        <w:spacing w:after="0"/>
        <w:rPr>
          <w:rFonts w:ascii="Book Antiqua" w:hAnsi="Book Antiqua"/>
          <w:sz w:val="24"/>
          <w:szCs w:val="24"/>
        </w:rPr>
      </w:pPr>
      <w:r w:rsidRPr="008C1882">
        <w:rPr>
          <w:rFonts w:ascii="Book Antiqua" w:hAnsi="Book Antiqua"/>
          <w:sz w:val="24"/>
          <w:szCs w:val="24"/>
        </w:rPr>
        <w:t>Introduction</w:t>
      </w:r>
    </w:p>
    <w:p w14:paraId="602358A0" w14:textId="494D73E8" w:rsidR="00FE4A72" w:rsidRPr="008C1882" w:rsidRDefault="00FE4A72" w:rsidP="00FE4A72">
      <w:pPr>
        <w:pStyle w:val="ListParagraph"/>
        <w:numPr>
          <w:ilvl w:val="0"/>
          <w:numId w:val="2"/>
        </w:numPr>
        <w:spacing w:after="0"/>
        <w:rPr>
          <w:rFonts w:ascii="Book Antiqua" w:hAnsi="Book Antiqua"/>
          <w:sz w:val="24"/>
          <w:szCs w:val="24"/>
        </w:rPr>
      </w:pP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and AIFMs</w:t>
      </w:r>
    </w:p>
    <w:p w14:paraId="5393CB30" w14:textId="25A6ABAB" w:rsidR="00655794" w:rsidRPr="008C1882" w:rsidRDefault="00FE4A72" w:rsidP="001053EF">
      <w:pPr>
        <w:pStyle w:val="ListParagraph"/>
        <w:numPr>
          <w:ilvl w:val="0"/>
          <w:numId w:val="2"/>
        </w:numPr>
        <w:spacing w:after="0"/>
        <w:rPr>
          <w:rFonts w:ascii="Book Antiqua" w:hAnsi="Book Antiqua"/>
          <w:sz w:val="24"/>
          <w:szCs w:val="24"/>
        </w:rPr>
      </w:pP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and UCITS</w:t>
      </w:r>
    </w:p>
    <w:p w14:paraId="06148A94" w14:textId="5D14FFDE" w:rsidR="00FE4A72" w:rsidRPr="008C1882" w:rsidRDefault="00FE4A72" w:rsidP="001053EF">
      <w:pPr>
        <w:pStyle w:val="ListParagraph"/>
        <w:numPr>
          <w:ilvl w:val="0"/>
          <w:numId w:val="2"/>
        </w:numPr>
        <w:spacing w:after="0"/>
        <w:rPr>
          <w:rFonts w:ascii="Book Antiqua" w:hAnsi="Book Antiqua"/>
          <w:sz w:val="24"/>
          <w:szCs w:val="24"/>
        </w:rPr>
      </w:pPr>
      <w:r w:rsidRPr="008C1882">
        <w:rPr>
          <w:rFonts w:ascii="Book Antiqua" w:hAnsi="Book Antiqua"/>
          <w:sz w:val="24"/>
          <w:szCs w:val="24"/>
        </w:rPr>
        <w:t>Conclusions</w:t>
      </w:r>
    </w:p>
    <w:p w14:paraId="6F8189DC" w14:textId="77777777" w:rsidR="001053EF" w:rsidRPr="008C1882" w:rsidRDefault="001053EF" w:rsidP="001053EF">
      <w:pPr>
        <w:spacing w:after="0"/>
        <w:rPr>
          <w:rFonts w:ascii="Book Antiqua" w:hAnsi="Book Antiqua"/>
          <w:sz w:val="24"/>
          <w:szCs w:val="24"/>
        </w:rPr>
      </w:pPr>
    </w:p>
    <w:p w14:paraId="3E3E3509" w14:textId="77777777" w:rsidR="005D1BDC" w:rsidRDefault="001E54B6" w:rsidP="005D1BDC">
      <w:pPr>
        <w:spacing w:after="0" w:line="240" w:lineRule="auto"/>
        <w:rPr>
          <w:rFonts w:ascii="Book Antiqua" w:hAnsi="Book Antiqua"/>
          <w:b/>
          <w:sz w:val="24"/>
          <w:szCs w:val="24"/>
        </w:rPr>
      </w:pPr>
      <w:r w:rsidRPr="008C1882">
        <w:rPr>
          <w:rFonts w:ascii="Book Antiqua" w:hAnsi="Book Antiqua"/>
          <w:b/>
          <w:sz w:val="24"/>
          <w:szCs w:val="24"/>
        </w:rPr>
        <w:t>Chapter 6 -</w:t>
      </w:r>
      <w:r w:rsidR="002F4377" w:rsidRPr="008C1882">
        <w:rPr>
          <w:rFonts w:ascii="Book Antiqua" w:hAnsi="Book Antiqua"/>
          <w:b/>
          <w:sz w:val="24"/>
          <w:szCs w:val="24"/>
        </w:rPr>
        <w:t xml:space="preserve"> </w:t>
      </w:r>
      <w:r w:rsidR="00F96A09" w:rsidRPr="008C1882">
        <w:rPr>
          <w:rFonts w:ascii="Book Antiqua" w:hAnsi="Book Antiqua"/>
          <w:b/>
          <w:sz w:val="24"/>
          <w:szCs w:val="24"/>
        </w:rPr>
        <w:t xml:space="preserve">Capital Requirements for Banks, Building Societies and </w:t>
      </w:r>
    </w:p>
    <w:p w14:paraId="5399DADB" w14:textId="7B75958C" w:rsidR="00C1576A" w:rsidRPr="008C1882" w:rsidRDefault="00F96A09" w:rsidP="00C1576A">
      <w:pPr>
        <w:spacing w:after="0"/>
        <w:rPr>
          <w:rFonts w:ascii="Book Antiqua" w:hAnsi="Book Antiqua"/>
          <w:b/>
          <w:sz w:val="24"/>
          <w:szCs w:val="24"/>
        </w:rPr>
      </w:pPr>
      <w:r w:rsidRPr="008C1882">
        <w:rPr>
          <w:rFonts w:ascii="Book Antiqua" w:hAnsi="Book Antiqua"/>
          <w:b/>
          <w:sz w:val="24"/>
          <w:szCs w:val="24"/>
        </w:rPr>
        <w:t>Investment Firms</w:t>
      </w:r>
      <w:r w:rsidR="00C1576A" w:rsidRPr="008C1882">
        <w:rPr>
          <w:rFonts w:ascii="Book Antiqua" w:hAnsi="Book Antiqua"/>
          <w:b/>
          <w:sz w:val="24"/>
          <w:szCs w:val="24"/>
        </w:rPr>
        <w:t xml:space="preserve"> (CRD IV)</w:t>
      </w:r>
      <w:r w:rsidR="005D1BDC">
        <w:rPr>
          <w:rFonts w:ascii="Book Antiqua" w:hAnsi="Book Antiqua"/>
          <w:b/>
          <w:sz w:val="24"/>
          <w:szCs w:val="24"/>
        </w:rPr>
        <w:tab/>
      </w:r>
      <w:r w:rsidR="005D1BDC">
        <w:rPr>
          <w:rFonts w:ascii="Book Antiqua" w:hAnsi="Book Antiqua"/>
          <w:b/>
          <w:sz w:val="24"/>
          <w:szCs w:val="24"/>
        </w:rPr>
        <w:tab/>
      </w:r>
      <w:r w:rsidR="005D1BDC">
        <w:rPr>
          <w:rFonts w:ascii="Book Antiqua" w:hAnsi="Book Antiqua"/>
          <w:b/>
          <w:sz w:val="24"/>
          <w:szCs w:val="24"/>
        </w:rPr>
        <w:tab/>
      </w:r>
      <w:r w:rsidR="005D1BDC">
        <w:rPr>
          <w:rFonts w:ascii="Book Antiqua" w:hAnsi="Book Antiqua"/>
          <w:b/>
          <w:sz w:val="24"/>
          <w:szCs w:val="24"/>
        </w:rPr>
        <w:tab/>
      </w:r>
      <w:r w:rsidR="005D1BDC">
        <w:rPr>
          <w:rFonts w:ascii="Book Antiqua" w:hAnsi="Book Antiqua"/>
          <w:b/>
          <w:sz w:val="24"/>
          <w:szCs w:val="24"/>
        </w:rPr>
        <w:tab/>
      </w:r>
      <w:r w:rsidR="005D1BDC">
        <w:rPr>
          <w:rFonts w:ascii="Book Antiqua" w:hAnsi="Book Antiqua"/>
          <w:b/>
          <w:sz w:val="24"/>
          <w:szCs w:val="24"/>
        </w:rPr>
        <w:tab/>
      </w:r>
      <w:r w:rsidR="005D1BDC">
        <w:rPr>
          <w:rFonts w:ascii="Book Antiqua" w:hAnsi="Book Antiqua"/>
          <w:b/>
          <w:sz w:val="24"/>
          <w:szCs w:val="24"/>
        </w:rPr>
        <w:tab/>
      </w:r>
      <w:r w:rsidR="005D1BDC">
        <w:rPr>
          <w:rFonts w:ascii="Book Antiqua" w:hAnsi="Book Antiqua"/>
          <w:b/>
          <w:sz w:val="24"/>
          <w:szCs w:val="24"/>
        </w:rPr>
        <w:tab/>
        <w:t xml:space="preserve"> </w:t>
      </w:r>
      <w:r w:rsidR="00392286">
        <w:rPr>
          <w:rFonts w:ascii="Book Antiqua" w:hAnsi="Book Antiqua"/>
          <w:b/>
          <w:sz w:val="24"/>
          <w:szCs w:val="24"/>
        </w:rPr>
        <w:fldChar w:fldCharType="begin"/>
      </w:r>
      <w:r w:rsidR="00392286">
        <w:rPr>
          <w:rFonts w:ascii="Book Antiqua" w:hAnsi="Book Antiqua"/>
          <w:b/>
          <w:sz w:val="24"/>
          <w:szCs w:val="24"/>
        </w:rPr>
        <w:instrText xml:space="preserve"> PAGEREF _Ref345536130 \h </w:instrText>
      </w:r>
      <w:r w:rsidR="00392286">
        <w:rPr>
          <w:rFonts w:ascii="Book Antiqua" w:hAnsi="Book Antiqua"/>
          <w:b/>
          <w:sz w:val="24"/>
          <w:szCs w:val="24"/>
        </w:rPr>
      </w:r>
      <w:r w:rsidR="00392286">
        <w:rPr>
          <w:rFonts w:ascii="Book Antiqua" w:hAnsi="Book Antiqua"/>
          <w:b/>
          <w:sz w:val="24"/>
          <w:szCs w:val="24"/>
        </w:rPr>
        <w:fldChar w:fldCharType="separate"/>
      </w:r>
      <w:r w:rsidR="00392286">
        <w:rPr>
          <w:rFonts w:ascii="Book Antiqua" w:hAnsi="Book Antiqua"/>
          <w:b/>
          <w:noProof/>
          <w:sz w:val="24"/>
          <w:szCs w:val="24"/>
        </w:rPr>
        <w:t>83</w:t>
      </w:r>
      <w:r w:rsidR="00392286">
        <w:rPr>
          <w:rFonts w:ascii="Book Antiqua" w:hAnsi="Book Antiqua"/>
          <w:b/>
          <w:sz w:val="24"/>
          <w:szCs w:val="24"/>
        </w:rPr>
        <w:fldChar w:fldCharType="end"/>
      </w:r>
    </w:p>
    <w:p w14:paraId="506DD455" w14:textId="01324543" w:rsidR="00C1576A" w:rsidRPr="008C1882" w:rsidRDefault="00C1576A" w:rsidP="00C1576A">
      <w:pPr>
        <w:pStyle w:val="ListParagraph"/>
        <w:numPr>
          <w:ilvl w:val="0"/>
          <w:numId w:val="3"/>
        </w:numPr>
        <w:spacing w:after="0"/>
        <w:rPr>
          <w:rFonts w:ascii="Book Antiqua" w:hAnsi="Book Antiqua"/>
          <w:sz w:val="24"/>
          <w:szCs w:val="24"/>
        </w:rPr>
      </w:pPr>
      <w:r w:rsidRPr="008C1882">
        <w:rPr>
          <w:rFonts w:ascii="Book Antiqua" w:hAnsi="Book Antiqua"/>
          <w:sz w:val="24"/>
          <w:szCs w:val="24"/>
        </w:rPr>
        <w:t xml:space="preserve">CRD IV and </w:t>
      </w:r>
      <w:proofErr w:type="spellStart"/>
      <w:r w:rsidRPr="008C1882">
        <w:rPr>
          <w:rFonts w:ascii="Book Antiqua" w:hAnsi="Book Antiqua"/>
          <w:sz w:val="24"/>
          <w:szCs w:val="24"/>
        </w:rPr>
        <w:t>Passporting</w:t>
      </w:r>
      <w:proofErr w:type="spellEnd"/>
    </w:p>
    <w:p w14:paraId="0097CF32" w14:textId="3F41767A" w:rsidR="00C1576A" w:rsidRPr="008C1882" w:rsidRDefault="00C1576A" w:rsidP="00C1576A">
      <w:pPr>
        <w:pStyle w:val="ListParagraph"/>
        <w:numPr>
          <w:ilvl w:val="0"/>
          <w:numId w:val="3"/>
        </w:numPr>
        <w:spacing w:after="0"/>
        <w:rPr>
          <w:rFonts w:ascii="Book Antiqua" w:hAnsi="Book Antiqua"/>
          <w:sz w:val="24"/>
          <w:szCs w:val="24"/>
        </w:rPr>
      </w:pPr>
      <w:r w:rsidRPr="008C1882">
        <w:rPr>
          <w:rFonts w:ascii="Book Antiqua" w:hAnsi="Book Antiqua"/>
          <w:sz w:val="24"/>
          <w:szCs w:val="24"/>
        </w:rPr>
        <w:t>Third Country Access</w:t>
      </w:r>
    </w:p>
    <w:p w14:paraId="49E2308F" w14:textId="525B5348" w:rsidR="00C1576A" w:rsidRPr="008C1882" w:rsidRDefault="00C1576A" w:rsidP="00C1576A">
      <w:pPr>
        <w:pStyle w:val="ListParagraph"/>
        <w:numPr>
          <w:ilvl w:val="0"/>
          <w:numId w:val="3"/>
        </w:numPr>
        <w:spacing w:after="0"/>
        <w:rPr>
          <w:rFonts w:ascii="Book Antiqua" w:hAnsi="Book Antiqua"/>
          <w:sz w:val="24"/>
          <w:szCs w:val="24"/>
        </w:rPr>
      </w:pPr>
      <w:r w:rsidRPr="008C1882">
        <w:rPr>
          <w:rFonts w:ascii="Book Antiqua" w:hAnsi="Book Antiqua"/>
          <w:sz w:val="24"/>
          <w:szCs w:val="24"/>
        </w:rPr>
        <w:t>Equivalence</w:t>
      </w:r>
    </w:p>
    <w:p w14:paraId="5705BF79" w14:textId="559B6E1A" w:rsidR="00C1576A" w:rsidRPr="008C1882" w:rsidRDefault="00C1576A" w:rsidP="00C1576A">
      <w:pPr>
        <w:pStyle w:val="ListParagraph"/>
        <w:numPr>
          <w:ilvl w:val="0"/>
          <w:numId w:val="3"/>
        </w:numPr>
        <w:spacing w:after="0"/>
        <w:rPr>
          <w:rFonts w:ascii="Book Antiqua" w:hAnsi="Book Antiqua"/>
          <w:sz w:val="24"/>
          <w:szCs w:val="24"/>
        </w:rPr>
      </w:pPr>
      <w:r w:rsidRPr="008C1882">
        <w:rPr>
          <w:rFonts w:ascii="Book Antiqua" w:hAnsi="Book Antiqua"/>
          <w:sz w:val="24"/>
          <w:szCs w:val="24"/>
        </w:rPr>
        <w:t>Conclusions</w:t>
      </w:r>
    </w:p>
    <w:p w14:paraId="45847A7C" w14:textId="77777777" w:rsidR="001930F4" w:rsidRPr="008C1882" w:rsidRDefault="001930F4" w:rsidP="00F96A09">
      <w:pPr>
        <w:spacing w:after="0"/>
        <w:rPr>
          <w:rFonts w:ascii="Book Antiqua" w:hAnsi="Book Antiqua"/>
          <w:sz w:val="24"/>
          <w:szCs w:val="24"/>
        </w:rPr>
      </w:pPr>
    </w:p>
    <w:p w14:paraId="5807D608" w14:textId="461F22B4" w:rsidR="00625F19" w:rsidRPr="008C1882" w:rsidRDefault="00717C9A" w:rsidP="00625F19">
      <w:pPr>
        <w:spacing w:after="0"/>
        <w:rPr>
          <w:rFonts w:ascii="Book Antiqua" w:hAnsi="Book Antiqua"/>
          <w:b/>
          <w:sz w:val="24"/>
          <w:szCs w:val="24"/>
        </w:rPr>
      </w:pPr>
      <w:r w:rsidRPr="008C1882">
        <w:rPr>
          <w:rFonts w:ascii="Book Antiqua" w:hAnsi="Book Antiqua"/>
          <w:b/>
          <w:sz w:val="24"/>
          <w:szCs w:val="24"/>
        </w:rPr>
        <w:t>Chapter 7 -</w:t>
      </w:r>
      <w:r w:rsidR="002F4377" w:rsidRPr="008C1882">
        <w:rPr>
          <w:rFonts w:ascii="Book Antiqua" w:hAnsi="Book Antiqua"/>
          <w:b/>
          <w:sz w:val="24"/>
          <w:szCs w:val="24"/>
        </w:rPr>
        <w:t xml:space="preserve"> </w:t>
      </w:r>
      <w:r w:rsidR="00F96A09" w:rsidRPr="008C1882">
        <w:rPr>
          <w:rFonts w:ascii="Book Antiqua" w:hAnsi="Book Antiqua"/>
          <w:b/>
          <w:sz w:val="24"/>
          <w:szCs w:val="24"/>
        </w:rPr>
        <w:t>Central Counterparties and Trade Repositories</w:t>
      </w:r>
      <w:r w:rsidR="002F4377" w:rsidRPr="008C1882">
        <w:rPr>
          <w:rFonts w:ascii="Book Antiqua" w:hAnsi="Book Antiqua"/>
          <w:b/>
          <w:sz w:val="24"/>
          <w:szCs w:val="24"/>
        </w:rPr>
        <w:t xml:space="preserve"> under EMIR</w:t>
      </w:r>
      <w:r w:rsidR="00392286">
        <w:rPr>
          <w:rFonts w:ascii="Book Antiqua" w:hAnsi="Book Antiqua"/>
          <w:b/>
          <w:sz w:val="24"/>
          <w:szCs w:val="24"/>
        </w:rPr>
        <w:tab/>
      </w:r>
      <w:r w:rsidR="00392286">
        <w:rPr>
          <w:rFonts w:ascii="Book Antiqua" w:hAnsi="Book Antiqua"/>
          <w:b/>
          <w:sz w:val="24"/>
          <w:szCs w:val="24"/>
        </w:rPr>
        <w:tab/>
        <w:t xml:space="preserve"> </w:t>
      </w:r>
      <w:r w:rsidR="009906D1">
        <w:rPr>
          <w:rFonts w:ascii="Book Antiqua" w:hAnsi="Book Antiqua"/>
          <w:b/>
          <w:sz w:val="24"/>
          <w:szCs w:val="24"/>
        </w:rPr>
        <w:fldChar w:fldCharType="begin"/>
      </w:r>
      <w:r w:rsidR="009906D1">
        <w:rPr>
          <w:rFonts w:ascii="Book Antiqua" w:hAnsi="Book Antiqua"/>
          <w:b/>
          <w:sz w:val="24"/>
          <w:szCs w:val="24"/>
        </w:rPr>
        <w:instrText xml:space="preserve"> PAGEREF _Ref345536193 \h </w:instrText>
      </w:r>
      <w:r w:rsidR="009906D1">
        <w:rPr>
          <w:rFonts w:ascii="Book Antiqua" w:hAnsi="Book Antiqua"/>
          <w:b/>
          <w:sz w:val="24"/>
          <w:szCs w:val="24"/>
        </w:rPr>
      </w:r>
      <w:r w:rsidR="009906D1">
        <w:rPr>
          <w:rFonts w:ascii="Book Antiqua" w:hAnsi="Book Antiqua"/>
          <w:b/>
          <w:sz w:val="24"/>
          <w:szCs w:val="24"/>
        </w:rPr>
        <w:fldChar w:fldCharType="separate"/>
      </w:r>
      <w:r w:rsidR="009906D1">
        <w:rPr>
          <w:rFonts w:ascii="Book Antiqua" w:hAnsi="Book Antiqua"/>
          <w:b/>
          <w:noProof/>
          <w:sz w:val="24"/>
          <w:szCs w:val="24"/>
        </w:rPr>
        <w:t>90</w:t>
      </w:r>
      <w:r w:rsidR="009906D1">
        <w:rPr>
          <w:rFonts w:ascii="Book Antiqua" w:hAnsi="Book Antiqua"/>
          <w:b/>
          <w:sz w:val="24"/>
          <w:szCs w:val="24"/>
        </w:rPr>
        <w:fldChar w:fldCharType="end"/>
      </w:r>
    </w:p>
    <w:p w14:paraId="3FAAC593" w14:textId="113BF1F1" w:rsidR="00625F19" w:rsidRPr="008C1882" w:rsidRDefault="00CA1FE2" w:rsidP="00625F19">
      <w:pPr>
        <w:pStyle w:val="ListParagraph"/>
        <w:numPr>
          <w:ilvl w:val="0"/>
          <w:numId w:val="4"/>
        </w:numPr>
        <w:spacing w:after="0"/>
        <w:rPr>
          <w:rFonts w:ascii="Book Antiqua" w:hAnsi="Book Antiqua"/>
          <w:sz w:val="24"/>
          <w:szCs w:val="24"/>
        </w:rPr>
      </w:pPr>
      <w:r w:rsidRPr="008C1882">
        <w:rPr>
          <w:rFonts w:ascii="Book Antiqua" w:hAnsi="Book Antiqua"/>
          <w:sz w:val="24"/>
          <w:szCs w:val="24"/>
        </w:rPr>
        <w:t>What is the European Market Infrastructure Regulation (“</w:t>
      </w:r>
      <w:r w:rsidRPr="008C1882">
        <w:rPr>
          <w:rFonts w:ascii="Book Antiqua" w:hAnsi="Book Antiqua"/>
          <w:b/>
          <w:sz w:val="24"/>
          <w:szCs w:val="24"/>
        </w:rPr>
        <w:t>EMIR</w:t>
      </w:r>
      <w:r w:rsidRPr="008C1882">
        <w:rPr>
          <w:rFonts w:ascii="Book Antiqua" w:hAnsi="Book Antiqua"/>
          <w:sz w:val="24"/>
          <w:szCs w:val="24"/>
        </w:rPr>
        <w:t>”)?</w:t>
      </w:r>
    </w:p>
    <w:p w14:paraId="1992FF57" w14:textId="5A6CD59C" w:rsidR="00913774" w:rsidRPr="008C1882" w:rsidRDefault="00913774" w:rsidP="00625F19">
      <w:pPr>
        <w:pStyle w:val="ListParagraph"/>
        <w:numPr>
          <w:ilvl w:val="0"/>
          <w:numId w:val="4"/>
        </w:numPr>
        <w:spacing w:after="0"/>
        <w:rPr>
          <w:rFonts w:ascii="Book Antiqua" w:hAnsi="Book Antiqua"/>
          <w:sz w:val="24"/>
          <w:szCs w:val="24"/>
        </w:rPr>
      </w:pPr>
      <w:r w:rsidRPr="008C1882">
        <w:rPr>
          <w:rFonts w:ascii="Book Antiqua" w:hAnsi="Book Antiqua"/>
          <w:sz w:val="24"/>
          <w:szCs w:val="24"/>
        </w:rPr>
        <w:t>Equivalence Provisions – Central Counterparties</w:t>
      </w:r>
    </w:p>
    <w:p w14:paraId="1C4BB4B0" w14:textId="2A703EC8" w:rsidR="00913774" w:rsidRPr="008C1882" w:rsidRDefault="00913774" w:rsidP="00625F19">
      <w:pPr>
        <w:pStyle w:val="ListParagraph"/>
        <w:numPr>
          <w:ilvl w:val="0"/>
          <w:numId w:val="4"/>
        </w:numPr>
        <w:spacing w:after="0"/>
        <w:rPr>
          <w:rFonts w:ascii="Book Antiqua" w:hAnsi="Book Antiqua"/>
          <w:sz w:val="24"/>
          <w:szCs w:val="24"/>
        </w:rPr>
      </w:pPr>
      <w:r w:rsidRPr="008C1882">
        <w:rPr>
          <w:rFonts w:ascii="Book Antiqua" w:hAnsi="Book Antiqua"/>
          <w:sz w:val="24"/>
          <w:szCs w:val="24"/>
        </w:rPr>
        <w:t>Other Equivalence Requirements</w:t>
      </w:r>
    </w:p>
    <w:p w14:paraId="2A752902" w14:textId="6F9CCBC6" w:rsidR="00A27CB6" w:rsidRPr="008C1882" w:rsidRDefault="00A27CB6" w:rsidP="00625F19">
      <w:pPr>
        <w:pStyle w:val="ListParagraph"/>
        <w:numPr>
          <w:ilvl w:val="0"/>
          <w:numId w:val="4"/>
        </w:numPr>
        <w:spacing w:after="0"/>
        <w:rPr>
          <w:rFonts w:ascii="Book Antiqua" w:hAnsi="Book Antiqua"/>
          <w:sz w:val="24"/>
          <w:szCs w:val="24"/>
        </w:rPr>
      </w:pPr>
      <w:r w:rsidRPr="008C1882">
        <w:rPr>
          <w:rFonts w:ascii="Book Antiqua" w:hAnsi="Book Antiqua"/>
          <w:sz w:val="24"/>
          <w:szCs w:val="24"/>
        </w:rPr>
        <w:t>Transitional Requirements</w:t>
      </w:r>
    </w:p>
    <w:p w14:paraId="421D789A" w14:textId="26DB532D" w:rsidR="001930F4" w:rsidRPr="008C1882" w:rsidRDefault="00A27CB6" w:rsidP="00A27CB6">
      <w:pPr>
        <w:pStyle w:val="ListParagraph"/>
        <w:numPr>
          <w:ilvl w:val="0"/>
          <w:numId w:val="4"/>
        </w:numPr>
        <w:spacing w:after="0"/>
        <w:rPr>
          <w:rFonts w:ascii="Book Antiqua" w:hAnsi="Book Antiqua"/>
          <w:sz w:val="24"/>
          <w:szCs w:val="24"/>
        </w:rPr>
      </w:pPr>
      <w:r w:rsidRPr="008C1882">
        <w:rPr>
          <w:rFonts w:ascii="Book Antiqua" w:hAnsi="Book Antiqua"/>
          <w:sz w:val="24"/>
          <w:szCs w:val="24"/>
        </w:rPr>
        <w:t>Conclusions</w:t>
      </w:r>
    </w:p>
    <w:p w14:paraId="7FA879DE" w14:textId="77777777" w:rsidR="001930F4" w:rsidRPr="008C1882" w:rsidRDefault="001930F4" w:rsidP="001053EF">
      <w:pPr>
        <w:spacing w:after="0"/>
        <w:rPr>
          <w:rFonts w:ascii="Book Antiqua" w:hAnsi="Book Antiqua"/>
          <w:sz w:val="24"/>
          <w:szCs w:val="24"/>
        </w:rPr>
      </w:pPr>
    </w:p>
    <w:p w14:paraId="437A0922" w14:textId="1909520E" w:rsidR="000B2932" w:rsidRPr="008C1882" w:rsidRDefault="00DD203A" w:rsidP="000B2932">
      <w:pPr>
        <w:spacing w:after="0"/>
        <w:rPr>
          <w:rFonts w:ascii="Book Antiqua" w:hAnsi="Book Antiqua"/>
          <w:b/>
          <w:sz w:val="24"/>
          <w:szCs w:val="24"/>
        </w:rPr>
      </w:pPr>
      <w:r w:rsidRPr="008C1882">
        <w:rPr>
          <w:rFonts w:ascii="Book Antiqua" w:hAnsi="Book Antiqua"/>
          <w:b/>
          <w:sz w:val="24"/>
          <w:szCs w:val="24"/>
        </w:rPr>
        <w:t>Chapter 8 -</w:t>
      </w:r>
      <w:r w:rsidR="005562DE" w:rsidRPr="008C1882">
        <w:rPr>
          <w:rFonts w:ascii="Book Antiqua" w:hAnsi="Book Antiqua"/>
          <w:b/>
          <w:sz w:val="24"/>
          <w:szCs w:val="24"/>
        </w:rPr>
        <w:t xml:space="preserve"> </w:t>
      </w:r>
      <w:r w:rsidR="002B2BAA" w:rsidRPr="008C1882">
        <w:rPr>
          <w:rFonts w:ascii="Book Antiqua" w:hAnsi="Book Antiqua"/>
          <w:b/>
          <w:sz w:val="24"/>
          <w:szCs w:val="24"/>
        </w:rPr>
        <w:t>The Payment Services Directive</w:t>
      </w:r>
      <w:r w:rsidR="009906D1">
        <w:rPr>
          <w:rFonts w:ascii="Book Antiqua" w:hAnsi="Book Antiqua"/>
          <w:b/>
          <w:sz w:val="24"/>
          <w:szCs w:val="24"/>
        </w:rPr>
        <w:tab/>
      </w:r>
      <w:r w:rsidR="009906D1">
        <w:rPr>
          <w:rFonts w:ascii="Book Antiqua" w:hAnsi="Book Antiqua"/>
          <w:b/>
          <w:sz w:val="24"/>
          <w:szCs w:val="24"/>
        </w:rPr>
        <w:tab/>
      </w:r>
      <w:r w:rsidR="009906D1">
        <w:rPr>
          <w:rFonts w:ascii="Book Antiqua" w:hAnsi="Book Antiqua"/>
          <w:b/>
          <w:sz w:val="24"/>
          <w:szCs w:val="24"/>
        </w:rPr>
        <w:tab/>
      </w:r>
      <w:r w:rsidR="009906D1">
        <w:rPr>
          <w:rFonts w:ascii="Book Antiqua" w:hAnsi="Book Antiqua"/>
          <w:b/>
          <w:sz w:val="24"/>
          <w:szCs w:val="24"/>
        </w:rPr>
        <w:tab/>
      </w:r>
      <w:r w:rsidR="009906D1">
        <w:rPr>
          <w:rFonts w:ascii="Book Antiqua" w:hAnsi="Book Antiqua"/>
          <w:b/>
          <w:sz w:val="24"/>
          <w:szCs w:val="24"/>
        </w:rPr>
        <w:tab/>
      </w:r>
      <w:r w:rsidR="009906D1">
        <w:rPr>
          <w:rFonts w:ascii="Book Antiqua" w:hAnsi="Book Antiqua"/>
          <w:b/>
          <w:sz w:val="24"/>
          <w:szCs w:val="24"/>
        </w:rPr>
        <w:tab/>
        <w:t xml:space="preserve"> </w:t>
      </w:r>
      <w:r w:rsidR="009C7097">
        <w:rPr>
          <w:rFonts w:ascii="Book Antiqua" w:hAnsi="Book Antiqua"/>
          <w:b/>
          <w:sz w:val="24"/>
          <w:szCs w:val="24"/>
        </w:rPr>
        <w:fldChar w:fldCharType="begin"/>
      </w:r>
      <w:r w:rsidR="009C7097">
        <w:rPr>
          <w:rFonts w:ascii="Book Antiqua" w:hAnsi="Book Antiqua"/>
          <w:b/>
          <w:sz w:val="24"/>
          <w:szCs w:val="24"/>
        </w:rPr>
        <w:instrText xml:space="preserve"> PAGEREF _Ref345536233 \h </w:instrText>
      </w:r>
      <w:r w:rsidR="009C7097">
        <w:rPr>
          <w:rFonts w:ascii="Book Antiqua" w:hAnsi="Book Antiqua"/>
          <w:b/>
          <w:sz w:val="24"/>
          <w:szCs w:val="24"/>
        </w:rPr>
      </w:r>
      <w:r w:rsidR="009C7097">
        <w:rPr>
          <w:rFonts w:ascii="Book Antiqua" w:hAnsi="Book Antiqua"/>
          <w:b/>
          <w:sz w:val="24"/>
          <w:szCs w:val="24"/>
        </w:rPr>
        <w:fldChar w:fldCharType="separate"/>
      </w:r>
      <w:r w:rsidR="009C7097">
        <w:rPr>
          <w:rFonts w:ascii="Book Antiqua" w:hAnsi="Book Antiqua"/>
          <w:b/>
          <w:noProof/>
          <w:sz w:val="24"/>
          <w:szCs w:val="24"/>
        </w:rPr>
        <w:t>95</w:t>
      </w:r>
      <w:r w:rsidR="009C7097">
        <w:rPr>
          <w:rFonts w:ascii="Book Antiqua" w:hAnsi="Book Antiqua"/>
          <w:b/>
          <w:sz w:val="24"/>
          <w:szCs w:val="24"/>
        </w:rPr>
        <w:fldChar w:fldCharType="end"/>
      </w:r>
    </w:p>
    <w:p w14:paraId="3C263826" w14:textId="476C491A" w:rsidR="001053EF" w:rsidRPr="008C1882" w:rsidRDefault="00606525" w:rsidP="001053EF">
      <w:pPr>
        <w:pStyle w:val="ListParagraph"/>
        <w:numPr>
          <w:ilvl w:val="0"/>
          <w:numId w:val="5"/>
        </w:numPr>
        <w:spacing w:after="0"/>
        <w:rPr>
          <w:rFonts w:ascii="Book Antiqua" w:hAnsi="Book Antiqua"/>
          <w:sz w:val="24"/>
          <w:szCs w:val="24"/>
        </w:rPr>
      </w:pPr>
      <w:r w:rsidRPr="008C1882">
        <w:rPr>
          <w:rFonts w:ascii="Book Antiqua" w:hAnsi="Book Antiqua"/>
          <w:sz w:val="24"/>
          <w:szCs w:val="24"/>
        </w:rPr>
        <w:t>Introduction to the PSD</w:t>
      </w:r>
    </w:p>
    <w:p w14:paraId="5AA8696F" w14:textId="77777777" w:rsidR="00F14234" w:rsidRPr="008C1882" w:rsidRDefault="00606525" w:rsidP="001053EF">
      <w:pPr>
        <w:pStyle w:val="ListParagraph"/>
        <w:numPr>
          <w:ilvl w:val="0"/>
          <w:numId w:val="5"/>
        </w:numPr>
        <w:spacing w:after="0"/>
        <w:rPr>
          <w:rFonts w:ascii="Book Antiqua" w:hAnsi="Book Antiqua"/>
          <w:sz w:val="24"/>
          <w:szCs w:val="24"/>
        </w:rPr>
      </w:pPr>
      <w:r w:rsidRPr="008C1882">
        <w:rPr>
          <w:rFonts w:ascii="Book Antiqua" w:hAnsi="Book Antiqua"/>
          <w:sz w:val="24"/>
          <w:szCs w:val="24"/>
        </w:rPr>
        <w:t>UK Implementation</w:t>
      </w:r>
    </w:p>
    <w:p w14:paraId="3ECEF30B" w14:textId="77777777" w:rsidR="00F14234" w:rsidRPr="008C1882" w:rsidRDefault="00606525" w:rsidP="001053EF">
      <w:pPr>
        <w:pStyle w:val="ListParagraph"/>
        <w:numPr>
          <w:ilvl w:val="0"/>
          <w:numId w:val="5"/>
        </w:numPr>
        <w:spacing w:after="0"/>
        <w:rPr>
          <w:rFonts w:ascii="Book Antiqua" w:hAnsi="Book Antiqua"/>
          <w:sz w:val="24"/>
          <w:szCs w:val="24"/>
        </w:rPr>
      </w:pPr>
      <w:r w:rsidRPr="008C1882">
        <w:rPr>
          <w:rFonts w:ascii="Book Antiqua" w:hAnsi="Book Antiqua"/>
          <w:sz w:val="24"/>
          <w:szCs w:val="24"/>
        </w:rPr>
        <w:t>No Equivalence Provisions in the PSD</w:t>
      </w:r>
    </w:p>
    <w:p w14:paraId="5B2DE9FF" w14:textId="77777777" w:rsidR="00F14234" w:rsidRPr="008C1882" w:rsidRDefault="00606525" w:rsidP="001053EF">
      <w:pPr>
        <w:pStyle w:val="ListParagraph"/>
        <w:numPr>
          <w:ilvl w:val="0"/>
          <w:numId w:val="5"/>
        </w:numPr>
        <w:spacing w:after="0"/>
        <w:rPr>
          <w:rFonts w:ascii="Book Antiqua" w:hAnsi="Book Antiqua"/>
          <w:sz w:val="24"/>
          <w:szCs w:val="24"/>
        </w:rPr>
      </w:pPr>
      <w:r w:rsidRPr="008C1882">
        <w:rPr>
          <w:rFonts w:ascii="Book Antiqua" w:hAnsi="Book Antiqua"/>
          <w:sz w:val="24"/>
          <w:szCs w:val="24"/>
        </w:rPr>
        <w:t>Single Euro Payments Area</w:t>
      </w:r>
    </w:p>
    <w:p w14:paraId="79A7576B" w14:textId="77777777" w:rsidR="00F14234" w:rsidRPr="008C1882" w:rsidRDefault="00606525" w:rsidP="001053EF">
      <w:pPr>
        <w:pStyle w:val="ListParagraph"/>
        <w:numPr>
          <w:ilvl w:val="0"/>
          <w:numId w:val="5"/>
        </w:numPr>
        <w:spacing w:after="0"/>
        <w:rPr>
          <w:rFonts w:ascii="Book Antiqua" w:hAnsi="Book Antiqua"/>
          <w:sz w:val="24"/>
          <w:szCs w:val="24"/>
        </w:rPr>
      </w:pPr>
      <w:r w:rsidRPr="008C1882">
        <w:rPr>
          <w:rFonts w:ascii="Book Antiqua" w:hAnsi="Book Antiqua"/>
          <w:sz w:val="24"/>
          <w:szCs w:val="24"/>
        </w:rPr>
        <w:t>VISA/</w:t>
      </w:r>
      <w:proofErr w:type="spellStart"/>
      <w:r w:rsidRPr="008C1882">
        <w:rPr>
          <w:rFonts w:ascii="Book Antiqua" w:hAnsi="Book Antiqua"/>
          <w:sz w:val="24"/>
          <w:szCs w:val="24"/>
        </w:rPr>
        <w:t>Mastercard</w:t>
      </w:r>
      <w:proofErr w:type="spellEnd"/>
      <w:r w:rsidRPr="008C1882">
        <w:rPr>
          <w:rFonts w:ascii="Book Antiqua" w:hAnsi="Book Antiqua"/>
          <w:sz w:val="24"/>
          <w:szCs w:val="24"/>
        </w:rPr>
        <w:t xml:space="preserve"> Networks</w:t>
      </w:r>
    </w:p>
    <w:p w14:paraId="747B4AD8" w14:textId="77777777" w:rsidR="00F14234" w:rsidRPr="008C1882" w:rsidRDefault="00606525" w:rsidP="001053EF">
      <w:pPr>
        <w:pStyle w:val="ListParagraph"/>
        <w:numPr>
          <w:ilvl w:val="0"/>
          <w:numId w:val="5"/>
        </w:numPr>
        <w:spacing w:after="0"/>
        <w:rPr>
          <w:rFonts w:ascii="Book Antiqua" w:hAnsi="Book Antiqua"/>
          <w:sz w:val="24"/>
          <w:szCs w:val="24"/>
        </w:rPr>
      </w:pPr>
      <w:r w:rsidRPr="008C1882">
        <w:rPr>
          <w:rFonts w:ascii="Book Antiqua" w:hAnsi="Book Antiqua"/>
          <w:sz w:val="24"/>
          <w:szCs w:val="24"/>
        </w:rPr>
        <w:t>PSD II</w:t>
      </w:r>
    </w:p>
    <w:p w14:paraId="51D832EE" w14:textId="38F323E6" w:rsidR="00606525" w:rsidRPr="008C1882" w:rsidRDefault="00606525" w:rsidP="001053EF">
      <w:pPr>
        <w:pStyle w:val="ListParagraph"/>
        <w:numPr>
          <w:ilvl w:val="0"/>
          <w:numId w:val="5"/>
        </w:numPr>
        <w:spacing w:after="0"/>
        <w:rPr>
          <w:rFonts w:ascii="Book Antiqua" w:hAnsi="Book Antiqua"/>
          <w:sz w:val="24"/>
          <w:szCs w:val="24"/>
        </w:rPr>
      </w:pPr>
      <w:r w:rsidRPr="008C1882">
        <w:rPr>
          <w:rFonts w:ascii="Book Antiqua" w:hAnsi="Book Antiqua"/>
          <w:sz w:val="24"/>
          <w:szCs w:val="24"/>
        </w:rPr>
        <w:t>Conclusions</w:t>
      </w:r>
    </w:p>
    <w:p w14:paraId="6E26BD82" w14:textId="77777777" w:rsidR="00606525" w:rsidRPr="008C1882" w:rsidRDefault="00606525" w:rsidP="001053EF">
      <w:pPr>
        <w:spacing w:after="0"/>
        <w:rPr>
          <w:rFonts w:ascii="Book Antiqua" w:hAnsi="Book Antiqua"/>
          <w:sz w:val="24"/>
          <w:szCs w:val="24"/>
        </w:rPr>
      </w:pPr>
    </w:p>
    <w:p w14:paraId="0D1A8B28" w14:textId="47EB2035" w:rsidR="00C15C6A" w:rsidRPr="008C1882" w:rsidRDefault="00F14234" w:rsidP="00C15C6A">
      <w:pPr>
        <w:spacing w:after="0"/>
        <w:rPr>
          <w:rFonts w:ascii="Book Antiqua" w:hAnsi="Book Antiqua"/>
          <w:b/>
          <w:sz w:val="24"/>
          <w:szCs w:val="24"/>
        </w:rPr>
      </w:pPr>
      <w:r w:rsidRPr="008C1882">
        <w:rPr>
          <w:rFonts w:ascii="Book Antiqua" w:hAnsi="Book Antiqua"/>
          <w:b/>
          <w:sz w:val="24"/>
          <w:szCs w:val="24"/>
        </w:rPr>
        <w:t>Chapter 9 -</w:t>
      </w:r>
      <w:r w:rsidR="005562DE" w:rsidRPr="008C1882">
        <w:rPr>
          <w:rFonts w:ascii="Book Antiqua" w:hAnsi="Book Antiqua"/>
          <w:b/>
          <w:sz w:val="24"/>
          <w:szCs w:val="24"/>
        </w:rPr>
        <w:t xml:space="preserve"> </w:t>
      </w:r>
      <w:r w:rsidR="002B2BAA" w:rsidRPr="008C1882">
        <w:rPr>
          <w:rFonts w:ascii="Book Antiqua" w:hAnsi="Book Antiqua"/>
          <w:b/>
          <w:sz w:val="24"/>
          <w:szCs w:val="24"/>
        </w:rPr>
        <w:t>Mortgage Brokers under the Mortgage Credit Directive</w:t>
      </w:r>
      <w:r w:rsidR="009C7097">
        <w:rPr>
          <w:rFonts w:ascii="Book Antiqua" w:hAnsi="Book Antiqua"/>
          <w:b/>
          <w:sz w:val="24"/>
          <w:szCs w:val="24"/>
        </w:rPr>
        <w:tab/>
      </w:r>
      <w:r w:rsidR="009C7097">
        <w:rPr>
          <w:rFonts w:ascii="Book Antiqua" w:hAnsi="Book Antiqua"/>
          <w:b/>
          <w:sz w:val="24"/>
          <w:szCs w:val="24"/>
        </w:rPr>
        <w:tab/>
      </w:r>
      <w:r w:rsidR="00FD498B">
        <w:rPr>
          <w:rFonts w:ascii="Book Antiqua" w:hAnsi="Book Antiqua"/>
          <w:b/>
          <w:sz w:val="24"/>
          <w:szCs w:val="24"/>
        </w:rPr>
        <w:fldChar w:fldCharType="begin"/>
      </w:r>
      <w:r w:rsidR="00FD498B">
        <w:rPr>
          <w:rFonts w:ascii="Book Antiqua" w:hAnsi="Book Antiqua"/>
          <w:b/>
          <w:sz w:val="24"/>
          <w:szCs w:val="24"/>
        </w:rPr>
        <w:instrText xml:space="preserve"> PAGEREF _Ref345536289 \h </w:instrText>
      </w:r>
      <w:r w:rsidR="00FD498B">
        <w:rPr>
          <w:rFonts w:ascii="Book Antiqua" w:hAnsi="Book Antiqua"/>
          <w:b/>
          <w:sz w:val="24"/>
          <w:szCs w:val="24"/>
        </w:rPr>
      </w:r>
      <w:r w:rsidR="00FD498B">
        <w:rPr>
          <w:rFonts w:ascii="Book Antiqua" w:hAnsi="Book Antiqua"/>
          <w:b/>
          <w:sz w:val="24"/>
          <w:szCs w:val="24"/>
        </w:rPr>
        <w:fldChar w:fldCharType="separate"/>
      </w:r>
      <w:r w:rsidR="00FD498B">
        <w:rPr>
          <w:rFonts w:ascii="Book Antiqua" w:hAnsi="Book Antiqua"/>
          <w:b/>
          <w:noProof/>
          <w:sz w:val="24"/>
          <w:szCs w:val="24"/>
        </w:rPr>
        <w:t>104</w:t>
      </w:r>
      <w:r w:rsidR="00FD498B">
        <w:rPr>
          <w:rFonts w:ascii="Book Antiqua" w:hAnsi="Book Antiqua"/>
          <w:b/>
          <w:sz w:val="24"/>
          <w:szCs w:val="24"/>
        </w:rPr>
        <w:fldChar w:fldCharType="end"/>
      </w:r>
    </w:p>
    <w:p w14:paraId="4B5C890D" w14:textId="77777777" w:rsidR="005E73A3" w:rsidRPr="008C1882" w:rsidRDefault="00DD2EEF" w:rsidP="001053EF">
      <w:pPr>
        <w:pStyle w:val="ListParagraph"/>
        <w:numPr>
          <w:ilvl w:val="0"/>
          <w:numId w:val="6"/>
        </w:numPr>
        <w:spacing w:after="0"/>
        <w:rPr>
          <w:rFonts w:ascii="Book Antiqua" w:hAnsi="Book Antiqua"/>
          <w:sz w:val="24"/>
          <w:szCs w:val="24"/>
        </w:rPr>
      </w:pPr>
      <w:r w:rsidRPr="008C1882">
        <w:rPr>
          <w:rFonts w:ascii="Book Antiqua" w:hAnsi="Book Antiqua"/>
          <w:sz w:val="24"/>
          <w:szCs w:val="24"/>
        </w:rPr>
        <w:t>Introduction</w:t>
      </w:r>
    </w:p>
    <w:p w14:paraId="6EF4E648" w14:textId="77777777" w:rsidR="005E73A3" w:rsidRPr="008C1882" w:rsidRDefault="00DD2EEF" w:rsidP="001053EF">
      <w:pPr>
        <w:pStyle w:val="ListParagraph"/>
        <w:numPr>
          <w:ilvl w:val="0"/>
          <w:numId w:val="6"/>
        </w:numPr>
        <w:spacing w:after="0"/>
        <w:rPr>
          <w:rFonts w:ascii="Book Antiqua" w:hAnsi="Book Antiqua"/>
          <w:sz w:val="24"/>
          <w:szCs w:val="24"/>
        </w:rPr>
      </w:pPr>
      <w:r w:rsidRPr="008C1882">
        <w:rPr>
          <w:rFonts w:ascii="Book Antiqua" w:hAnsi="Book Antiqua"/>
          <w:sz w:val="24"/>
          <w:szCs w:val="24"/>
        </w:rPr>
        <w:lastRenderedPageBreak/>
        <w:t>Existing Mortgage Regulation in the UK as at February 2014</w:t>
      </w:r>
    </w:p>
    <w:p w14:paraId="377F352E" w14:textId="77777777" w:rsidR="005E73A3" w:rsidRPr="008C1882" w:rsidRDefault="00DD2EEF" w:rsidP="001053EF">
      <w:pPr>
        <w:pStyle w:val="ListParagraph"/>
        <w:numPr>
          <w:ilvl w:val="0"/>
          <w:numId w:val="6"/>
        </w:numPr>
        <w:spacing w:after="0"/>
        <w:rPr>
          <w:rFonts w:ascii="Book Antiqua" w:hAnsi="Book Antiqua"/>
          <w:sz w:val="24"/>
          <w:szCs w:val="24"/>
        </w:rPr>
      </w:pPr>
      <w:r w:rsidRPr="008C1882">
        <w:rPr>
          <w:rFonts w:ascii="Book Antiqua" w:hAnsi="Book Antiqua"/>
          <w:sz w:val="24"/>
          <w:szCs w:val="24"/>
        </w:rPr>
        <w:t>The Mortgage Credit Directive</w:t>
      </w:r>
    </w:p>
    <w:p w14:paraId="04859EA8" w14:textId="77777777" w:rsidR="005E73A3" w:rsidRPr="008C1882" w:rsidRDefault="00DD2EEF" w:rsidP="001053EF">
      <w:pPr>
        <w:pStyle w:val="ListParagraph"/>
        <w:numPr>
          <w:ilvl w:val="0"/>
          <w:numId w:val="6"/>
        </w:numPr>
        <w:spacing w:after="0"/>
        <w:rPr>
          <w:rFonts w:ascii="Book Antiqua" w:hAnsi="Book Antiqua"/>
          <w:sz w:val="24"/>
          <w:szCs w:val="24"/>
        </w:rPr>
      </w:pPr>
      <w:r w:rsidRPr="008C1882">
        <w:rPr>
          <w:rFonts w:ascii="Book Antiqua" w:hAnsi="Book Antiqua"/>
          <w:sz w:val="24"/>
          <w:szCs w:val="24"/>
        </w:rPr>
        <w:t>The UK’s Approach to Negotiations on the MCD</w:t>
      </w:r>
    </w:p>
    <w:p w14:paraId="077C21AB" w14:textId="77777777" w:rsidR="005E73A3" w:rsidRPr="008C1882" w:rsidRDefault="00DD2EEF" w:rsidP="001053EF">
      <w:pPr>
        <w:pStyle w:val="ListParagraph"/>
        <w:numPr>
          <w:ilvl w:val="0"/>
          <w:numId w:val="6"/>
        </w:numPr>
        <w:spacing w:after="0"/>
        <w:rPr>
          <w:rFonts w:ascii="Book Antiqua" w:hAnsi="Book Antiqua"/>
          <w:sz w:val="24"/>
          <w:szCs w:val="24"/>
        </w:rPr>
      </w:pPr>
      <w:r w:rsidRPr="008C1882">
        <w:rPr>
          <w:rFonts w:ascii="Book Antiqua" w:hAnsi="Book Antiqua"/>
          <w:sz w:val="24"/>
          <w:szCs w:val="24"/>
        </w:rPr>
        <w:t>The Mortgage Credit Directive Order and MCOB</w:t>
      </w:r>
    </w:p>
    <w:p w14:paraId="1C405EC3" w14:textId="4024425C" w:rsidR="00DD2EEF" w:rsidRPr="008C1882" w:rsidRDefault="00DD2EEF" w:rsidP="001053EF">
      <w:pPr>
        <w:pStyle w:val="ListParagraph"/>
        <w:numPr>
          <w:ilvl w:val="0"/>
          <w:numId w:val="6"/>
        </w:numPr>
        <w:spacing w:after="0"/>
        <w:rPr>
          <w:rFonts w:ascii="Book Antiqua" w:hAnsi="Book Antiqua"/>
          <w:sz w:val="24"/>
          <w:szCs w:val="24"/>
        </w:rPr>
      </w:pPr>
      <w:r w:rsidRPr="008C1882">
        <w:rPr>
          <w:rFonts w:ascii="Book Antiqua" w:hAnsi="Book Antiqua"/>
          <w:sz w:val="24"/>
          <w:szCs w:val="24"/>
        </w:rPr>
        <w:t>Discussion</w:t>
      </w:r>
    </w:p>
    <w:p w14:paraId="6C8027BE" w14:textId="77777777" w:rsidR="00DD2EEF" w:rsidRPr="008C1882" w:rsidRDefault="00DD2EEF" w:rsidP="001053EF">
      <w:pPr>
        <w:spacing w:after="0"/>
        <w:rPr>
          <w:rFonts w:ascii="Book Antiqua" w:hAnsi="Book Antiqua"/>
          <w:sz w:val="24"/>
          <w:szCs w:val="24"/>
        </w:rPr>
      </w:pPr>
    </w:p>
    <w:p w14:paraId="0B819A1D" w14:textId="77777777" w:rsidR="00DD2EEF" w:rsidRPr="008C1882" w:rsidRDefault="00DD2EEF" w:rsidP="001053EF">
      <w:pPr>
        <w:spacing w:after="0"/>
        <w:rPr>
          <w:rFonts w:ascii="Book Antiqua" w:hAnsi="Book Antiqua"/>
          <w:sz w:val="24"/>
          <w:szCs w:val="24"/>
        </w:rPr>
      </w:pPr>
    </w:p>
    <w:p w14:paraId="06020834" w14:textId="77777777" w:rsidR="00DD2EEF" w:rsidRPr="008C1882" w:rsidRDefault="00DD2EEF" w:rsidP="001053EF">
      <w:pPr>
        <w:spacing w:after="0"/>
        <w:rPr>
          <w:rFonts w:ascii="Book Antiqua" w:hAnsi="Book Antiqua"/>
          <w:sz w:val="24"/>
          <w:szCs w:val="24"/>
        </w:rPr>
      </w:pPr>
    </w:p>
    <w:p w14:paraId="1701792D" w14:textId="77777777" w:rsidR="005572A6" w:rsidRPr="008C1882" w:rsidRDefault="005572A6" w:rsidP="001053EF">
      <w:pPr>
        <w:spacing w:after="0"/>
        <w:rPr>
          <w:rFonts w:ascii="Book Antiqua" w:hAnsi="Book Antiqua"/>
          <w:sz w:val="24"/>
          <w:szCs w:val="24"/>
        </w:rPr>
      </w:pPr>
    </w:p>
    <w:p w14:paraId="43AD253C" w14:textId="2EBF27A9" w:rsidR="005572A6" w:rsidRPr="008C1882" w:rsidRDefault="001053EF" w:rsidP="005572A6">
      <w:pPr>
        <w:rPr>
          <w:rFonts w:ascii="Book Antiqua" w:hAnsi="Book Antiqua"/>
          <w:sz w:val="24"/>
          <w:szCs w:val="24"/>
        </w:rPr>
      </w:pPr>
      <w:bookmarkStart w:id="1" w:name="Authors"/>
      <w:bookmarkEnd w:id="1"/>
      <w:r w:rsidRPr="008C1882">
        <w:rPr>
          <w:rFonts w:ascii="Book Antiqua" w:hAnsi="Book Antiqua"/>
          <w:b/>
          <w:sz w:val="24"/>
          <w:szCs w:val="24"/>
          <w:u w:val="single"/>
        </w:rPr>
        <w:t>AUTHORS / CONTRIBUTORS</w:t>
      </w:r>
    </w:p>
    <w:p w14:paraId="647A4E54" w14:textId="77777777" w:rsidR="00F84C5C" w:rsidRPr="008C1882" w:rsidRDefault="00F84C5C" w:rsidP="005572A6">
      <w:pPr>
        <w:rPr>
          <w:rFonts w:ascii="Book Antiqua" w:hAnsi="Book Antiqua"/>
          <w:b/>
          <w:sz w:val="24"/>
          <w:szCs w:val="24"/>
          <w:u w:val="single"/>
        </w:rPr>
      </w:pPr>
    </w:p>
    <w:p w14:paraId="431BDD0F" w14:textId="279B783D" w:rsidR="005572A6" w:rsidRPr="008C1882" w:rsidRDefault="007A6261" w:rsidP="00476F02">
      <w:pPr>
        <w:spacing w:line="360" w:lineRule="auto"/>
        <w:rPr>
          <w:rFonts w:ascii="Book Antiqua" w:hAnsi="Book Antiqua"/>
          <w:b/>
          <w:sz w:val="24"/>
          <w:szCs w:val="24"/>
        </w:rPr>
      </w:pPr>
      <w:r w:rsidRPr="008C1882">
        <w:rPr>
          <w:rFonts w:ascii="Book Antiqua" w:hAnsi="Book Antiqua"/>
          <w:b/>
          <w:sz w:val="24"/>
          <w:szCs w:val="24"/>
        </w:rPr>
        <w:t xml:space="preserve">Andrew </w:t>
      </w:r>
      <w:proofErr w:type="spellStart"/>
      <w:r w:rsidRPr="008C1882">
        <w:rPr>
          <w:rFonts w:ascii="Book Antiqua" w:hAnsi="Book Antiqua"/>
          <w:b/>
          <w:sz w:val="24"/>
          <w:szCs w:val="24"/>
        </w:rPr>
        <w:t>Spink</w:t>
      </w:r>
      <w:proofErr w:type="spellEnd"/>
      <w:r w:rsidRPr="008C1882">
        <w:rPr>
          <w:rFonts w:ascii="Book Antiqua" w:hAnsi="Book Antiqua"/>
          <w:b/>
          <w:sz w:val="24"/>
          <w:szCs w:val="24"/>
        </w:rPr>
        <w:t xml:space="preserve"> QC</w:t>
      </w:r>
      <w:r w:rsidR="001147E0">
        <w:rPr>
          <w:rFonts w:ascii="Book Antiqua" w:hAnsi="Book Antiqua"/>
          <w:b/>
          <w:sz w:val="24"/>
          <w:szCs w:val="24"/>
        </w:rPr>
        <w:t xml:space="preserve"> </w:t>
      </w:r>
      <w:r w:rsidR="001147E0" w:rsidRPr="008C1882">
        <w:rPr>
          <w:rFonts w:ascii="Book Antiqua" w:hAnsi="Book Antiqua"/>
          <w:b/>
          <w:sz w:val="24"/>
          <w:szCs w:val="24"/>
        </w:rPr>
        <w:t>(joint Chair)</w:t>
      </w:r>
      <w:r w:rsidR="00467E04" w:rsidRPr="00467E04">
        <w:rPr>
          <w:rFonts w:ascii="Book Antiqua" w:hAnsi="Book Antiqua"/>
          <w:sz w:val="24"/>
          <w:szCs w:val="24"/>
        </w:rPr>
        <w:t xml:space="preserve">, </w:t>
      </w:r>
      <w:r w:rsidR="00467E04" w:rsidRPr="001147E0">
        <w:rPr>
          <w:rFonts w:ascii="Book Antiqua" w:hAnsi="Book Antiqua"/>
          <w:sz w:val="20"/>
          <w:szCs w:val="20"/>
        </w:rPr>
        <w:t>Outer Temple Chambers</w:t>
      </w:r>
      <w:r w:rsidRPr="008C1882">
        <w:rPr>
          <w:rFonts w:ascii="Book Antiqua" w:hAnsi="Book Antiqua"/>
          <w:b/>
          <w:sz w:val="24"/>
          <w:szCs w:val="24"/>
        </w:rPr>
        <w:t xml:space="preserve"> </w:t>
      </w:r>
    </w:p>
    <w:p w14:paraId="79954F3C" w14:textId="5FB771B5" w:rsidR="00AF11F0" w:rsidRPr="008C1882" w:rsidRDefault="007A6261" w:rsidP="001B6404">
      <w:pPr>
        <w:spacing w:line="360" w:lineRule="auto"/>
        <w:rPr>
          <w:rFonts w:ascii="Book Antiqua" w:hAnsi="Book Antiqua"/>
          <w:b/>
          <w:sz w:val="24"/>
          <w:szCs w:val="24"/>
        </w:rPr>
      </w:pPr>
      <w:proofErr w:type="spellStart"/>
      <w:r w:rsidRPr="008C1882">
        <w:rPr>
          <w:rFonts w:ascii="Book Antiqua" w:hAnsi="Book Antiqua"/>
          <w:b/>
          <w:sz w:val="24"/>
          <w:szCs w:val="24"/>
        </w:rPr>
        <w:t>Javan</w:t>
      </w:r>
      <w:proofErr w:type="spellEnd"/>
      <w:r w:rsidRPr="008C1882">
        <w:rPr>
          <w:rFonts w:ascii="Book Antiqua" w:hAnsi="Book Antiqua"/>
          <w:b/>
          <w:sz w:val="24"/>
          <w:szCs w:val="24"/>
        </w:rPr>
        <w:t xml:space="preserve"> </w:t>
      </w:r>
      <w:proofErr w:type="spellStart"/>
      <w:r w:rsidRPr="008C1882">
        <w:rPr>
          <w:rFonts w:ascii="Book Antiqua" w:hAnsi="Book Antiqua"/>
          <w:b/>
          <w:sz w:val="24"/>
          <w:szCs w:val="24"/>
        </w:rPr>
        <w:t>Herberg</w:t>
      </w:r>
      <w:proofErr w:type="spellEnd"/>
      <w:r w:rsidRPr="008C1882">
        <w:rPr>
          <w:rFonts w:ascii="Book Antiqua" w:hAnsi="Book Antiqua"/>
          <w:b/>
          <w:sz w:val="24"/>
          <w:szCs w:val="24"/>
        </w:rPr>
        <w:t xml:space="preserve"> QC</w:t>
      </w:r>
      <w:r w:rsidR="001147E0">
        <w:rPr>
          <w:rFonts w:ascii="Book Antiqua" w:hAnsi="Book Antiqua"/>
          <w:b/>
          <w:sz w:val="24"/>
          <w:szCs w:val="24"/>
        </w:rPr>
        <w:t xml:space="preserve"> </w:t>
      </w:r>
      <w:r w:rsidR="001147E0" w:rsidRPr="008C1882">
        <w:rPr>
          <w:rFonts w:ascii="Book Antiqua" w:hAnsi="Book Antiqua"/>
          <w:b/>
          <w:sz w:val="24"/>
          <w:szCs w:val="24"/>
        </w:rPr>
        <w:t>(joint Chair)</w:t>
      </w:r>
      <w:r w:rsidR="00467E04" w:rsidRPr="00467E04">
        <w:rPr>
          <w:rFonts w:ascii="Book Antiqua" w:hAnsi="Book Antiqua"/>
          <w:sz w:val="24"/>
          <w:szCs w:val="24"/>
        </w:rPr>
        <w:t xml:space="preserve">, </w:t>
      </w:r>
      <w:r w:rsidR="00467E04" w:rsidRPr="001147E0">
        <w:rPr>
          <w:rFonts w:ascii="Book Antiqua" w:hAnsi="Book Antiqua"/>
          <w:sz w:val="20"/>
          <w:szCs w:val="20"/>
        </w:rPr>
        <w:t>Blackstone Chambers</w:t>
      </w:r>
      <w:r w:rsidRPr="008C1882">
        <w:rPr>
          <w:rFonts w:ascii="Book Antiqua" w:hAnsi="Book Antiqua"/>
          <w:b/>
          <w:sz w:val="24"/>
          <w:szCs w:val="24"/>
        </w:rPr>
        <w:t xml:space="preserve"> </w:t>
      </w:r>
    </w:p>
    <w:p w14:paraId="7FB9AC3C" w14:textId="7EC68E35" w:rsidR="00AF11F0" w:rsidRPr="008C1882" w:rsidRDefault="00AF11F0" w:rsidP="00AF11F0">
      <w:pPr>
        <w:spacing w:after="120" w:line="360" w:lineRule="auto"/>
        <w:rPr>
          <w:rFonts w:ascii="Book Antiqua" w:hAnsi="Book Antiqua"/>
          <w:b/>
          <w:sz w:val="24"/>
          <w:szCs w:val="24"/>
        </w:rPr>
      </w:pPr>
      <w:r w:rsidRPr="008C1882">
        <w:rPr>
          <w:rFonts w:ascii="Book Antiqua" w:hAnsi="Book Antiqua"/>
          <w:b/>
          <w:sz w:val="24"/>
          <w:szCs w:val="24"/>
        </w:rPr>
        <w:t xml:space="preserve">Andrew </w:t>
      </w:r>
      <w:proofErr w:type="spellStart"/>
      <w:r w:rsidRPr="008C1882">
        <w:rPr>
          <w:rFonts w:ascii="Book Antiqua" w:hAnsi="Book Antiqua"/>
          <w:b/>
          <w:sz w:val="24"/>
          <w:szCs w:val="24"/>
        </w:rPr>
        <w:t>Henshaw</w:t>
      </w:r>
      <w:proofErr w:type="spellEnd"/>
      <w:r w:rsidR="00467E04">
        <w:rPr>
          <w:rFonts w:ascii="Book Antiqua" w:hAnsi="Book Antiqua"/>
          <w:b/>
          <w:sz w:val="24"/>
          <w:szCs w:val="24"/>
        </w:rPr>
        <w:t xml:space="preserve"> QC</w:t>
      </w:r>
      <w:r w:rsidR="00467E04" w:rsidRPr="00544216">
        <w:rPr>
          <w:rFonts w:ascii="Book Antiqua" w:hAnsi="Book Antiqua"/>
          <w:sz w:val="24"/>
          <w:szCs w:val="24"/>
        </w:rPr>
        <w:t xml:space="preserve">, </w:t>
      </w:r>
      <w:r w:rsidR="00467E04" w:rsidRPr="001147E0">
        <w:rPr>
          <w:rFonts w:ascii="Book Antiqua" w:hAnsi="Book Antiqua"/>
          <w:sz w:val="20"/>
          <w:szCs w:val="20"/>
        </w:rPr>
        <w:t>Brick Court Chambers</w:t>
      </w:r>
    </w:p>
    <w:p w14:paraId="07EA9118" w14:textId="73ADC4C9" w:rsidR="001B6404" w:rsidRPr="00467E04" w:rsidRDefault="00467E04" w:rsidP="001147E0">
      <w:pPr>
        <w:rPr>
          <w:rFonts w:ascii="Book Antiqua" w:hAnsi="Book Antiqua"/>
          <w:sz w:val="24"/>
          <w:szCs w:val="24"/>
        </w:rPr>
      </w:pPr>
      <w:r>
        <w:rPr>
          <w:rFonts w:ascii="Book Antiqua" w:hAnsi="Book Antiqua"/>
          <w:b/>
          <w:sz w:val="24"/>
          <w:szCs w:val="24"/>
        </w:rPr>
        <w:t xml:space="preserve">Deborah </w:t>
      </w:r>
      <w:proofErr w:type="spellStart"/>
      <w:r>
        <w:rPr>
          <w:rFonts w:ascii="Book Antiqua" w:hAnsi="Book Antiqua"/>
          <w:b/>
          <w:sz w:val="24"/>
          <w:szCs w:val="24"/>
        </w:rPr>
        <w:t>Sabalot</w:t>
      </w:r>
      <w:proofErr w:type="spellEnd"/>
      <w:r>
        <w:rPr>
          <w:rFonts w:ascii="Book Antiqua" w:hAnsi="Book Antiqua"/>
          <w:sz w:val="24"/>
          <w:szCs w:val="24"/>
        </w:rPr>
        <w:t xml:space="preserve">, </w:t>
      </w:r>
      <w:r w:rsidR="001147E0" w:rsidRPr="001147E0">
        <w:rPr>
          <w:rFonts w:ascii="Book Antiqua" w:hAnsi="Book Antiqua"/>
          <w:sz w:val="20"/>
          <w:szCs w:val="20"/>
        </w:rPr>
        <w:t xml:space="preserve">Solicitor, Editor </w:t>
      </w:r>
      <w:proofErr w:type="spellStart"/>
      <w:r w:rsidR="001147E0">
        <w:rPr>
          <w:rFonts w:ascii="Book Antiqua" w:hAnsi="Book Antiqua"/>
          <w:sz w:val="20"/>
          <w:szCs w:val="20"/>
        </w:rPr>
        <w:t>Butterworths</w:t>
      </w:r>
      <w:proofErr w:type="spellEnd"/>
      <w:r w:rsidR="001147E0">
        <w:rPr>
          <w:rFonts w:ascii="Book Antiqua" w:hAnsi="Book Antiqua"/>
          <w:sz w:val="20"/>
          <w:szCs w:val="20"/>
        </w:rPr>
        <w:t xml:space="preserve"> </w:t>
      </w:r>
      <w:r w:rsidR="001147E0" w:rsidRPr="001147E0">
        <w:rPr>
          <w:rFonts w:ascii="Book Antiqua" w:hAnsi="Book Antiqua" w:cs="OpenSans"/>
          <w:i/>
          <w:color w:val="262626"/>
          <w:sz w:val="20"/>
          <w:szCs w:val="20"/>
          <w:lang w:val="en-US"/>
        </w:rPr>
        <w:t>Securities and Financial Services Law Handbook</w:t>
      </w:r>
      <w:r w:rsidR="001147E0">
        <w:rPr>
          <w:rFonts w:ascii="Book Antiqua" w:hAnsi="Book Antiqua"/>
          <w:sz w:val="20"/>
          <w:szCs w:val="20"/>
        </w:rPr>
        <w:t xml:space="preserve"> </w:t>
      </w:r>
      <w:r w:rsidR="001147E0">
        <w:rPr>
          <w:rFonts w:ascii="Book Antiqua" w:hAnsi="Book Antiqua"/>
          <w:i/>
          <w:sz w:val="20"/>
          <w:szCs w:val="20"/>
        </w:rPr>
        <w:t xml:space="preserve">and </w:t>
      </w:r>
      <w:r w:rsidR="00544216" w:rsidRPr="001147E0">
        <w:rPr>
          <w:rFonts w:ascii="Book Antiqua" w:hAnsi="Book Antiqua"/>
          <w:sz w:val="20"/>
          <w:szCs w:val="20"/>
        </w:rPr>
        <w:t>Outer Temple Chambers Professional Associat</w:t>
      </w:r>
      <w:r w:rsidR="00544216" w:rsidRPr="001147E0">
        <w:rPr>
          <w:rFonts w:ascii="Book Antiqua" w:hAnsi="Book Antiqua"/>
        </w:rPr>
        <w:t>e</w:t>
      </w:r>
    </w:p>
    <w:p w14:paraId="6F2C9542" w14:textId="0AEDF0D4" w:rsidR="00E52164" w:rsidRPr="00424A60" w:rsidRDefault="001B6404" w:rsidP="001B6404">
      <w:pPr>
        <w:spacing w:line="360" w:lineRule="auto"/>
        <w:rPr>
          <w:rFonts w:ascii="Book Antiqua" w:hAnsi="Book Antiqua"/>
          <w:sz w:val="20"/>
          <w:szCs w:val="20"/>
        </w:rPr>
      </w:pPr>
      <w:r w:rsidRPr="008C1882">
        <w:rPr>
          <w:rFonts w:ascii="Book Antiqua" w:hAnsi="Book Antiqua"/>
          <w:b/>
          <w:sz w:val="24"/>
          <w:szCs w:val="24"/>
        </w:rPr>
        <w:t>Peter Dodge</w:t>
      </w:r>
      <w:r w:rsidR="00C62FA8">
        <w:rPr>
          <w:rFonts w:ascii="Book Antiqua" w:hAnsi="Book Antiqua"/>
          <w:sz w:val="24"/>
          <w:szCs w:val="24"/>
        </w:rPr>
        <w:t xml:space="preserve">, </w:t>
      </w:r>
      <w:r w:rsidR="00424A60">
        <w:rPr>
          <w:rFonts w:ascii="Book Antiqua" w:hAnsi="Book Antiqua"/>
          <w:sz w:val="20"/>
          <w:szCs w:val="20"/>
        </w:rPr>
        <w:t>Radcliffe Chambers</w:t>
      </w:r>
    </w:p>
    <w:p w14:paraId="5250CE31" w14:textId="33886778" w:rsidR="007A6261" w:rsidRPr="00FF44DC" w:rsidRDefault="00E52164" w:rsidP="00E52164">
      <w:pPr>
        <w:spacing w:line="360" w:lineRule="auto"/>
        <w:rPr>
          <w:rFonts w:ascii="Book Antiqua" w:hAnsi="Book Antiqua"/>
          <w:sz w:val="20"/>
          <w:szCs w:val="20"/>
        </w:rPr>
      </w:pPr>
      <w:proofErr w:type="spellStart"/>
      <w:r w:rsidRPr="008C1882">
        <w:rPr>
          <w:rFonts w:ascii="Book Antiqua" w:hAnsi="Book Antiqua"/>
          <w:b/>
          <w:sz w:val="24"/>
          <w:szCs w:val="24"/>
        </w:rPr>
        <w:t>Saima</w:t>
      </w:r>
      <w:proofErr w:type="spellEnd"/>
      <w:r w:rsidRPr="008C1882">
        <w:rPr>
          <w:rFonts w:ascii="Book Antiqua" w:hAnsi="Book Antiqua"/>
          <w:b/>
          <w:sz w:val="24"/>
          <w:szCs w:val="24"/>
        </w:rPr>
        <w:t xml:space="preserve"> </w:t>
      </w:r>
      <w:proofErr w:type="spellStart"/>
      <w:r w:rsidRPr="008C1882">
        <w:rPr>
          <w:rFonts w:ascii="Book Antiqua" w:hAnsi="Book Antiqua"/>
          <w:b/>
          <w:sz w:val="24"/>
          <w:szCs w:val="24"/>
        </w:rPr>
        <w:t>Hanif</w:t>
      </w:r>
      <w:proofErr w:type="spellEnd"/>
      <w:r w:rsidR="00FF44DC">
        <w:rPr>
          <w:rFonts w:ascii="Book Antiqua" w:hAnsi="Book Antiqua"/>
          <w:sz w:val="24"/>
          <w:szCs w:val="24"/>
        </w:rPr>
        <w:t xml:space="preserve">, </w:t>
      </w:r>
      <w:r w:rsidR="00FF44DC">
        <w:rPr>
          <w:rFonts w:ascii="Book Antiqua" w:hAnsi="Book Antiqua"/>
          <w:sz w:val="20"/>
          <w:szCs w:val="20"/>
        </w:rPr>
        <w:t xml:space="preserve">39 Essex </w:t>
      </w:r>
      <w:r w:rsidR="00B102A2">
        <w:rPr>
          <w:rFonts w:ascii="Book Antiqua" w:hAnsi="Book Antiqua"/>
          <w:sz w:val="20"/>
          <w:szCs w:val="20"/>
        </w:rPr>
        <w:t>Chambers</w:t>
      </w:r>
    </w:p>
    <w:p w14:paraId="1261084A" w14:textId="65FE9A6B" w:rsidR="00941425" w:rsidRPr="009A1BC0" w:rsidRDefault="00941425" w:rsidP="00E52164">
      <w:pPr>
        <w:spacing w:line="360" w:lineRule="auto"/>
        <w:rPr>
          <w:rFonts w:ascii="Book Antiqua" w:hAnsi="Book Antiqua"/>
          <w:sz w:val="20"/>
          <w:szCs w:val="20"/>
        </w:rPr>
      </w:pPr>
      <w:r>
        <w:rPr>
          <w:rFonts w:ascii="Book Antiqua" w:hAnsi="Book Antiqua"/>
          <w:b/>
          <w:sz w:val="24"/>
          <w:szCs w:val="24"/>
        </w:rPr>
        <w:t xml:space="preserve">Harris </w:t>
      </w:r>
      <w:proofErr w:type="spellStart"/>
      <w:r>
        <w:rPr>
          <w:rFonts w:ascii="Book Antiqua" w:hAnsi="Book Antiqua"/>
          <w:b/>
          <w:sz w:val="24"/>
          <w:szCs w:val="24"/>
        </w:rPr>
        <w:t>Bor</w:t>
      </w:r>
      <w:proofErr w:type="spellEnd"/>
      <w:r w:rsidR="009A1BC0">
        <w:rPr>
          <w:rFonts w:ascii="Book Antiqua" w:hAnsi="Book Antiqua"/>
          <w:sz w:val="24"/>
          <w:szCs w:val="24"/>
        </w:rPr>
        <w:t xml:space="preserve">, </w:t>
      </w:r>
      <w:r w:rsidR="009A1BC0">
        <w:rPr>
          <w:rFonts w:ascii="Book Antiqua" w:hAnsi="Book Antiqua"/>
          <w:sz w:val="20"/>
          <w:szCs w:val="20"/>
        </w:rPr>
        <w:t>20 Essex Street</w:t>
      </w:r>
    </w:p>
    <w:p w14:paraId="188DCF63" w14:textId="3E21D03F" w:rsidR="00476F02" w:rsidRPr="004606D4" w:rsidRDefault="007A6261" w:rsidP="001B6404">
      <w:pPr>
        <w:spacing w:line="360" w:lineRule="auto"/>
        <w:rPr>
          <w:rFonts w:ascii="Book Antiqua" w:hAnsi="Book Antiqua"/>
          <w:sz w:val="20"/>
          <w:szCs w:val="20"/>
        </w:rPr>
      </w:pPr>
      <w:r w:rsidRPr="008C1882">
        <w:rPr>
          <w:rFonts w:ascii="Book Antiqua" w:hAnsi="Book Antiqua"/>
          <w:b/>
          <w:sz w:val="24"/>
          <w:szCs w:val="24"/>
        </w:rPr>
        <w:t xml:space="preserve">Oliver </w:t>
      </w:r>
      <w:proofErr w:type="spellStart"/>
      <w:r w:rsidRPr="008C1882">
        <w:rPr>
          <w:rFonts w:ascii="Book Antiqua" w:hAnsi="Book Antiqua"/>
          <w:b/>
          <w:sz w:val="24"/>
          <w:szCs w:val="24"/>
        </w:rPr>
        <w:t>Assersohn</w:t>
      </w:r>
      <w:proofErr w:type="spellEnd"/>
      <w:r w:rsidR="004606D4">
        <w:rPr>
          <w:rFonts w:ascii="Book Antiqua" w:hAnsi="Book Antiqua"/>
          <w:sz w:val="24"/>
          <w:szCs w:val="24"/>
        </w:rPr>
        <w:t xml:space="preserve">, </w:t>
      </w:r>
      <w:r w:rsidR="004606D4" w:rsidRPr="001147E0">
        <w:rPr>
          <w:rFonts w:ascii="Book Antiqua" w:hAnsi="Book Antiqua"/>
          <w:sz w:val="20"/>
          <w:szCs w:val="20"/>
        </w:rPr>
        <w:t>Outer Temple Chambers</w:t>
      </w:r>
    </w:p>
    <w:p w14:paraId="7D9D52FE" w14:textId="1ECAC273" w:rsidR="00F234AD" w:rsidRPr="008C1882" w:rsidRDefault="00476F02" w:rsidP="00F234AD">
      <w:pPr>
        <w:spacing w:line="360" w:lineRule="auto"/>
        <w:rPr>
          <w:rFonts w:ascii="Book Antiqua" w:hAnsi="Book Antiqua"/>
          <w:b/>
          <w:sz w:val="24"/>
          <w:szCs w:val="24"/>
        </w:rPr>
      </w:pPr>
      <w:proofErr w:type="spellStart"/>
      <w:r w:rsidRPr="008C1882">
        <w:rPr>
          <w:rFonts w:ascii="Book Antiqua" w:hAnsi="Book Antiqua"/>
          <w:b/>
          <w:sz w:val="24"/>
          <w:szCs w:val="24"/>
        </w:rPr>
        <w:t>Farhaz</w:t>
      </w:r>
      <w:proofErr w:type="spellEnd"/>
      <w:r w:rsidRPr="008C1882">
        <w:rPr>
          <w:rFonts w:ascii="Book Antiqua" w:hAnsi="Book Antiqua"/>
          <w:b/>
          <w:sz w:val="24"/>
          <w:szCs w:val="24"/>
        </w:rPr>
        <w:t xml:space="preserve"> Khan</w:t>
      </w:r>
      <w:r w:rsidR="004606D4">
        <w:rPr>
          <w:rFonts w:ascii="Book Antiqua" w:hAnsi="Book Antiqua"/>
          <w:sz w:val="24"/>
          <w:szCs w:val="24"/>
        </w:rPr>
        <w:t xml:space="preserve">, </w:t>
      </w:r>
      <w:r w:rsidR="004606D4" w:rsidRPr="001147E0">
        <w:rPr>
          <w:rFonts w:ascii="Book Antiqua" w:hAnsi="Book Antiqua"/>
          <w:sz w:val="20"/>
          <w:szCs w:val="20"/>
        </w:rPr>
        <w:t>Outer Temple Chambers</w:t>
      </w:r>
      <w:r w:rsidRPr="008C1882">
        <w:rPr>
          <w:rFonts w:ascii="Book Antiqua" w:hAnsi="Book Antiqua"/>
          <w:b/>
          <w:sz w:val="24"/>
          <w:szCs w:val="24"/>
        </w:rPr>
        <w:t xml:space="preserve"> </w:t>
      </w:r>
    </w:p>
    <w:p w14:paraId="2B3BC5DB" w14:textId="63928859" w:rsidR="00476F02" w:rsidRPr="008C1882" w:rsidRDefault="00F234AD" w:rsidP="00F234AD">
      <w:pPr>
        <w:spacing w:line="360" w:lineRule="auto"/>
        <w:rPr>
          <w:rFonts w:ascii="Book Antiqua" w:hAnsi="Book Antiqua"/>
          <w:b/>
          <w:sz w:val="24"/>
          <w:szCs w:val="24"/>
        </w:rPr>
      </w:pPr>
      <w:r w:rsidRPr="008C1882">
        <w:rPr>
          <w:rFonts w:ascii="Book Antiqua" w:hAnsi="Book Antiqua"/>
          <w:b/>
          <w:sz w:val="24"/>
          <w:szCs w:val="24"/>
        </w:rPr>
        <w:t xml:space="preserve">Miranda De </w:t>
      </w:r>
      <w:proofErr w:type="spellStart"/>
      <w:r w:rsidRPr="008C1882">
        <w:rPr>
          <w:rFonts w:ascii="Book Antiqua" w:hAnsi="Book Antiqua"/>
          <w:b/>
          <w:sz w:val="24"/>
          <w:szCs w:val="24"/>
        </w:rPr>
        <w:t>Savorgnani</w:t>
      </w:r>
      <w:proofErr w:type="spellEnd"/>
      <w:r w:rsidR="004606D4">
        <w:rPr>
          <w:rFonts w:ascii="Book Antiqua" w:hAnsi="Book Antiqua"/>
          <w:sz w:val="24"/>
          <w:szCs w:val="24"/>
        </w:rPr>
        <w:t xml:space="preserve">, </w:t>
      </w:r>
      <w:r w:rsidR="004606D4" w:rsidRPr="001147E0">
        <w:rPr>
          <w:rFonts w:ascii="Book Antiqua" w:hAnsi="Book Antiqua"/>
          <w:sz w:val="20"/>
          <w:szCs w:val="20"/>
        </w:rPr>
        <w:t>Outer Temple Chambers</w:t>
      </w:r>
    </w:p>
    <w:p w14:paraId="1EE9A801" w14:textId="6AEA9250" w:rsidR="00F234AD" w:rsidRPr="0088395B" w:rsidRDefault="00476F02" w:rsidP="00F234AD">
      <w:pPr>
        <w:spacing w:line="360" w:lineRule="auto"/>
        <w:rPr>
          <w:rFonts w:ascii="Book Antiqua" w:hAnsi="Book Antiqua"/>
          <w:b/>
          <w:sz w:val="20"/>
          <w:szCs w:val="20"/>
        </w:rPr>
      </w:pPr>
      <w:r w:rsidRPr="008C1882">
        <w:rPr>
          <w:rFonts w:ascii="Book Antiqua" w:hAnsi="Book Antiqua"/>
          <w:b/>
          <w:sz w:val="24"/>
          <w:szCs w:val="24"/>
        </w:rPr>
        <w:t xml:space="preserve">Robert </w:t>
      </w:r>
      <w:proofErr w:type="spellStart"/>
      <w:r w:rsidRPr="008C1882">
        <w:rPr>
          <w:rFonts w:ascii="Book Antiqua" w:hAnsi="Book Antiqua"/>
          <w:b/>
          <w:sz w:val="24"/>
          <w:szCs w:val="24"/>
        </w:rPr>
        <w:t>Purves</w:t>
      </w:r>
      <w:proofErr w:type="spellEnd"/>
      <w:r w:rsidR="0088395B" w:rsidRPr="0088395B">
        <w:rPr>
          <w:rFonts w:ascii="Book Antiqua" w:hAnsi="Book Antiqua"/>
          <w:sz w:val="24"/>
          <w:szCs w:val="24"/>
        </w:rPr>
        <w:t xml:space="preserve">, </w:t>
      </w:r>
      <w:r w:rsidR="0088395B">
        <w:rPr>
          <w:rFonts w:ascii="Book Antiqua" w:hAnsi="Book Antiqua"/>
          <w:sz w:val="20"/>
          <w:szCs w:val="20"/>
        </w:rPr>
        <w:t>3VB</w:t>
      </w:r>
    </w:p>
    <w:p w14:paraId="08BBF40B" w14:textId="01BE3607" w:rsidR="00AE01B1" w:rsidRPr="008C7291" w:rsidRDefault="00F234AD" w:rsidP="00F234AD">
      <w:pPr>
        <w:spacing w:line="360" w:lineRule="auto"/>
        <w:rPr>
          <w:rFonts w:ascii="Book Antiqua" w:hAnsi="Book Antiqua"/>
          <w:sz w:val="20"/>
          <w:szCs w:val="20"/>
        </w:rPr>
      </w:pPr>
      <w:proofErr w:type="spellStart"/>
      <w:r w:rsidRPr="008C1882">
        <w:rPr>
          <w:rFonts w:ascii="Book Antiqua" w:hAnsi="Book Antiqua"/>
          <w:b/>
          <w:sz w:val="24"/>
          <w:szCs w:val="24"/>
        </w:rPr>
        <w:t>Niamh</w:t>
      </w:r>
      <w:proofErr w:type="spellEnd"/>
      <w:r w:rsidRPr="008C1882">
        <w:rPr>
          <w:rFonts w:ascii="Book Antiqua" w:hAnsi="Book Antiqua"/>
          <w:b/>
          <w:sz w:val="24"/>
          <w:szCs w:val="24"/>
        </w:rPr>
        <w:t xml:space="preserve"> Cleary</w:t>
      </w:r>
      <w:r w:rsidR="008C7291">
        <w:rPr>
          <w:rFonts w:ascii="Book Antiqua" w:hAnsi="Book Antiqua"/>
          <w:sz w:val="24"/>
          <w:szCs w:val="24"/>
        </w:rPr>
        <w:t xml:space="preserve">, </w:t>
      </w:r>
      <w:r w:rsidR="008C7291">
        <w:rPr>
          <w:rFonts w:ascii="Book Antiqua" w:hAnsi="Book Antiqua"/>
          <w:sz w:val="20"/>
          <w:szCs w:val="20"/>
        </w:rPr>
        <w:t>Fountain Court</w:t>
      </w:r>
      <w:r w:rsidR="008273D2">
        <w:rPr>
          <w:rFonts w:ascii="Book Antiqua" w:hAnsi="Book Antiqua"/>
          <w:sz w:val="20"/>
          <w:szCs w:val="20"/>
        </w:rPr>
        <w:t xml:space="preserve"> Chambers</w:t>
      </w:r>
    </w:p>
    <w:p w14:paraId="06FE8015" w14:textId="6EEF52A8" w:rsidR="00AF11F0" w:rsidRPr="00F91258" w:rsidRDefault="00AE01B1" w:rsidP="00AE01B1">
      <w:pPr>
        <w:spacing w:line="360" w:lineRule="auto"/>
        <w:rPr>
          <w:rFonts w:ascii="Book Antiqua" w:hAnsi="Book Antiqua"/>
          <w:sz w:val="20"/>
          <w:szCs w:val="20"/>
        </w:rPr>
      </w:pPr>
      <w:r w:rsidRPr="008C1882">
        <w:rPr>
          <w:rFonts w:ascii="Book Antiqua" w:hAnsi="Book Antiqua"/>
          <w:b/>
          <w:sz w:val="24"/>
          <w:szCs w:val="24"/>
        </w:rPr>
        <w:t xml:space="preserve">Oliver </w:t>
      </w:r>
      <w:proofErr w:type="spellStart"/>
      <w:r w:rsidRPr="008C1882">
        <w:rPr>
          <w:rFonts w:ascii="Book Antiqua" w:hAnsi="Book Antiqua"/>
          <w:b/>
          <w:sz w:val="24"/>
          <w:szCs w:val="24"/>
        </w:rPr>
        <w:t>Hyams</w:t>
      </w:r>
      <w:proofErr w:type="spellEnd"/>
      <w:r w:rsidR="00F91258">
        <w:rPr>
          <w:rFonts w:ascii="Book Antiqua" w:hAnsi="Book Antiqua"/>
          <w:sz w:val="24"/>
          <w:szCs w:val="24"/>
        </w:rPr>
        <w:t xml:space="preserve">, </w:t>
      </w:r>
      <w:r w:rsidR="00F91258">
        <w:rPr>
          <w:rFonts w:ascii="Book Antiqua" w:hAnsi="Book Antiqua"/>
          <w:sz w:val="20"/>
          <w:szCs w:val="20"/>
        </w:rPr>
        <w:t>Lamb Chambers</w:t>
      </w:r>
    </w:p>
    <w:p w14:paraId="780BDA02" w14:textId="73BDF2FD" w:rsidR="00E90EC6" w:rsidRPr="00B921A4" w:rsidRDefault="00AF11F0" w:rsidP="00AF11F0">
      <w:pPr>
        <w:spacing w:after="120" w:line="360" w:lineRule="auto"/>
        <w:rPr>
          <w:rFonts w:ascii="Book Antiqua" w:hAnsi="Book Antiqua"/>
          <w:b/>
          <w:sz w:val="24"/>
          <w:szCs w:val="24"/>
        </w:rPr>
      </w:pPr>
      <w:r w:rsidRPr="00B921A4">
        <w:rPr>
          <w:rFonts w:ascii="Book Antiqua" w:hAnsi="Book Antiqua"/>
          <w:b/>
          <w:sz w:val="24"/>
          <w:szCs w:val="24"/>
        </w:rPr>
        <w:t xml:space="preserve">Sarah </w:t>
      </w:r>
      <w:proofErr w:type="spellStart"/>
      <w:r w:rsidRPr="00B921A4">
        <w:rPr>
          <w:rFonts w:ascii="Book Antiqua" w:hAnsi="Book Antiqua"/>
          <w:b/>
          <w:sz w:val="24"/>
          <w:szCs w:val="24"/>
        </w:rPr>
        <w:t>Bousfield</w:t>
      </w:r>
      <w:proofErr w:type="spellEnd"/>
      <w:r w:rsidR="00682006">
        <w:rPr>
          <w:rFonts w:ascii="Book Antiqua" w:hAnsi="Book Antiqua"/>
          <w:sz w:val="24"/>
          <w:szCs w:val="24"/>
        </w:rPr>
        <w:t xml:space="preserve">, </w:t>
      </w:r>
      <w:r w:rsidR="00682006">
        <w:rPr>
          <w:rFonts w:ascii="Book Antiqua" w:hAnsi="Book Antiqua"/>
          <w:sz w:val="20"/>
          <w:szCs w:val="20"/>
        </w:rPr>
        <w:t>39 Essex Chambers</w:t>
      </w:r>
    </w:p>
    <w:p w14:paraId="70C50DC4" w14:textId="77777777" w:rsidR="00E90EC6" w:rsidRPr="008C1882" w:rsidRDefault="00E90EC6">
      <w:pPr>
        <w:rPr>
          <w:rFonts w:ascii="Book Antiqua" w:hAnsi="Book Antiqua"/>
          <w:sz w:val="24"/>
          <w:szCs w:val="24"/>
        </w:rPr>
      </w:pPr>
      <w:r w:rsidRPr="008C1882">
        <w:rPr>
          <w:rFonts w:ascii="Book Antiqua" w:hAnsi="Book Antiqua"/>
          <w:sz w:val="24"/>
          <w:szCs w:val="24"/>
        </w:rPr>
        <w:br w:type="page"/>
      </w:r>
    </w:p>
    <w:p w14:paraId="03C3FCCA" w14:textId="08B08721" w:rsidR="00F81091" w:rsidRPr="008C1882" w:rsidRDefault="00F81091" w:rsidP="00F81091">
      <w:pPr>
        <w:spacing w:line="360" w:lineRule="auto"/>
        <w:ind w:left="567" w:hanging="567"/>
        <w:rPr>
          <w:rFonts w:ascii="Book Antiqua" w:hAnsi="Book Antiqua" w:cs="Times New Roman"/>
          <w:b/>
          <w:sz w:val="24"/>
          <w:szCs w:val="24"/>
          <w:u w:val="single"/>
        </w:rPr>
      </w:pPr>
      <w:r w:rsidRPr="008C1882">
        <w:rPr>
          <w:rFonts w:ascii="Book Antiqua" w:hAnsi="Book Antiqua" w:cs="Times New Roman"/>
          <w:b/>
          <w:sz w:val="24"/>
          <w:szCs w:val="24"/>
          <w:u w:val="single"/>
        </w:rPr>
        <w:lastRenderedPageBreak/>
        <w:t xml:space="preserve">INTRODUCTION </w:t>
      </w:r>
      <w:r w:rsidR="00C1609C" w:rsidRPr="008C1882">
        <w:rPr>
          <w:rFonts w:ascii="Book Antiqua" w:hAnsi="Book Antiqua" w:cs="Times New Roman"/>
          <w:b/>
          <w:sz w:val="24"/>
          <w:szCs w:val="24"/>
          <w:u w:val="single"/>
        </w:rPr>
        <w:t>AND OVERVIEW</w:t>
      </w:r>
    </w:p>
    <w:p w14:paraId="10C588E8" w14:textId="77777777" w:rsidR="00F81091" w:rsidRPr="008C1882" w:rsidRDefault="00F81091" w:rsidP="00F81091">
      <w:pPr>
        <w:spacing w:line="360" w:lineRule="auto"/>
        <w:ind w:left="567" w:hanging="567"/>
        <w:jc w:val="both"/>
        <w:rPr>
          <w:rFonts w:ascii="Book Antiqua" w:hAnsi="Book Antiqua" w:cs="Times New Roman"/>
          <w:sz w:val="24"/>
          <w:szCs w:val="24"/>
        </w:rPr>
      </w:pPr>
    </w:p>
    <w:p w14:paraId="0521F69D" w14:textId="77777777" w:rsidR="00F81091" w:rsidRPr="008C1882" w:rsidRDefault="00F81091" w:rsidP="00F81091">
      <w:pPr>
        <w:spacing w:line="360" w:lineRule="auto"/>
        <w:rPr>
          <w:rFonts w:ascii="Book Antiqua" w:hAnsi="Book Antiqua"/>
          <w:b/>
          <w:sz w:val="24"/>
          <w:szCs w:val="24"/>
          <w:u w:val="single"/>
        </w:rPr>
      </w:pPr>
      <w:r w:rsidRPr="008C1882">
        <w:rPr>
          <w:rFonts w:ascii="Book Antiqua" w:hAnsi="Book Antiqua"/>
          <w:b/>
          <w:sz w:val="24"/>
          <w:szCs w:val="24"/>
          <w:u w:val="single"/>
        </w:rPr>
        <w:t>A. The UK financial services sector</w:t>
      </w:r>
    </w:p>
    <w:p w14:paraId="02FE9FB5" w14:textId="77777777" w:rsidR="00F81091" w:rsidRPr="008C1882" w:rsidRDefault="00F81091" w:rsidP="00F81091">
      <w:pPr>
        <w:pStyle w:val="ListParagraph"/>
        <w:numPr>
          <w:ilvl w:val="0"/>
          <w:numId w:val="11"/>
        </w:numPr>
        <w:spacing w:line="360" w:lineRule="auto"/>
        <w:ind w:left="567" w:hanging="567"/>
        <w:contextualSpacing w:val="0"/>
        <w:jc w:val="both"/>
        <w:rPr>
          <w:rFonts w:ascii="Book Antiqua" w:hAnsi="Book Antiqua" w:cs="Times New Roman"/>
          <w:sz w:val="24"/>
          <w:szCs w:val="24"/>
        </w:rPr>
      </w:pPr>
      <w:bookmarkStart w:id="2" w:name="_Ref345535705"/>
      <w:r w:rsidRPr="008C1882">
        <w:rPr>
          <w:rFonts w:ascii="Book Antiqua" w:hAnsi="Book Antiqua" w:cs="Times New Roman"/>
          <w:sz w:val="24"/>
          <w:szCs w:val="24"/>
        </w:rPr>
        <w:t>The outcome of the EU referendum and its consequences will have significant and far-reaching effects on the political, economic, social and legal development of the UK and will be critical to the future of domestic and international financial services of a United Kingdom outside the EU.</w:t>
      </w:r>
      <w:bookmarkEnd w:id="2"/>
      <w:r w:rsidRPr="008C1882">
        <w:rPr>
          <w:rFonts w:ascii="Book Antiqua" w:hAnsi="Book Antiqua" w:cs="Times New Roman"/>
          <w:sz w:val="24"/>
          <w:szCs w:val="24"/>
        </w:rPr>
        <w:t xml:space="preserve">  </w:t>
      </w:r>
    </w:p>
    <w:p w14:paraId="7D419ED8" w14:textId="77777777" w:rsidR="00F81091" w:rsidRPr="008C1882" w:rsidRDefault="00F81091" w:rsidP="00F81091">
      <w:pPr>
        <w:pStyle w:val="ListParagraph"/>
        <w:numPr>
          <w:ilvl w:val="0"/>
          <w:numId w:val="11"/>
        </w:numPr>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According to a recent House of Lords report on </w:t>
      </w:r>
      <w:proofErr w:type="spellStart"/>
      <w:r w:rsidRPr="008C1882">
        <w:rPr>
          <w:rFonts w:ascii="Book Antiqua" w:hAnsi="Book Antiqua" w:cs="Times New Roman"/>
          <w:sz w:val="24"/>
          <w:szCs w:val="24"/>
        </w:rPr>
        <w:t>Brexit</w:t>
      </w:r>
      <w:proofErr w:type="spellEnd"/>
      <w:r w:rsidRPr="008C1882">
        <w:rPr>
          <w:rFonts w:ascii="Book Antiqua" w:hAnsi="Book Antiqua" w:cs="Times New Roman"/>
          <w:sz w:val="24"/>
          <w:szCs w:val="24"/>
        </w:rPr>
        <w:t xml:space="preserve"> and its effect on financial services</w:t>
      </w:r>
      <w:r w:rsidRPr="008C1882">
        <w:rPr>
          <w:rStyle w:val="FootnoteReference"/>
          <w:rFonts w:ascii="Book Antiqua" w:hAnsi="Book Antiqua" w:cs="Times New Roman"/>
          <w:sz w:val="24"/>
          <w:szCs w:val="24"/>
        </w:rPr>
        <w:footnoteReference w:id="1"/>
      </w:r>
      <w:r w:rsidRPr="008C1882">
        <w:rPr>
          <w:rFonts w:ascii="Book Antiqua" w:hAnsi="Book Antiqua" w:cs="Times New Roman"/>
          <w:sz w:val="24"/>
          <w:szCs w:val="24"/>
        </w:rPr>
        <w:t xml:space="preserve"> the UK is the world’s largest exporter of financial services and insurance and the UK financial services industry constitutes around 7% of UK gross domestic product, contributing a significant proportion of overall direct and indirect tax revenue and directly employs 1.1 million people, two-thirds of them outside London.  In addition, related professional services involve over 314,000 professionals employed in legal services as well as some 483,000 in management consultancy and 391,000 in accounting services.  Industry sources have estimated that the sector produces annual financial revenues at around £200 billion, £90–95 billion of which is domestic business, £40–50 billion relates to the EU, and £55–65 billion relates to the rest of the world.  </w:t>
      </w:r>
    </w:p>
    <w:p w14:paraId="5977B83C" w14:textId="77777777" w:rsidR="00F81091" w:rsidRPr="008C1882" w:rsidRDefault="00F81091" w:rsidP="00F81091">
      <w:pPr>
        <w:pStyle w:val="ListParagraph"/>
        <w:numPr>
          <w:ilvl w:val="0"/>
          <w:numId w:val="11"/>
        </w:numPr>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The UK financial services sector is also important to Europe and industry research suggests that £40–50 billion of UK financial services revenues relate to the EU and that there was a trade surplus for financial services in the order of £19 billion for 2014. These numbers underline the importance of EU markets to the UK industry but also the extent to which the EU relies on the services provided by the UK.   </w:t>
      </w:r>
    </w:p>
    <w:p w14:paraId="60E3B8A0" w14:textId="77777777" w:rsidR="00F81091" w:rsidRPr="008C1882" w:rsidRDefault="00F81091" w:rsidP="00F81091">
      <w:pPr>
        <w:pStyle w:val="ListParagraph"/>
        <w:numPr>
          <w:ilvl w:val="0"/>
          <w:numId w:val="11"/>
        </w:numPr>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The UK has traditionally had a strong but not always harmonious relationship with Europe and </w:t>
      </w:r>
      <w:proofErr w:type="spellStart"/>
      <w:r w:rsidRPr="008C1882">
        <w:rPr>
          <w:rFonts w:ascii="Book Antiqua" w:hAnsi="Book Antiqua" w:cs="Times New Roman"/>
          <w:sz w:val="24"/>
          <w:szCs w:val="24"/>
        </w:rPr>
        <w:t>Brexit</w:t>
      </w:r>
      <w:proofErr w:type="spellEnd"/>
      <w:r w:rsidRPr="008C1882">
        <w:rPr>
          <w:rFonts w:ascii="Book Antiqua" w:hAnsi="Book Antiqua" w:cs="Times New Roman"/>
          <w:sz w:val="24"/>
          <w:szCs w:val="24"/>
        </w:rPr>
        <w:t xml:space="preserve"> presents unique challenges in changing the legislative and regulatory framework to which we have all become very accustomed. </w:t>
      </w:r>
    </w:p>
    <w:p w14:paraId="1B2EC25F" w14:textId="77777777" w:rsidR="00F81091" w:rsidRPr="008C1882" w:rsidRDefault="00F81091" w:rsidP="00F81091">
      <w:pPr>
        <w:spacing w:line="360" w:lineRule="auto"/>
        <w:ind w:left="567" w:hanging="567"/>
        <w:jc w:val="both"/>
        <w:rPr>
          <w:rFonts w:ascii="Book Antiqua" w:hAnsi="Book Antiqua" w:cs="Times New Roman"/>
          <w:b/>
          <w:sz w:val="24"/>
          <w:szCs w:val="24"/>
        </w:rPr>
      </w:pPr>
    </w:p>
    <w:p w14:paraId="6BE36DBB" w14:textId="77777777" w:rsidR="00F81091" w:rsidRPr="008C1882" w:rsidRDefault="00F81091" w:rsidP="00F81091">
      <w:pPr>
        <w:spacing w:line="360" w:lineRule="auto"/>
        <w:jc w:val="both"/>
        <w:rPr>
          <w:rFonts w:ascii="Book Antiqua" w:hAnsi="Book Antiqua" w:cs="Times New Roman"/>
          <w:sz w:val="24"/>
          <w:szCs w:val="24"/>
        </w:rPr>
      </w:pPr>
      <w:r w:rsidRPr="008C1882">
        <w:rPr>
          <w:rFonts w:ascii="Book Antiqua" w:hAnsi="Book Antiqua" w:cs="Times New Roman"/>
          <w:b/>
          <w:sz w:val="24"/>
          <w:szCs w:val="24"/>
          <w:u w:val="single"/>
        </w:rPr>
        <w:lastRenderedPageBreak/>
        <w:t>B. The legislative architecture</w:t>
      </w:r>
    </w:p>
    <w:p w14:paraId="0EF59A1E" w14:textId="77777777" w:rsidR="00F81091" w:rsidRPr="008C1882" w:rsidRDefault="00F81091" w:rsidP="00F81091">
      <w:pPr>
        <w:pStyle w:val="ListParagraph"/>
        <w:numPr>
          <w:ilvl w:val="0"/>
          <w:numId w:val="11"/>
        </w:numPr>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The Financial Services and Markets Act 2000 (FSMA or the Act)</w:t>
      </w:r>
      <w:r w:rsidRPr="008C1882">
        <w:rPr>
          <w:rStyle w:val="FootnoteReference"/>
          <w:rFonts w:ascii="Book Antiqua" w:hAnsi="Book Antiqua" w:cs="Times New Roman"/>
          <w:sz w:val="24"/>
          <w:szCs w:val="24"/>
        </w:rPr>
        <w:footnoteReference w:id="2"/>
      </w:r>
      <w:r w:rsidRPr="008C1882">
        <w:rPr>
          <w:rFonts w:ascii="Book Antiqua" w:hAnsi="Book Antiqua" w:cs="Times New Roman"/>
          <w:sz w:val="24"/>
          <w:szCs w:val="24"/>
        </w:rPr>
        <w:t xml:space="preserve"> is the cornerstone of financial services regulation in the UK.  It provides the framework for regulation of the industry and contains provisions regarding the powers (including rulemaking powers) and responsibilities of the regulators, the authorisation and regulation of firms (including changes of control of authorised firms) carrying on certain specified activities including banking (deposit taking), insurance, consumer credit activities and regulated mortgage activities as well as provisions relating to the constitution of a compensation scheme and an ombudsman scheme for certain investors.  It also includes provisions relating to the issuing of prospectuses and the listing of certain securities, the prohibition of activities constituting market abuse and the regulation of collective investment schemes.  </w:t>
      </w:r>
    </w:p>
    <w:p w14:paraId="7F263C0C" w14:textId="77777777" w:rsidR="00F81091" w:rsidRPr="008C1882" w:rsidRDefault="00F81091" w:rsidP="00F81091">
      <w:pPr>
        <w:pStyle w:val="ListParagraph"/>
        <w:numPr>
          <w:ilvl w:val="0"/>
          <w:numId w:val="11"/>
        </w:numPr>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This piece of legislation has, however, been used as a general dumping ground for an increasingly wide range of additional activities including regulated mortgages, consumer credit, high interest lending broadening the scope of regulated financial services activities and to transpose a number of EU Single Market Directive including: </w:t>
      </w:r>
    </w:p>
    <w:p w14:paraId="78DA9FAD" w14:textId="77777777" w:rsidR="00F81091" w:rsidRPr="008C1882" w:rsidRDefault="00F81091" w:rsidP="00F81091">
      <w:pPr>
        <w:pStyle w:val="ListParagraph"/>
        <w:numPr>
          <w:ilvl w:val="2"/>
          <w:numId w:val="12"/>
        </w:numPr>
        <w:spacing w:line="360" w:lineRule="auto"/>
        <w:ind w:left="1134" w:hanging="567"/>
        <w:contextualSpacing w:val="0"/>
        <w:jc w:val="both"/>
        <w:rPr>
          <w:rFonts w:ascii="Book Antiqua" w:hAnsi="Book Antiqua" w:cs="Times New Roman"/>
          <w:sz w:val="24"/>
          <w:szCs w:val="24"/>
        </w:rPr>
      </w:pPr>
      <w:r w:rsidRPr="008C1882">
        <w:rPr>
          <w:rFonts w:ascii="Book Antiqua" w:hAnsi="Book Antiqua" w:cs="Times New Roman"/>
          <w:sz w:val="24"/>
          <w:szCs w:val="24"/>
        </w:rPr>
        <w:t>Alternative Investment Fund Managers Directive (AIFMD)</w:t>
      </w:r>
    </w:p>
    <w:p w14:paraId="762CB1D8" w14:textId="77777777" w:rsidR="00F81091" w:rsidRPr="008C1882" w:rsidRDefault="00F81091" w:rsidP="00F81091">
      <w:pPr>
        <w:pStyle w:val="ListParagraph"/>
        <w:numPr>
          <w:ilvl w:val="2"/>
          <w:numId w:val="12"/>
        </w:numPr>
        <w:spacing w:line="360" w:lineRule="auto"/>
        <w:ind w:left="1134" w:hanging="567"/>
        <w:contextualSpacing w:val="0"/>
        <w:jc w:val="both"/>
        <w:rPr>
          <w:rFonts w:ascii="Book Antiqua" w:hAnsi="Book Antiqua" w:cs="Times New Roman"/>
          <w:sz w:val="24"/>
          <w:szCs w:val="24"/>
        </w:rPr>
      </w:pPr>
      <w:r w:rsidRPr="008C1882">
        <w:rPr>
          <w:rFonts w:ascii="Book Antiqua" w:hAnsi="Book Antiqua" w:cs="Times New Roman"/>
          <w:sz w:val="24"/>
          <w:szCs w:val="24"/>
        </w:rPr>
        <w:t>Insurance Mediation Directive (IMD)</w:t>
      </w:r>
    </w:p>
    <w:p w14:paraId="2BAFB15E" w14:textId="77777777" w:rsidR="00F81091" w:rsidRPr="008C1882" w:rsidRDefault="00F81091" w:rsidP="00F81091">
      <w:pPr>
        <w:pStyle w:val="ListParagraph"/>
        <w:numPr>
          <w:ilvl w:val="2"/>
          <w:numId w:val="12"/>
        </w:numPr>
        <w:spacing w:line="360" w:lineRule="auto"/>
        <w:ind w:left="1134" w:hanging="567"/>
        <w:contextualSpacing w:val="0"/>
        <w:jc w:val="both"/>
        <w:rPr>
          <w:rFonts w:ascii="Book Antiqua" w:hAnsi="Book Antiqua" w:cs="Times New Roman"/>
          <w:sz w:val="24"/>
          <w:szCs w:val="24"/>
        </w:rPr>
      </w:pPr>
      <w:r w:rsidRPr="008C1882">
        <w:rPr>
          <w:rFonts w:ascii="Book Antiqua" w:hAnsi="Book Antiqua" w:cs="Times New Roman"/>
          <w:sz w:val="24"/>
          <w:szCs w:val="24"/>
        </w:rPr>
        <w:t>Markets in Financial Instruments Directive (</w:t>
      </w:r>
      <w:proofErr w:type="spellStart"/>
      <w:r w:rsidRPr="008C1882">
        <w:rPr>
          <w:rFonts w:ascii="Book Antiqua" w:hAnsi="Book Antiqua" w:cs="Times New Roman"/>
          <w:sz w:val="24"/>
          <w:szCs w:val="24"/>
        </w:rPr>
        <w:t>MiFID</w:t>
      </w:r>
      <w:proofErr w:type="spellEnd"/>
      <w:r w:rsidRPr="008C1882">
        <w:rPr>
          <w:rFonts w:ascii="Book Antiqua" w:hAnsi="Book Antiqua" w:cs="Times New Roman"/>
          <w:sz w:val="24"/>
          <w:szCs w:val="24"/>
        </w:rPr>
        <w:t>)</w:t>
      </w:r>
    </w:p>
    <w:p w14:paraId="0E342D68" w14:textId="77777777" w:rsidR="00F81091" w:rsidRPr="008C1882" w:rsidRDefault="00F81091" w:rsidP="00F81091">
      <w:pPr>
        <w:pStyle w:val="ListParagraph"/>
        <w:numPr>
          <w:ilvl w:val="2"/>
          <w:numId w:val="12"/>
        </w:numPr>
        <w:spacing w:line="360" w:lineRule="auto"/>
        <w:ind w:left="1134" w:hanging="567"/>
        <w:contextualSpacing w:val="0"/>
        <w:jc w:val="both"/>
        <w:rPr>
          <w:rFonts w:ascii="Book Antiqua" w:hAnsi="Book Antiqua" w:cs="Times New Roman"/>
          <w:sz w:val="24"/>
          <w:szCs w:val="24"/>
        </w:rPr>
      </w:pPr>
      <w:r w:rsidRPr="008C1882">
        <w:rPr>
          <w:rFonts w:ascii="Book Antiqua" w:hAnsi="Book Antiqua" w:cs="Times New Roman"/>
          <w:sz w:val="24"/>
          <w:szCs w:val="24"/>
        </w:rPr>
        <w:t>Mortgage Credit Directive (MCD)</w:t>
      </w:r>
    </w:p>
    <w:p w14:paraId="02BEA27C" w14:textId="77777777" w:rsidR="00F81091" w:rsidRPr="008C1882" w:rsidRDefault="00F81091" w:rsidP="00F81091">
      <w:pPr>
        <w:pStyle w:val="ListParagraph"/>
        <w:numPr>
          <w:ilvl w:val="2"/>
          <w:numId w:val="12"/>
        </w:numPr>
        <w:spacing w:line="360" w:lineRule="auto"/>
        <w:ind w:left="1134" w:hanging="567"/>
        <w:contextualSpacing w:val="0"/>
        <w:jc w:val="both"/>
        <w:rPr>
          <w:rFonts w:ascii="Book Antiqua" w:hAnsi="Book Antiqua" w:cs="Times New Roman"/>
          <w:sz w:val="24"/>
          <w:szCs w:val="24"/>
        </w:rPr>
      </w:pPr>
      <w:r w:rsidRPr="008C1882">
        <w:rPr>
          <w:rFonts w:ascii="Book Antiqua" w:hAnsi="Book Antiqua" w:cs="Times New Roman"/>
          <w:sz w:val="24"/>
          <w:szCs w:val="24"/>
        </w:rPr>
        <w:t>Payment Services Directive (PSD)</w:t>
      </w:r>
    </w:p>
    <w:p w14:paraId="666C2F42" w14:textId="77777777" w:rsidR="00F81091" w:rsidRPr="008C1882" w:rsidRDefault="00F81091" w:rsidP="00F81091">
      <w:pPr>
        <w:pStyle w:val="ListParagraph"/>
        <w:numPr>
          <w:ilvl w:val="2"/>
          <w:numId w:val="12"/>
        </w:numPr>
        <w:spacing w:line="360" w:lineRule="auto"/>
        <w:ind w:left="1134" w:hanging="567"/>
        <w:contextualSpacing w:val="0"/>
        <w:jc w:val="both"/>
        <w:rPr>
          <w:rFonts w:ascii="Book Antiqua" w:hAnsi="Book Antiqua" w:cs="Times New Roman"/>
          <w:sz w:val="24"/>
          <w:szCs w:val="24"/>
        </w:rPr>
      </w:pPr>
      <w:r w:rsidRPr="008C1882">
        <w:rPr>
          <w:rFonts w:ascii="Book Antiqua" w:hAnsi="Book Antiqua" w:cs="Times New Roman"/>
          <w:sz w:val="24"/>
          <w:szCs w:val="24"/>
        </w:rPr>
        <w:t>UCITS Directive (UCITS)</w:t>
      </w:r>
    </w:p>
    <w:p w14:paraId="5F5DEA5E" w14:textId="77777777" w:rsidR="00F81091" w:rsidRPr="008C1882" w:rsidRDefault="00F81091" w:rsidP="00F81091">
      <w:pPr>
        <w:pStyle w:val="ListParagraph"/>
        <w:numPr>
          <w:ilvl w:val="2"/>
          <w:numId w:val="12"/>
        </w:numPr>
        <w:spacing w:line="360" w:lineRule="auto"/>
        <w:ind w:left="1134" w:hanging="567"/>
        <w:contextualSpacing w:val="0"/>
        <w:jc w:val="both"/>
        <w:rPr>
          <w:rFonts w:ascii="Book Antiqua" w:hAnsi="Book Antiqua" w:cs="Times New Roman"/>
          <w:sz w:val="24"/>
          <w:szCs w:val="24"/>
        </w:rPr>
      </w:pPr>
      <w:r w:rsidRPr="008C1882">
        <w:rPr>
          <w:rFonts w:ascii="Book Antiqua" w:hAnsi="Book Antiqua" w:cs="Times New Roman"/>
          <w:sz w:val="24"/>
          <w:szCs w:val="24"/>
        </w:rPr>
        <w:t>Electronic Money Directive (EMD)</w:t>
      </w:r>
    </w:p>
    <w:p w14:paraId="30F4FE80" w14:textId="77777777" w:rsidR="00F81091" w:rsidRPr="008C1882" w:rsidRDefault="00F81091" w:rsidP="00F81091">
      <w:pPr>
        <w:pStyle w:val="ListParagraph"/>
        <w:numPr>
          <w:ilvl w:val="2"/>
          <w:numId w:val="12"/>
        </w:numPr>
        <w:spacing w:line="360" w:lineRule="auto"/>
        <w:ind w:left="1134" w:hanging="567"/>
        <w:contextualSpacing w:val="0"/>
        <w:jc w:val="both"/>
        <w:rPr>
          <w:rFonts w:ascii="Book Antiqua" w:hAnsi="Book Antiqua" w:cs="Times New Roman"/>
          <w:sz w:val="24"/>
          <w:szCs w:val="24"/>
        </w:rPr>
      </w:pPr>
      <w:r w:rsidRPr="008C1882">
        <w:rPr>
          <w:rFonts w:ascii="Book Antiqua" w:hAnsi="Book Antiqua" w:cs="Times New Roman"/>
          <w:sz w:val="24"/>
          <w:szCs w:val="24"/>
        </w:rPr>
        <w:t>Capital Requirements Directive (CRD)</w:t>
      </w:r>
    </w:p>
    <w:p w14:paraId="41D452FC" w14:textId="77777777" w:rsidR="00F81091" w:rsidRPr="008C1882" w:rsidRDefault="00F81091" w:rsidP="00F81091">
      <w:pPr>
        <w:pStyle w:val="ListParagraph"/>
        <w:numPr>
          <w:ilvl w:val="2"/>
          <w:numId w:val="12"/>
        </w:numPr>
        <w:spacing w:line="360" w:lineRule="auto"/>
        <w:ind w:left="1134" w:hanging="567"/>
        <w:contextualSpacing w:val="0"/>
        <w:jc w:val="both"/>
        <w:rPr>
          <w:rFonts w:ascii="Book Antiqua" w:hAnsi="Book Antiqua" w:cs="Times New Roman"/>
          <w:sz w:val="24"/>
          <w:szCs w:val="24"/>
        </w:rPr>
      </w:pPr>
      <w:r w:rsidRPr="008C1882">
        <w:rPr>
          <w:rFonts w:ascii="Book Antiqua" w:hAnsi="Book Antiqua" w:cs="Times New Roman"/>
          <w:sz w:val="24"/>
          <w:szCs w:val="24"/>
        </w:rPr>
        <w:lastRenderedPageBreak/>
        <w:t>Solvency II Directive (Solvency II)</w:t>
      </w:r>
    </w:p>
    <w:p w14:paraId="09806943"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Other key EU directives include the Market Abuse Directive, the Prospectus Directive and others relating to the fundamental “plumbing” of financial services such as the Settlement Finality Directive and the Financial Collateral Directive. These EU requirements have been woven into the very fabric of UK law and regulation and their future post-</w:t>
      </w:r>
      <w:proofErr w:type="spellStart"/>
      <w:r w:rsidRPr="008C1882">
        <w:rPr>
          <w:rFonts w:ascii="Book Antiqua" w:hAnsi="Book Antiqua" w:cs="Times New Roman"/>
          <w:sz w:val="24"/>
          <w:szCs w:val="24"/>
        </w:rPr>
        <w:t>Brexit</w:t>
      </w:r>
      <w:proofErr w:type="spellEnd"/>
      <w:r w:rsidRPr="008C1882">
        <w:rPr>
          <w:rFonts w:ascii="Book Antiqua" w:hAnsi="Book Antiqua" w:cs="Times New Roman"/>
          <w:sz w:val="24"/>
          <w:szCs w:val="24"/>
        </w:rPr>
        <w:t xml:space="preserve"> remains unclear. </w:t>
      </w:r>
    </w:p>
    <w:p w14:paraId="1E52EF68"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This interlacing of UK and European requirements can be demonstrated by the UK’s transposition of </w:t>
      </w:r>
      <w:proofErr w:type="spellStart"/>
      <w:r w:rsidRPr="008C1882">
        <w:rPr>
          <w:rFonts w:ascii="Book Antiqua" w:hAnsi="Book Antiqua" w:cs="Times New Roman"/>
          <w:sz w:val="24"/>
          <w:szCs w:val="24"/>
        </w:rPr>
        <w:t>MiFID</w:t>
      </w:r>
      <w:proofErr w:type="spellEnd"/>
      <w:r w:rsidRPr="008C1882">
        <w:rPr>
          <w:rFonts w:ascii="Book Antiqua" w:hAnsi="Book Antiqua" w:cs="Times New Roman"/>
          <w:sz w:val="24"/>
          <w:szCs w:val="24"/>
        </w:rPr>
        <w:t xml:space="preserve">.   FSMA defines regulated activities as those falling within Section 22 and Schedule 2 of the Act augmented by the provisions of the Financial Services and Markets Act 2000 (Regulated Activities) Order.  Rather than aligning the definition of investment services and activities as set out in </w:t>
      </w:r>
      <w:proofErr w:type="spellStart"/>
      <w:r w:rsidRPr="008C1882">
        <w:rPr>
          <w:rFonts w:ascii="Book Antiqua" w:hAnsi="Book Antiqua" w:cs="Times New Roman"/>
          <w:sz w:val="24"/>
          <w:szCs w:val="24"/>
        </w:rPr>
        <w:t>MiFID</w:t>
      </w:r>
      <w:proofErr w:type="spellEnd"/>
      <w:r w:rsidRPr="008C1882">
        <w:rPr>
          <w:rFonts w:ascii="Book Antiqua" w:hAnsi="Book Antiqua" w:cs="Times New Roman"/>
          <w:sz w:val="24"/>
          <w:szCs w:val="24"/>
        </w:rPr>
        <w:t xml:space="preserve"> with the definition of investment activities set out in FSMA, HMT chose to adopt a modification approach. In order to bring the scope of FSMA into line with the scope of </w:t>
      </w:r>
      <w:proofErr w:type="spellStart"/>
      <w:r w:rsidRPr="008C1882">
        <w:rPr>
          <w:rFonts w:ascii="Book Antiqua" w:hAnsi="Book Antiqua" w:cs="Times New Roman"/>
          <w:sz w:val="24"/>
          <w:szCs w:val="24"/>
        </w:rPr>
        <w:t>MiFID</w:t>
      </w:r>
      <w:proofErr w:type="spellEnd"/>
      <w:r w:rsidRPr="008C1882">
        <w:rPr>
          <w:rFonts w:ascii="Book Antiqua" w:hAnsi="Book Antiqua" w:cs="Times New Roman"/>
          <w:sz w:val="24"/>
          <w:szCs w:val="24"/>
        </w:rPr>
        <w:t>, the RAO contains a provision known as the “</w:t>
      </w:r>
      <w:proofErr w:type="spellStart"/>
      <w:r w:rsidRPr="008C1882">
        <w:rPr>
          <w:rFonts w:ascii="Book Antiqua" w:hAnsi="Book Antiqua" w:cs="Times New Roman"/>
          <w:sz w:val="24"/>
          <w:szCs w:val="24"/>
        </w:rPr>
        <w:t>MiFID</w:t>
      </w:r>
      <w:proofErr w:type="spellEnd"/>
      <w:r w:rsidRPr="008C1882">
        <w:rPr>
          <w:rFonts w:ascii="Book Antiqua" w:hAnsi="Book Antiqua" w:cs="Times New Roman"/>
          <w:sz w:val="24"/>
          <w:szCs w:val="24"/>
        </w:rPr>
        <w:t xml:space="preserve"> override”.  Article 4(4) of the revised RAO provides that where an investment firm or credit institution subject to </w:t>
      </w:r>
      <w:proofErr w:type="spellStart"/>
      <w:r w:rsidRPr="008C1882">
        <w:rPr>
          <w:rFonts w:ascii="Book Antiqua" w:hAnsi="Book Antiqua" w:cs="Times New Roman"/>
          <w:sz w:val="24"/>
          <w:szCs w:val="24"/>
        </w:rPr>
        <w:t>MiFID</w:t>
      </w:r>
      <w:proofErr w:type="spellEnd"/>
      <w:r w:rsidRPr="008C1882">
        <w:rPr>
          <w:rFonts w:ascii="Book Antiqua" w:hAnsi="Book Antiqua" w:cs="Times New Roman"/>
          <w:sz w:val="24"/>
          <w:szCs w:val="24"/>
        </w:rPr>
        <w:t xml:space="preserve"> provides or performs investment services and activities on a professional basis and in doing so would be treated as carrying on an activity of a kind specified by a provision of this Part but for an exclusion in any of Articles 15, 16, 19, 22, 23, 29, 38, 67, 68, 69, 70 and 72E, that exclusion is to be disregarded and, accordingly, the investment firm or credit institution is to be treated as carrying on a regulated activity. This method arguably plugs any </w:t>
      </w:r>
      <w:proofErr w:type="spellStart"/>
      <w:r w:rsidRPr="008C1882">
        <w:rPr>
          <w:rFonts w:ascii="Book Antiqua" w:hAnsi="Book Antiqua" w:cs="Times New Roman"/>
          <w:sz w:val="24"/>
          <w:szCs w:val="24"/>
        </w:rPr>
        <w:t>underlaps</w:t>
      </w:r>
      <w:proofErr w:type="spellEnd"/>
      <w:r w:rsidRPr="008C1882">
        <w:rPr>
          <w:rFonts w:ascii="Book Antiqua" w:hAnsi="Book Antiqua" w:cs="Times New Roman"/>
          <w:sz w:val="24"/>
          <w:szCs w:val="24"/>
        </w:rPr>
        <w:t xml:space="preserve"> between UK legislation and the EU requirements by incorporating those investment activities and services defined in EU legislation by inference but it also leaves UK legislation linked to and heavily dependent upon EU legislation and interpretation. De-coupling these provisions will be challenging. </w:t>
      </w:r>
    </w:p>
    <w:p w14:paraId="6EB727DE"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Many UK laws also make references to EU agencies and institutions such as the European Supervisory Authorities setting standards or performing functions in relation to EU and UK law. Those roles such as the recognition of credit rating agencies by ESMA would presumably have to be taken back into the UK’s </w:t>
      </w:r>
      <w:r w:rsidRPr="008C1882">
        <w:rPr>
          <w:rFonts w:ascii="Book Antiqua" w:hAnsi="Book Antiqua" w:cs="Times New Roman"/>
          <w:sz w:val="24"/>
          <w:szCs w:val="24"/>
        </w:rPr>
        <w:lastRenderedPageBreak/>
        <w:t>regulatory framework assuming that the UK decides to implement this G20 commitment in its national law.</w:t>
      </w:r>
    </w:p>
    <w:p w14:paraId="03816D9B" w14:textId="77777777" w:rsidR="00F81091" w:rsidRPr="008C1882" w:rsidRDefault="00F81091" w:rsidP="00F81091">
      <w:pPr>
        <w:pStyle w:val="ListParagraph"/>
        <w:tabs>
          <w:tab w:val="left" w:pos="567"/>
        </w:tabs>
        <w:spacing w:line="360" w:lineRule="auto"/>
        <w:ind w:left="567" w:hanging="567"/>
        <w:contextualSpacing w:val="0"/>
        <w:jc w:val="both"/>
        <w:rPr>
          <w:rFonts w:ascii="Book Antiqua" w:hAnsi="Book Antiqua" w:cs="Times New Roman"/>
          <w:sz w:val="24"/>
          <w:szCs w:val="24"/>
        </w:rPr>
      </w:pPr>
    </w:p>
    <w:p w14:paraId="175693D3" w14:textId="77777777" w:rsidR="00F81091" w:rsidRPr="008C1882" w:rsidRDefault="00F81091" w:rsidP="00F81091">
      <w:pPr>
        <w:tabs>
          <w:tab w:val="left" w:pos="567"/>
        </w:tabs>
        <w:spacing w:line="360" w:lineRule="auto"/>
        <w:jc w:val="both"/>
        <w:rPr>
          <w:rFonts w:ascii="Book Antiqua" w:hAnsi="Book Antiqua" w:cs="Times New Roman"/>
          <w:b/>
          <w:sz w:val="24"/>
          <w:szCs w:val="24"/>
          <w:u w:val="single"/>
        </w:rPr>
      </w:pPr>
      <w:r w:rsidRPr="008C1882">
        <w:rPr>
          <w:rFonts w:ascii="Book Antiqua" w:hAnsi="Book Antiqua" w:cs="Times New Roman"/>
          <w:b/>
          <w:sz w:val="24"/>
          <w:szCs w:val="24"/>
          <w:u w:val="single"/>
        </w:rPr>
        <w:t>C. Business as usual</w:t>
      </w:r>
    </w:p>
    <w:p w14:paraId="6F71C830"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Until such time as the UK Government invokes the Article 50 provision of the Treaty for the European Union (TEU) the FCA has made it clear that currently applicable financial regulation continues to apply until </w:t>
      </w:r>
      <w:proofErr w:type="gramStart"/>
      <w:r w:rsidRPr="008C1882">
        <w:rPr>
          <w:rFonts w:ascii="Book Antiqua" w:hAnsi="Book Antiqua" w:cs="Times New Roman"/>
          <w:sz w:val="24"/>
          <w:szCs w:val="24"/>
        </w:rPr>
        <w:t>any changes are made by Government or Parliament</w:t>
      </w:r>
      <w:proofErr w:type="gramEnd"/>
      <w:r w:rsidRPr="008C1882">
        <w:rPr>
          <w:rFonts w:ascii="Book Antiqua" w:hAnsi="Book Antiqua" w:cs="Times New Roman"/>
          <w:sz w:val="24"/>
          <w:szCs w:val="24"/>
        </w:rPr>
        <w:t xml:space="preserve">. The FCA statement said </w:t>
      </w:r>
      <w:r w:rsidRPr="008C1882">
        <w:rPr>
          <w:rFonts w:ascii="Book Antiqua" w:hAnsi="Book Antiqua" w:cs="Times New Roman"/>
          <w:i/>
          <w:sz w:val="24"/>
          <w:szCs w:val="24"/>
        </w:rPr>
        <w:t>"Firms must continue to abide by their obligations under UK law, including those derived from EU law and continue with implementation plans for legislation that is still to come into effect"</w:t>
      </w:r>
      <w:r w:rsidRPr="008C1882">
        <w:rPr>
          <w:rFonts w:ascii="Book Antiqua" w:hAnsi="Book Antiqua" w:cs="Times New Roman"/>
          <w:sz w:val="24"/>
          <w:szCs w:val="24"/>
        </w:rPr>
        <w:t xml:space="preserve"> and it has sought to reassure consumers that their rights and protections are unaffected by the result of the Referendum. </w:t>
      </w:r>
      <w:r w:rsidRPr="008C1882">
        <w:rPr>
          <w:rStyle w:val="FootnoteReference"/>
          <w:rFonts w:ascii="Book Antiqua" w:hAnsi="Book Antiqua" w:cs="Times New Roman"/>
          <w:sz w:val="24"/>
          <w:szCs w:val="24"/>
        </w:rPr>
        <w:footnoteReference w:id="3"/>
      </w:r>
    </w:p>
    <w:p w14:paraId="7B19BEAA"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John Redwood, MP, a long-time Eurosceptic and Leave campaigner, and others of that persuasion have argued that the legislative situation can simply be resolved by Parliament repealing the European Communities Act 1972 (ECA) which, they postulate, would have the effect of ending UK membership of the EU (and putting the UK in breach of its EU and international treaty obligations) and transferring all current EU law into UK law pending review and amendment</w:t>
      </w:r>
      <w:r w:rsidRPr="008C1882">
        <w:rPr>
          <w:rStyle w:val="FootnoteReference"/>
          <w:rFonts w:ascii="Book Antiqua" w:hAnsi="Book Antiqua" w:cs="Times New Roman"/>
          <w:sz w:val="24"/>
          <w:szCs w:val="24"/>
        </w:rPr>
        <w:footnoteReference w:id="4"/>
      </w:r>
      <w:r w:rsidRPr="008C1882">
        <w:rPr>
          <w:rFonts w:ascii="Book Antiqua" w:hAnsi="Book Antiqua" w:cs="Times New Roman"/>
          <w:sz w:val="24"/>
          <w:szCs w:val="24"/>
        </w:rPr>
        <w:t xml:space="preserve">. Alternatively, Prime Minister Theresa May in setting out the Government’s plans for a ‘Great Repeal Bill’ in October 2016 indicated they too would be based on the repeal of the ECA but only with effect from the completion of the </w:t>
      </w:r>
      <w:proofErr w:type="spellStart"/>
      <w:r w:rsidRPr="008C1882">
        <w:rPr>
          <w:rFonts w:ascii="Book Antiqua" w:hAnsi="Book Antiqua" w:cs="Times New Roman"/>
          <w:sz w:val="24"/>
          <w:szCs w:val="24"/>
        </w:rPr>
        <w:t>Brexit</w:t>
      </w:r>
      <w:proofErr w:type="spellEnd"/>
      <w:r w:rsidRPr="008C1882">
        <w:rPr>
          <w:rFonts w:ascii="Book Antiqua" w:hAnsi="Book Antiqua" w:cs="Times New Roman"/>
          <w:sz w:val="24"/>
          <w:szCs w:val="24"/>
        </w:rPr>
        <w:t xml:space="preserve"> negotiations</w:t>
      </w:r>
      <w:r w:rsidRPr="008C1882">
        <w:rPr>
          <w:rStyle w:val="FootnoteReference"/>
          <w:rFonts w:ascii="Book Antiqua" w:hAnsi="Book Antiqua" w:cs="Times New Roman"/>
          <w:sz w:val="24"/>
          <w:szCs w:val="24"/>
        </w:rPr>
        <w:footnoteReference w:id="5"/>
      </w:r>
      <w:r w:rsidRPr="008C1882">
        <w:rPr>
          <w:rFonts w:ascii="Book Antiqua" w:hAnsi="Book Antiqua" w:cs="Times New Roman"/>
          <w:sz w:val="24"/>
          <w:szCs w:val="24"/>
        </w:rPr>
        <w:t xml:space="preserve">. This Bill would also incorporate current applicable EU law into an Act of Parliament making these EU provisions UK law and then allow the Government to decide if and when to repeal, amend or retain individual measures in the future following </w:t>
      </w:r>
      <w:proofErr w:type="spellStart"/>
      <w:r w:rsidRPr="008C1882">
        <w:rPr>
          <w:rFonts w:ascii="Book Antiqua" w:hAnsi="Book Antiqua" w:cs="Times New Roman"/>
          <w:sz w:val="24"/>
          <w:szCs w:val="24"/>
        </w:rPr>
        <w:t>Brexit</w:t>
      </w:r>
      <w:proofErr w:type="spellEnd"/>
      <w:r w:rsidRPr="008C1882">
        <w:rPr>
          <w:rFonts w:ascii="Book Antiqua" w:hAnsi="Book Antiqua" w:cs="Times New Roman"/>
          <w:sz w:val="24"/>
          <w:szCs w:val="24"/>
        </w:rPr>
        <w:t xml:space="preserve">. </w:t>
      </w:r>
    </w:p>
    <w:p w14:paraId="25B468E2"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Neither of these approaches arguably takes into account the impact of direct regulation through EU Implementing Regulations and Regulatory Technical </w:t>
      </w:r>
      <w:r w:rsidRPr="008C1882">
        <w:rPr>
          <w:rFonts w:ascii="Book Antiqua" w:hAnsi="Book Antiqua" w:cs="Times New Roman"/>
          <w:sz w:val="24"/>
          <w:szCs w:val="24"/>
        </w:rPr>
        <w:lastRenderedPageBreak/>
        <w:t xml:space="preserve">Standards (RTSs).  Post-Lisbon Treaty the emphasis in European financial services regulation has been on greater harmonisation and a new role for the European Supervisory Authorities (ESAs) through the use of implementing regulations and directly applicable regulatory technical standards (RTS). These RTSs apply directly to </w:t>
      </w:r>
      <w:proofErr w:type="gramStart"/>
      <w:r w:rsidRPr="008C1882">
        <w:rPr>
          <w:rFonts w:ascii="Book Antiqua" w:hAnsi="Book Antiqua" w:cs="Times New Roman"/>
          <w:sz w:val="24"/>
          <w:szCs w:val="24"/>
        </w:rPr>
        <w:t>authorised</w:t>
      </w:r>
      <w:proofErr w:type="gramEnd"/>
      <w:r w:rsidRPr="008C1882">
        <w:rPr>
          <w:rFonts w:ascii="Book Antiqua" w:hAnsi="Book Antiqua" w:cs="Times New Roman"/>
          <w:sz w:val="24"/>
          <w:szCs w:val="24"/>
        </w:rPr>
        <w:t xml:space="preserve"> firms without further legislation required by national authorities but presumably on the day these EU requirements will cease to have effect.  It would be necessary to consider whether and how to incorporate these requirements into UK law and regulation in order to maintain parity with the EU requirements or to accept that the UK will go its own way and look for its own regulatory solutions.  </w:t>
      </w:r>
    </w:p>
    <w:p w14:paraId="152879F3"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Section 2(2) of the ECA at present applies to measures of EU law that are neither directly applicable nor have direct effect, and makes it possible to give effect in national law to such measures by secondary, or delegated, legislation, such as statutory instruments. Section 2(1) of the ECA currently provides that provisions of EU law that are directly applicable or have direct effect, such as EU Regulations or certain articles of the EU Treaties, apply automatically ‘without further enactment’ so as to be incorporated and binding in national law without the need for further UK legislation. Presumably neither the Redwood proposition nor the ‘Great Repeal Bill’ would repeal EU law which has already become part of UK law due to primary legislation (such as the Consumer Protection Act 1987), which would remain in force, although could be repealed or amended by Parliament at some future date. </w:t>
      </w:r>
    </w:p>
    <w:p w14:paraId="4CDB1C91"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Another </w:t>
      </w:r>
      <w:proofErr w:type="gramStart"/>
      <w:r w:rsidRPr="008C1882">
        <w:rPr>
          <w:rFonts w:ascii="Book Antiqua" w:hAnsi="Book Antiqua" w:cs="Times New Roman"/>
          <w:sz w:val="24"/>
          <w:szCs w:val="24"/>
        </w:rPr>
        <w:t>mechanism which could be used</w:t>
      </w:r>
      <w:proofErr w:type="gramEnd"/>
      <w:r w:rsidRPr="008C1882">
        <w:rPr>
          <w:rFonts w:ascii="Book Antiqua" w:hAnsi="Book Antiqua" w:cs="Times New Roman"/>
          <w:sz w:val="24"/>
          <w:szCs w:val="24"/>
        </w:rPr>
        <w:t xml:space="preserve"> for extricating some (but not necessarily all) EU provisions would be the use of a so-called Henry VIII clause.  FSMA</w:t>
      </w:r>
      <w:r w:rsidRPr="008C1882">
        <w:rPr>
          <w:rStyle w:val="FootnoteReference"/>
          <w:rFonts w:ascii="Book Antiqua" w:hAnsi="Book Antiqua" w:cs="Times New Roman"/>
          <w:sz w:val="24"/>
          <w:szCs w:val="24"/>
        </w:rPr>
        <w:footnoteReference w:id="6"/>
      </w:r>
      <w:r w:rsidRPr="008C1882">
        <w:rPr>
          <w:rFonts w:ascii="Book Antiqua" w:hAnsi="Book Antiqua" w:cs="Times New Roman"/>
          <w:sz w:val="24"/>
          <w:szCs w:val="24"/>
        </w:rPr>
        <w:t xml:space="preserve"> (and other legislation) contains a provision which allows the primary legislation to be amended by the Treasury by statutory instrument which could be translated into an executive fiat without or with limited Parliamentary control over those statutory instruments. It is likely that there would be debate if not some controversy about the appropriateness of using this approach to introduce such extensive and substantive changes as would be </w:t>
      </w:r>
      <w:r w:rsidRPr="008C1882">
        <w:rPr>
          <w:rFonts w:ascii="Book Antiqua" w:hAnsi="Book Antiqua" w:cs="Times New Roman"/>
          <w:sz w:val="24"/>
          <w:szCs w:val="24"/>
        </w:rPr>
        <w:lastRenderedPageBreak/>
        <w:t>required in this situation but it does at least arguably provide the Government with a means to amend primary legislation without having to go through the legislative process.</w:t>
      </w:r>
    </w:p>
    <w:p w14:paraId="0CE3D6D9" w14:textId="77777777" w:rsidR="00F81091" w:rsidRPr="008C1882" w:rsidRDefault="00F81091" w:rsidP="00F81091">
      <w:pPr>
        <w:pStyle w:val="ListParagraph"/>
        <w:tabs>
          <w:tab w:val="left" w:pos="567"/>
        </w:tabs>
        <w:spacing w:line="360" w:lineRule="auto"/>
        <w:ind w:left="567" w:hanging="567"/>
        <w:contextualSpacing w:val="0"/>
        <w:jc w:val="both"/>
        <w:rPr>
          <w:rFonts w:ascii="Book Antiqua" w:hAnsi="Book Antiqua" w:cs="Times New Roman"/>
          <w:sz w:val="24"/>
          <w:szCs w:val="24"/>
        </w:rPr>
      </w:pPr>
    </w:p>
    <w:p w14:paraId="1BB5F317" w14:textId="77777777" w:rsidR="00F81091" w:rsidRPr="008C1882" w:rsidRDefault="00F81091" w:rsidP="00F81091">
      <w:pPr>
        <w:tabs>
          <w:tab w:val="left" w:pos="567"/>
        </w:tabs>
        <w:spacing w:line="360" w:lineRule="auto"/>
        <w:jc w:val="both"/>
        <w:rPr>
          <w:rFonts w:ascii="Book Antiqua" w:hAnsi="Book Antiqua" w:cs="Times New Roman"/>
          <w:b/>
          <w:sz w:val="24"/>
          <w:szCs w:val="24"/>
          <w:u w:val="single"/>
        </w:rPr>
      </w:pPr>
      <w:r w:rsidRPr="008C1882">
        <w:rPr>
          <w:rFonts w:ascii="Book Antiqua" w:hAnsi="Book Antiqua" w:cs="Times New Roman"/>
          <w:b/>
          <w:sz w:val="24"/>
          <w:szCs w:val="24"/>
          <w:u w:val="single"/>
        </w:rPr>
        <w:t xml:space="preserve">D. Transitional provisions </w:t>
      </w:r>
    </w:p>
    <w:p w14:paraId="2E3B6BEF"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Given the Government’s proposed timing of the Art. 50 procedure – giving notice by the end of March 2017</w:t>
      </w:r>
      <w:r w:rsidRPr="008C1882">
        <w:rPr>
          <w:rStyle w:val="FootnoteReference"/>
          <w:rFonts w:ascii="Book Antiqua" w:hAnsi="Book Antiqua" w:cs="Times New Roman"/>
          <w:sz w:val="24"/>
          <w:szCs w:val="24"/>
        </w:rPr>
        <w:footnoteReference w:id="7"/>
      </w:r>
      <w:r w:rsidRPr="008C1882">
        <w:rPr>
          <w:rStyle w:val="FootnoteReference"/>
          <w:rFonts w:ascii="Book Antiqua" w:hAnsi="Book Antiqua" w:cs="Times New Roman"/>
          <w:sz w:val="24"/>
          <w:szCs w:val="24"/>
        </w:rPr>
        <w:footnoteReference w:id="8"/>
      </w:r>
      <w:r w:rsidRPr="008C1882">
        <w:rPr>
          <w:rFonts w:ascii="Book Antiqua" w:hAnsi="Book Antiqua" w:cs="Times New Roman"/>
          <w:sz w:val="24"/>
          <w:szCs w:val="24"/>
        </w:rPr>
        <w:t xml:space="preserve"> - the full panoply of European regulation will continue to apply to the UK and UK firms until the date on which the TEU ceases to have effect  - either two years from the date on which Art. 50 </w:t>
      </w:r>
      <w:proofErr w:type="gramStart"/>
      <w:r w:rsidRPr="008C1882">
        <w:rPr>
          <w:rFonts w:ascii="Book Antiqua" w:hAnsi="Book Antiqua" w:cs="Times New Roman"/>
          <w:sz w:val="24"/>
          <w:szCs w:val="24"/>
        </w:rPr>
        <w:t>is</w:t>
      </w:r>
      <w:proofErr w:type="gramEnd"/>
      <w:r w:rsidRPr="008C1882">
        <w:rPr>
          <w:rFonts w:ascii="Book Antiqua" w:hAnsi="Book Antiqua" w:cs="Times New Roman"/>
          <w:sz w:val="24"/>
          <w:szCs w:val="24"/>
        </w:rPr>
        <w:t xml:space="preserve"> invoked or three years subject to the agreement of the EU members. </w:t>
      </w:r>
    </w:p>
    <w:p w14:paraId="38A87A9A"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This period is extremely short in terms of the industry preparing and, if necessary, modifying their business models to meet the new reality and putting those arrangements in place.  The banking industry in the UK has already proposed a five year transitional period and the House of Lords Committee report recommends a longer period of transition appropriate to the industry in order to achieve a considered and orderly transition and to avoid the “cliff-edge” which would potentially impact the UK’s financial stability in the short and medium term</w:t>
      </w:r>
      <w:r w:rsidRPr="008C1882">
        <w:rPr>
          <w:rStyle w:val="FootnoteReference"/>
          <w:rFonts w:ascii="Book Antiqua" w:hAnsi="Book Antiqua" w:cs="Times New Roman"/>
          <w:sz w:val="24"/>
          <w:szCs w:val="24"/>
        </w:rPr>
        <w:footnoteReference w:id="9"/>
      </w:r>
      <w:r w:rsidRPr="008C1882">
        <w:rPr>
          <w:rFonts w:ascii="Book Antiqua" w:hAnsi="Book Antiqua" w:cs="Times New Roman"/>
          <w:sz w:val="24"/>
          <w:szCs w:val="24"/>
        </w:rPr>
        <w:t>.</w:t>
      </w:r>
    </w:p>
    <w:p w14:paraId="32744A6D" w14:textId="77777777" w:rsidR="00F81091" w:rsidRPr="008C1882" w:rsidRDefault="00F81091" w:rsidP="00F81091">
      <w:pPr>
        <w:pStyle w:val="ListParagraph"/>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 </w:t>
      </w:r>
    </w:p>
    <w:p w14:paraId="32580154" w14:textId="77777777" w:rsidR="00F81091" w:rsidRPr="008C1882" w:rsidRDefault="00F81091" w:rsidP="00F81091">
      <w:pPr>
        <w:tabs>
          <w:tab w:val="left" w:pos="567"/>
        </w:tabs>
        <w:spacing w:line="360" w:lineRule="auto"/>
        <w:jc w:val="both"/>
        <w:rPr>
          <w:rFonts w:ascii="Book Antiqua" w:hAnsi="Book Antiqua" w:cs="Times New Roman"/>
          <w:b/>
          <w:sz w:val="24"/>
          <w:szCs w:val="24"/>
          <w:u w:val="single"/>
        </w:rPr>
      </w:pPr>
      <w:r w:rsidRPr="008C1882">
        <w:rPr>
          <w:rFonts w:ascii="Book Antiqua" w:hAnsi="Book Antiqua" w:cs="Times New Roman"/>
          <w:b/>
          <w:sz w:val="24"/>
          <w:szCs w:val="24"/>
          <w:u w:val="single"/>
        </w:rPr>
        <w:t>E. Splitting domestic and wholesale financial services</w:t>
      </w:r>
    </w:p>
    <w:p w14:paraId="7537C329"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Another </w:t>
      </w:r>
      <w:proofErr w:type="gramStart"/>
      <w:r w:rsidRPr="008C1882">
        <w:rPr>
          <w:rFonts w:ascii="Book Antiqua" w:hAnsi="Book Antiqua" w:cs="Times New Roman"/>
          <w:sz w:val="24"/>
          <w:szCs w:val="24"/>
        </w:rPr>
        <w:t xml:space="preserve">opportunity which </w:t>
      </w:r>
      <w:proofErr w:type="spellStart"/>
      <w:r w:rsidRPr="008C1882">
        <w:rPr>
          <w:rFonts w:ascii="Book Antiqua" w:hAnsi="Book Antiqua" w:cs="Times New Roman"/>
          <w:sz w:val="24"/>
          <w:szCs w:val="24"/>
        </w:rPr>
        <w:t>Brexit</w:t>
      </w:r>
      <w:proofErr w:type="spellEnd"/>
      <w:r w:rsidRPr="008C1882">
        <w:rPr>
          <w:rFonts w:ascii="Book Antiqua" w:hAnsi="Book Antiqua" w:cs="Times New Roman"/>
          <w:sz w:val="24"/>
          <w:szCs w:val="24"/>
        </w:rPr>
        <w:t xml:space="preserve"> potentially presents</w:t>
      </w:r>
      <w:proofErr w:type="gramEnd"/>
      <w:r w:rsidRPr="008C1882">
        <w:rPr>
          <w:rFonts w:ascii="Book Antiqua" w:hAnsi="Book Antiqua" w:cs="Times New Roman"/>
          <w:sz w:val="24"/>
          <w:szCs w:val="24"/>
        </w:rPr>
        <w:t xml:space="preserve"> is if the UK could adopt a more clear-cut two part approach by differentiating between the regulatory frameworks for the retail and wholesale markets. This “twin peaks” approach was much in favour with the Government and UK regulators in the 1990’s but fashions changed. This new theory suggests that there are still two very </w:t>
      </w:r>
      <w:r w:rsidRPr="008C1882">
        <w:rPr>
          <w:rFonts w:ascii="Book Antiqua" w:hAnsi="Book Antiqua" w:cs="Times New Roman"/>
          <w:sz w:val="24"/>
          <w:szCs w:val="24"/>
        </w:rPr>
        <w:lastRenderedPageBreak/>
        <w:t xml:space="preserve">different markets at work – retail financial services and wholesale financial services - and that a regulatory </w:t>
      </w:r>
      <w:proofErr w:type="gramStart"/>
      <w:r w:rsidRPr="008C1882">
        <w:rPr>
          <w:rFonts w:ascii="Book Antiqua" w:hAnsi="Book Antiqua" w:cs="Times New Roman"/>
          <w:sz w:val="24"/>
          <w:szCs w:val="24"/>
        </w:rPr>
        <w:t>regime which tries to be “all things to all men”</w:t>
      </w:r>
      <w:proofErr w:type="gramEnd"/>
      <w:r w:rsidRPr="008C1882">
        <w:rPr>
          <w:rFonts w:ascii="Book Antiqua" w:hAnsi="Book Antiqua" w:cs="Times New Roman"/>
          <w:sz w:val="24"/>
          <w:szCs w:val="24"/>
        </w:rPr>
        <w:t xml:space="preserve"> is no longer appropriate</w:t>
      </w:r>
      <w:r w:rsidRPr="008C1882">
        <w:rPr>
          <w:rStyle w:val="FootnoteReference"/>
          <w:rFonts w:ascii="Book Antiqua" w:hAnsi="Book Antiqua" w:cs="Times New Roman"/>
          <w:sz w:val="24"/>
          <w:szCs w:val="24"/>
        </w:rPr>
        <w:footnoteReference w:id="10"/>
      </w:r>
      <w:r w:rsidRPr="008C1882">
        <w:rPr>
          <w:rFonts w:ascii="Book Antiqua" w:hAnsi="Book Antiqua" w:cs="Times New Roman"/>
          <w:sz w:val="24"/>
          <w:szCs w:val="24"/>
        </w:rPr>
        <w:t>.</w:t>
      </w:r>
    </w:p>
    <w:p w14:paraId="7746FF51"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cs="Times New Roman"/>
          <w:sz w:val="24"/>
          <w:szCs w:val="24"/>
        </w:rPr>
        <w:t xml:space="preserve">The concept has been modified somewhat to fit the new model of separate conduct and prudential regulation. However, moving away from </w:t>
      </w:r>
      <w:proofErr w:type="gramStart"/>
      <w:r w:rsidRPr="008C1882">
        <w:rPr>
          <w:rFonts w:ascii="Book Antiqua" w:hAnsi="Book Antiqua" w:cs="Times New Roman"/>
          <w:sz w:val="24"/>
          <w:szCs w:val="24"/>
        </w:rPr>
        <w:t>an</w:t>
      </w:r>
      <w:proofErr w:type="gramEnd"/>
      <w:r w:rsidRPr="008C1882">
        <w:rPr>
          <w:rFonts w:ascii="Book Antiqua" w:hAnsi="Book Antiqua" w:cs="Times New Roman"/>
          <w:sz w:val="24"/>
          <w:szCs w:val="24"/>
        </w:rPr>
        <w:t xml:space="preserve"> EU mandated framework could allow the UK to take further the bifurcation of regulation into a consumer market regulator and a wholesale market regulator.  Such an approach would be consistent with the direction of movement of the Government’s towards the empowerment of the Bank of England as a direct regulator, but could potentially compromise the independence of the Bank in its role as central banker. It also might raise issues with the EU authorities in terms of the recognition of UK equivalence for the purposes of third country status.</w:t>
      </w:r>
    </w:p>
    <w:p w14:paraId="79BDB757" w14:textId="77777777" w:rsidR="00F81091" w:rsidRPr="008C1882" w:rsidRDefault="00F81091" w:rsidP="00F81091">
      <w:pPr>
        <w:pStyle w:val="ListParagraph"/>
        <w:tabs>
          <w:tab w:val="left" w:pos="567"/>
        </w:tabs>
        <w:spacing w:line="360" w:lineRule="auto"/>
        <w:ind w:left="567" w:hanging="567"/>
        <w:contextualSpacing w:val="0"/>
        <w:jc w:val="both"/>
        <w:rPr>
          <w:rFonts w:ascii="Book Antiqua" w:hAnsi="Book Antiqua" w:cs="Times New Roman"/>
          <w:sz w:val="24"/>
          <w:szCs w:val="24"/>
        </w:rPr>
      </w:pPr>
    </w:p>
    <w:p w14:paraId="7E2F7A9D" w14:textId="77777777" w:rsidR="00F81091" w:rsidRPr="008C1882" w:rsidRDefault="00F81091" w:rsidP="00F81091">
      <w:pPr>
        <w:tabs>
          <w:tab w:val="left" w:pos="567"/>
        </w:tabs>
        <w:spacing w:line="360" w:lineRule="auto"/>
        <w:jc w:val="both"/>
        <w:rPr>
          <w:rFonts w:ascii="Book Antiqua" w:hAnsi="Book Antiqua" w:cs="Times New Roman"/>
          <w:b/>
          <w:sz w:val="24"/>
          <w:szCs w:val="24"/>
          <w:u w:val="single"/>
        </w:rPr>
      </w:pPr>
      <w:r w:rsidRPr="008C1882">
        <w:rPr>
          <w:rFonts w:ascii="Book Antiqua" w:hAnsi="Book Antiqua" w:cs="Times New Roman"/>
          <w:b/>
          <w:sz w:val="24"/>
          <w:szCs w:val="24"/>
          <w:u w:val="single"/>
        </w:rPr>
        <w:t>F. A London International Financial Centre</w:t>
      </w:r>
    </w:p>
    <w:p w14:paraId="7E7FDC88"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t xml:space="preserve">There has also been some discussion as to whether the UK could create an “international financial centre” or “free trade zone” similar to those created in Malta, Dubai, Abu Dhabi, Bahrain and others with separate legal and regulatory systems within another sovereign state.  If anything, the City of London Corporation stands as a precedent for an enclave within a larger legal and regulatory framework.  How this model would operate under </w:t>
      </w:r>
      <w:proofErr w:type="spellStart"/>
      <w:r w:rsidRPr="008C1882">
        <w:rPr>
          <w:rFonts w:ascii="Book Antiqua" w:hAnsi="Book Antiqua" w:cs="Times New Roman"/>
          <w:sz w:val="24"/>
          <w:szCs w:val="24"/>
        </w:rPr>
        <w:t>MiFID</w:t>
      </w:r>
      <w:proofErr w:type="spellEnd"/>
      <w:r w:rsidRPr="008C1882">
        <w:rPr>
          <w:rFonts w:ascii="Book Antiqua" w:hAnsi="Book Antiqua" w:cs="Times New Roman"/>
          <w:sz w:val="24"/>
          <w:szCs w:val="24"/>
        </w:rPr>
        <w:t xml:space="preserve"> II’s third country regime would have to be explored, but it might offer some solution to the industry, which wishes to retain the benefits of the Single Market, without the UK having to accept the wider political issues regarding freedom of movement.</w:t>
      </w:r>
    </w:p>
    <w:p w14:paraId="0A3C4538" w14:textId="77777777" w:rsidR="00F81091" w:rsidRPr="008C1882" w:rsidRDefault="00F81091" w:rsidP="00F81091">
      <w:pPr>
        <w:tabs>
          <w:tab w:val="left" w:pos="567"/>
        </w:tabs>
        <w:spacing w:line="360" w:lineRule="auto"/>
        <w:ind w:left="567" w:hanging="567"/>
        <w:jc w:val="both"/>
        <w:rPr>
          <w:rFonts w:ascii="Book Antiqua" w:hAnsi="Book Antiqua" w:cs="Times New Roman"/>
          <w:sz w:val="24"/>
          <w:szCs w:val="24"/>
        </w:rPr>
      </w:pPr>
    </w:p>
    <w:p w14:paraId="453839E7" w14:textId="77777777" w:rsidR="00F81091" w:rsidRPr="008C1882" w:rsidRDefault="00F81091" w:rsidP="00F81091">
      <w:pPr>
        <w:tabs>
          <w:tab w:val="left" w:pos="567"/>
        </w:tabs>
        <w:spacing w:line="360" w:lineRule="auto"/>
        <w:jc w:val="both"/>
        <w:rPr>
          <w:rFonts w:ascii="Book Antiqua" w:hAnsi="Book Antiqua" w:cs="Times New Roman"/>
          <w:b/>
          <w:sz w:val="24"/>
          <w:szCs w:val="24"/>
          <w:u w:val="single"/>
        </w:rPr>
      </w:pPr>
      <w:r w:rsidRPr="008C1882">
        <w:rPr>
          <w:rFonts w:ascii="Book Antiqua" w:hAnsi="Book Antiqua" w:cs="Times New Roman"/>
          <w:b/>
          <w:sz w:val="24"/>
          <w:szCs w:val="24"/>
          <w:u w:val="single"/>
        </w:rPr>
        <w:t>G. An uncertain future</w:t>
      </w:r>
    </w:p>
    <w:p w14:paraId="1912347A" w14:textId="77777777" w:rsidR="00F81091" w:rsidRPr="008C1882" w:rsidRDefault="00F81091" w:rsidP="00F81091">
      <w:pPr>
        <w:pStyle w:val="ListParagraph"/>
        <w:numPr>
          <w:ilvl w:val="0"/>
          <w:numId w:val="11"/>
        </w:numPr>
        <w:tabs>
          <w:tab w:val="left" w:pos="567"/>
        </w:tabs>
        <w:spacing w:line="360" w:lineRule="auto"/>
        <w:ind w:left="567" w:hanging="567"/>
        <w:contextualSpacing w:val="0"/>
        <w:jc w:val="both"/>
        <w:rPr>
          <w:rFonts w:ascii="Book Antiqua" w:hAnsi="Book Antiqua" w:cs="Times New Roman"/>
          <w:sz w:val="24"/>
          <w:szCs w:val="24"/>
        </w:rPr>
      </w:pPr>
      <w:r w:rsidRPr="008C1882">
        <w:rPr>
          <w:rFonts w:ascii="Book Antiqua" w:hAnsi="Book Antiqua" w:cs="Times New Roman"/>
          <w:sz w:val="24"/>
          <w:szCs w:val="24"/>
        </w:rPr>
        <w:lastRenderedPageBreak/>
        <w:t xml:space="preserve">Both the industry and the House of Lords Committee have expressed their concerns that the absence of clarity over the future relationship will lead to firms pre-empting the final outcome by relocating or restructuring, including establishing subsidiaries or transferring staff, even though such changes may ultimately prove to be unnecessary.  Uncertainty has been expressed as the greatest risk of the </w:t>
      </w:r>
      <w:proofErr w:type="spellStart"/>
      <w:r w:rsidRPr="008C1882">
        <w:rPr>
          <w:rFonts w:ascii="Book Antiqua" w:hAnsi="Book Antiqua" w:cs="Times New Roman"/>
          <w:sz w:val="24"/>
          <w:szCs w:val="24"/>
        </w:rPr>
        <w:t>Brexit</w:t>
      </w:r>
      <w:proofErr w:type="spellEnd"/>
      <w:r w:rsidRPr="008C1882">
        <w:rPr>
          <w:rFonts w:ascii="Book Antiqua" w:hAnsi="Book Antiqua" w:cs="Times New Roman"/>
          <w:sz w:val="24"/>
          <w:szCs w:val="24"/>
        </w:rPr>
        <w:t xml:space="preserve"> process and this is a theme which receives much emphasis, not only in the individual Chapters of this Report which follow, but in the Reports prepared by the other COMBAR </w:t>
      </w:r>
      <w:proofErr w:type="spellStart"/>
      <w:r w:rsidRPr="008C1882">
        <w:rPr>
          <w:rFonts w:ascii="Book Antiqua" w:hAnsi="Book Antiqua" w:cs="Times New Roman"/>
          <w:sz w:val="24"/>
          <w:szCs w:val="24"/>
        </w:rPr>
        <w:t>Brexit</w:t>
      </w:r>
      <w:proofErr w:type="spellEnd"/>
      <w:r w:rsidRPr="008C1882">
        <w:rPr>
          <w:rFonts w:ascii="Book Antiqua" w:hAnsi="Book Antiqua" w:cs="Times New Roman"/>
          <w:sz w:val="24"/>
          <w:szCs w:val="24"/>
        </w:rPr>
        <w:t xml:space="preserve"> sub-groups. In these circumstances, it is vital that the Government works very speedily and closely with the different sectors of the financial services industry to provide some degree of certainty in order to remove or at least substantially mitigate this very pressing and substantial risk.</w:t>
      </w:r>
    </w:p>
    <w:p w14:paraId="6A73F2D3" w14:textId="77777777" w:rsidR="00F81091" w:rsidRPr="008C1882" w:rsidRDefault="00F81091" w:rsidP="00F81091">
      <w:pPr>
        <w:pStyle w:val="ListParagraph"/>
        <w:spacing w:line="360" w:lineRule="auto"/>
        <w:ind w:left="567" w:hanging="567"/>
        <w:contextualSpacing w:val="0"/>
        <w:jc w:val="both"/>
        <w:rPr>
          <w:rFonts w:ascii="Book Antiqua" w:hAnsi="Book Antiqua" w:cs="Times New Roman"/>
          <w:sz w:val="24"/>
          <w:szCs w:val="24"/>
        </w:rPr>
      </w:pPr>
    </w:p>
    <w:p w14:paraId="7D3785EE" w14:textId="77777777" w:rsidR="00F81091" w:rsidRPr="008C1882" w:rsidRDefault="00F81091" w:rsidP="00F81091">
      <w:pPr>
        <w:pStyle w:val="ListParagraph"/>
        <w:spacing w:line="360" w:lineRule="auto"/>
        <w:ind w:left="567" w:hanging="567"/>
        <w:contextualSpacing w:val="0"/>
        <w:jc w:val="both"/>
        <w:rPr>
          <w:rFonts w:ascii="Book Antiqua" w:hAnsi="Book Antiqua" w:cs="Times New Roman"/>
          <w:sz w:val="24"/>
          <w:szCs w:val="24"/>
        </w:rPr>
      </w:pPr>
    </w:p>
    <w:p w14:paraId="5619F046" w14:textId="77777777" w:rsidR="00F81091" w:rsidRPr="008C1882" w:rsidRDefault="00F81091" w:rsidP="00F81091">
      <w:pPr>
        <w:pStyle w:val="ListParagraph"/>
        <w:spacing w:line="360" w:lineRule="auto"/>
        <w:ind w:left="567" w:hanging="567"/>
        <w:contextualSpacing w:val="0"/>
        <w:jc w:val="both"/>
        <w:rPr>
          <w:rFonts w:ascii="Book Antiqua" w:hAnsi="Book Antiqua" w:cs="Times New Roman"/>
          <w:sz w:val="24"/>
          <w:szCs w:val="24"/>
        </w:rPr>
      </w:pPr>
    </w:p>
    <w:p w14:paraId="3AB60E07" w14:textId="7B0841B3" w:rsidR="00F81091" w:rsidRPr="008C1882" w:rsidRDefault="00F81091">
      <w:pPr>
        <w:rPr>
          <w:rFonts w:ascii="Book Antiqua" w:hAnsi="Book Antiqua"/>
          <w:sz w:val="24"/>
          <w:szCs w:val="24"/>
        </w:rPr>
      </w:pPr>
      <w:r w:rsidRPr="008C1882">
        <w:rPr>
          <w:rFonts w:ascii="Book Antiqua" w:hAnsi="Book Antiqua"/>
          <w:sz w:val="24"/>
          <w:szCs w:val="24"/>
        </w:rPr>
        <w:br w:type="page"/>
      </w:r>
    </w:p>
    <w:p w14:paraId="75FE6439" w14:textId="77777777" w:rsidR="00CA585D" w:rsidRPr="008C1882" w:rsidRDefault="00CA585D" w:rsidP="00C23813">
      <w:pPr>
        <w:spacing w:after="0"/>
        <w:jc w:val="both"/>
        <w:rPr>
          <w:rFonts w:ascii="Book Antiqua" w:hAnsi="Book Antiqua"/>
          <w:b/>
          <w:sz w:val="24"/>
          <w:szCs w:val="24"/>
          <w:u w:val="single"/>
        </w:rPr>
      </w:pPr>
      <w:r w:rsidRPr="008C1882">
        <w:rPr>
          <w:rFonts w:ascii="Book Antiqua" w:hAnsi="Book Antiqua"/>
          <w:b/>
          <w:sz w:val="24"/>
          <w:szCs w:val="24"/>
          <w:u w:val="single"/>
        </w:rPr>
        <w:lastRenderedPageBreak/>
        <w:t>CHAPTER 1 - THE PASSPORTING AND EQUIVALENCE REGIMES:</w:t>
      </w:r>
    </w:p>
    <w:p w14:paraId="1EE7BE73" w14:textId="349C6791" w:rsidR="00CA585D" w:rsidRPr="008C1882" w:rsidRDefault="00CA585D" w:rsidP="00CA585D">
      <w:pPr>
        <w:spacing w:line="360" w:lineRule="auto"/>
        <w:jc w:val="both"/>
        <w:rPr>
          <w:rFonts w:ascii="Book Antiqua" w:hAnsi="Book Antiqua"/>
          <w:b/>
          <w:sz w:val="24"/>
          <w:szCs w:val="24"/>
          <w:u w:val="single"/>
        </w:rPr>
      </w:pPr>
      <w:r w:rsidRPr="008C1882">
        <w:rPr>
          <w:rFonts w:ascii="Book Antiqua" w:hAnsi="Book Antiqua"/>
          <w:b/>
          <w:sz w:val="24"/>
          <w:szCs w:val="24"/>
          <w:u w:val="single"/>
        </w:rPr>
        <w:t>GENERAL CONCEPTS AND OPERATION</w:t>
      </w:r>
    </w:p>
    <w:p w14:paraId="3B8201C4" w14:textId="77777777" w:rsidR="00CA585D" w:rsidRPr="008C1882" w:rsidRDefault="00CA585D" w:rsidP="00CA585D">
      <w:pPr>
        <w:spacing w:line="360" w:lineRule="auto"/>
        <w:ind w:left="567" w:hanging="567"/>
        <w:jc w:val="both"/>
        <w:rPr>
          <w:rFonts w:ascii="Book Antiqua" w:hAnsi="Book Antiqua"/>
          <w:b/>
          <w:sz w:val="24"/>
          <w:szCs w:val="24"/>
          <w:u w:val="single"/>
        </w:rPr>
      </w:pPr>
    </w:p>
    <w:p w14:paraId="058A9AB1" w14:textId="77777777" w:rsidR="00CA585D" w:rsidRPr="008C1882" w:rsidRDefault="00CA585D" w:rsidP="00CA585D">
      <w:pPr>
        <w:spacing w:line="360" w:lineRule="auto"/>
        <w:ind w:left="567" w:hanging="567"/>
        <w:jc w:val="both"/>
        <w:rPr>
          <w:rFonts w:ascii="Book Antiqua" w:hAnsi="Book Antiqua"/>
          <w:b/>
          <w:sz w:val="24"/>
          <w:szCs w:val="24"/>
        </w:rPr>
      </w:pPr>
      <w:r w:rsidRPr="008C1882">
        <w:rPr>
          <w:rFonts w:ascii="Book Antiqua" w:hAnsi="Book Antiqua"/>
          <w:b/>
          <w:sz w:val="24"/>
          <w:szCs w:val="24"/>
          <w:u w:val="single"/>
        </w:rPr>
        <w:t xml:space="preserve">A. The EEA </w:t>
      </w:r>
      <w:proofErr w:type="spellStart"/>
      <w:r w:rsidRPr="008C1882">
        <w:rPr>
          <w:rFonts w:ascii="Book Antiqua" w:hAnsi="Book Antiqua"/>
          <w:b/>
          <w:sz w:val="24"/>
          <w:szCs w:val="24"/>
          <w:u w:val="single"/>
        </w:rPr>
        <w:t>passporting</w:t>
      </w:r>
      <w:proofErr w:type="spellEnd"/>
      <w:r w:rsidRPr="008C1882">
        <w:rPr>
          <w:rFonts w:ascii="Book Antiqua" w:hAnsi="Book Antiqua"/>
          <w:b/>
          <w:sz w:val="24"/>
          <w:szCs w:val="24"/>
          <w:u w:val="single"/>
        </w:rPr>
        <w:t xml:space="preserve"> regime</w:t>
      </w:r>
    </w:p>
    <w:p w14:paraId="315D2DA7"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bookmarkStart w:id="3" w:name="_Ref345535780"/>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(also known as a single market passport, or single licence) enables the free movement and establishment of services in the financial sector in the European Economic Area (“EEA”). It allows financial institutions authorised to carry out certain activities in one EEA state to carry on the same activities in any of the other EEA states either remotely (such as via post, telephone or internet) or via a branch office without the need to seek additional authorisation in the host state.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is based on mutual recognition across the EEA of national authorisations to carry out financial services as well as minimum prudential requirements harmonised at the EU level. To date, there has been no precedent permitting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without either full membership of the EU or acceptance of all relevant EU rules and regulations (the EEA model). The EU passport has not been made available to institutions located in third countries.</w:t>
      </w:r>
      <w:bookmarkEnd w:id="3"/>
      <w:r w:rsidRPr="008C1882">
        <w:rPr>
          <w:rFonts w:ascii="Book Antiqua" w:hAnsi="Book Antiqua"/>
          <w:sz w:val="24"/>
          <w:szCs w:val="24"/>
        </w:rPr>
        <w:t xml:space="preserve"> </w:t>
      </w:r>
    </w:p>
    <w:p w14:paraId="5EAD1FBB"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The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regime applies to most regulated activities carried out by a wide range of financial institutions, including banks, mortgage brokers, investment firms, insurers, payment and electronic money institutions, alternative investment fund managers (AIFMs) and UCITS management companies.</w:t>
      </w:r>
      <w:r w:rsidRPr="008C1882">
        <w:rPr>
          <w:rStyle w:val="FootnoteReference"/>
          <w:rFonts w:ascii="Book Antiqua" w:hAnsi="Book Antiqua"/>
          <w:sz w:val="24"/>
          <w:szCs w:val="24"/>
        </w:rPr>
        <w:footnoteReference w:id="11"/>
      </w:r>
      <w:r w:rsidRPr="008C1882">
        <w:rPr>
          <w:rFonts w:ascii="Book Antiqua" w:hAnsi="Book Antiqua"/>
          <w:sz w:val="24"/>
          <w:szCs w:val="24"/>
        </w:rPr>
        <w:t xml:space="preserve"> The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system saves EEA firms the otherwise significant administrative and cost burdens (including the need to satisfy </w:t>
      </w:r>
      <w:proofErr w:type="spellStart"/>
      <w:r w:rsidRPr="008C1882">
        <w:rPr>
          <w:rFonts w:ascii="Book Antiqua" w:hAnsi="Book Antiqua"/>
          <w:sz w:val="24"/>
          <w:szCs w:val="24"/>
        </w:rPr>
        <w:t>ongoing</w:t>
      </w:r>
      <w:proofErr w:type="spellEnd"/>
      <w:r w:rsidRPr="008C1882">
        <w:rPr>
          <w:rFonts w:ascii="Book Antiqua" w:hAnsi="Book Antiqua"/>
          <w:sz w:val="24"/>
          <w:szCs w:val="24"/>
        </w:rPr>
        <w:t xml:space="preserve"> capital requirements) in each EEA state where they operate and has effectively developed a single market in financial services. In the UK, nearly 6,000 UK firms benefit from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to the EEA while over 8,000 EEA firms use their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in the UK. In addition to obtaining authorisation to carry out financial services activities in at least one EEA country, financial institutions </w:t>
      </w:r>
      <w:r w:rsidRPr="008C1882">
        <w:rPr>
          <w:rFonts w:ascii="Book Antiqua" w:hAnsi="Book Antiqua"/>
          <w:sz w:val="24"/>
          <w:szCs w:val="24"/>
        </w:rPr>
        <w:lastRenderedPageBreak/>
        <w:t xml:space="preserve">must still abide by local conduct of business and financial promotion rules in any country where they have established a branch. </w:t>
      </w:r>
    </w:p>
    <w:p w14:paraId="32A72E63" w14:textId="77777777" w:rsidR="00CA585D" w:rsidRPr="008C1882" w:rsidRDefault="00CA585D" w:rsidP="00CA585D">
      <w:pPr>
        <w:spacing w:line="360" w:lineRule="auto"/>
        <w:ind w:left="567" w:hanging="567"/>
        <w:jc w:val="both"/>
        <w:rPr>
          <w:rFonts w:ascii="Book Antiqua" w:hAnsi="Book Antiqua"/>
          <w:sz w:val="24"/>
          <w:szCs w:val="24"/>
        </w:rPr>
      </w:pPr>
    </w:p>
    <w:p w14:paraId="52AB638E" w14:textId="77777777" w:rsidR="00CA585D" w:rsidRPr="008C1882" w:rsidRDefault="00CA585D" w:rsidP="00CA585D">
      <w:pPr>
        <w:spacing w:line="360" w:lineRule="auto"/>
        <w:ind w:left="567" w:hanging="567"/>
        <w:jc w:val="both"/>
        <w:rPr>
          <w:rFonts w:ascii="Book Antiqua" w:hAnsi="Book Antiqua"/>
          <w:sz w:val="24"/>
          <w:szCs w:val="24"/>
        </w:rPr>
      </w:pPr>
      <w:r w:rsidRPr="008C1882">
        <w:rPr>
          <w:rFonts w:ascii="Book Antiqua" w:hAnsi="Book Antiqua"/>
          <w:b/>
          <w:sz w:val="24"/>
          <w:szCs w:val="24"/>
          <w:u w:val="single"/>
        </w:rPr>
        <w:t>B. Third country equivalence regimes</w:t>
      </w:r>
    </w:p>
    <w:p w14:paraId="14172564"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There is a limited </w:t>
      </w:r>
      <w:proofErr w:type="spellStart"/>
      <w:r w:rsidRPr="008C1882">
        <w:rPr>
          <w:rFonts w:ascii="Book Antiqua" w:hAnsi="Book Antiqua"/>
          <w:sz w:val="24"/>
          <w:szCs w:val="24"/>
        </w:rPr>
        <w:t>passporting</w:t>
      </w:r>
      <w:proofErr w:type="spellEnd"/>
      <w:r w:rsidRPr="008C1882">
        <w:rPr>
          <w:rFonts w:ascii="Book Antiqua" w:hAnsi="Book Antiqua"/>
          <w:sz w:val="24"/>
          <w:szCs w:val="24"/>
        </w:rPr>
        <w:t>-type regime available for financial institutions from countries outside the EEA, referred to as “third country equivalence”, but it operates on a much more piecemeal basis. The fundamental difference between the regimes is that, while the EEA regime is based on the presumption that EEA authorisation standards are equivalent, under the third country regime, the EU must assess substantively</w:t>
      </w:r>
      <w:r w:rsidRPr="008C1882">
        <w:rPr>
          <w:rFonts w:ascii="Book Antiqua" w:hAnsi="Book Antiqua"/>
          <w:i/>
          <w:sz w:val="24"/>
          <w:szCs w:val="24"/>
        </w:rPr>
        <w:t xml:space="preserve"> </w:t>
      </w:r>
      <w:r w:rsidRPr="008C1882">
        <w:rPr>
          <w:rFonts w:ascii="Book Antiqua" w:hAnsi="Book Antiqua"/>
          <w:sz w:val="24"/>
          <w:szCs w:val="24"/>
        </w:rPr>
        <w:t xml:space="preserve">whether the third country’s regulatory regime in relation to a particular sector is of an equivalent standard to that of the EU.  Equivalence decisions take the form of legally binding implementing or delegated acts, in accordance with what is envisaged in the corresponding equivalence provision.  </w:t>
      </w:r>
    </w:p>
    <w:p w14:paraId="570228E5"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Third </w:t>
      </w:r>
      <w:proofErr w:type="gramStart"/>
      <w:r w:rsidRPr="008C1882">
        <w:rPr>
          <w:rFonts w:ascii="Book Antiqua" w:hAnsi="Book Antiqua"/>
          <w:sz w:val="24"/>
          <w:szCs w:val="24"/>
        </w:rPr>
        <w:t>country equivalence can only be requested by third countries where such a regime is explicitly provided for in EU legislation</w:t>
      </w:r>
      <w:proofErr w:type="gramEnd"/>
      <w:r w:rsidRPr="008C1882">
        <w:rPr>
          <w:rFonts w:ascii="Book Antiqua" w:hAnsi="Book Antiqua"/>
          <w:sz w:val="24"/>
          <w:szCs w:val="24"/>
        </w:rPr>
        <w:t xml:space="preserve">.  This is currently limited to a narrow range of financial services activities covered by the Markets in Financial Instruments II Directive (which will apply from 2018), the Alternative Investment Fund Managers Directive (AIFMD), the Solvency II Directive (in relation to reinsurers), and the European Market Infrastructure Regulation (EMIR) (in relation to central clearing counterparties (CCPs)). A notable gap in the equivalence regime is the banking sector, which benefits from no passport-type equivalence. Furthermore, even where third country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is allowed, it applies only to financial services offered to “per se professional clients” and eligible counterparties and excludes retail or high-net-worth individuals or local authorities. Finally, third country equivalence is significantly more complicated to obtain, and it may be withdrawn with 30 days’ notice, although there is no precedent to date of such withdrawal.  </w:t>
      </w:r>
    </w:p>
    <w:p w14:paraId="08E7C28B"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Apart from third country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there are also other types of equivalence clauses in EU legislation which serve other limited purposes (e.g. in relation to </w:t>
      </w:r>
      <w:r w:rsidRPr="008C1882">
        <w:rPr>
          <w:rFonts w:ascii="Book Antiqua" w:hAnsi="Book Antiqua"/>
          <w:sz w:val="24"/>
          <w:szCs w:val="24"/>
        </w:rPr>
        <w:lastRenderedPageBreak/>
        <w:t>risk-weights to be applied by EU financial institutions to exposures to third-country firms for the calculation of prudential ratios under the Capital Requirements Directive (CRD IV)), but they are irrelevant in terms of EEA market access for third country firms.</w:t>
      </w:r>
    </w:p>
    <w:p w14:paraId="3E1F10CF"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In financial services, the technical assessment of whether a third country’s regulatory regime is equivalent is usually made by the European Commission (the Commission) (DG FISMA), based on advice from the European Supervisory Authorities (ESAs), that is the European Securities and Markets Authority (ESMA), the European Insurance and Occupational Pensions Authority (EIOPA) and the European Banking Authority (EBA), on how the third country’s laws and regulations compare to the corresponding EU requirements. </w:t>
      </w:r>
    </w:p>
    <w:p w14:paraId="48D4A586"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Assessments usually entail a close exchange with the third country assessed. The timeline for equivalence decisions varies across cases as the Commission is under no specific obligation to decide within a specific timeframe. By way of example, EMIR entered into force in August 2012, but the Commission took nearly 4 years to assess the equivalence regime of US CCPs before taking its decision in March 2016. Part of the reason for this is the size of the US market and the wide-ranging implications of the decision. </w:t>
      </w:r>
    </w:p>
    <w:p w14:paraId="20DED4BB"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Before an equivalence decision is confirmed, the Commission’s proposed decision is subject to the EU legislative process for an implementing or delegated act, whereby a qualified majority of the EU27 Member State governments must vote in favour of it. An equivalence determination may be “conditional” rather than full, and it may be “temporary” where progress is being made towards equivalence.  The relevant ESA and the Commission consider a number of factors when determining whether a third country regime is equivalent, including:</w:t>
      </w:r>
    </w:p>
    <w:p w14:paraId="1F93D59D" w14:textId="77777777" w:rsidR="00CA585D" w:rsidRPr="008C1882" w:rsidRDefault="00CA585D" w:rsidP="00CA585D">
      <w:pPr>
        <w:pStyle w:val="ListParagraph"/>
        <w:numPr>
          <w:ilvl w:val="1"/>
          <w:numId w:val="13"/>
        </w:numPr>
        <w:spacing w:line="360" w:lineRule="auto"/>
        <w:ind w:left="1134" w:hanging="567"/>
        <w:contextualSpacing w:val="0"/>
        <w:jc w:val="both"/>
        <w:rPr>
          <w:rFonts w:ascii="Book Antiqua" w:hAnsi="Book Antiqua"/>
          <w:sz w:val="24"/>
          <w:szCs w:val="24"/>
        </w:rPr>
      </w:pPr>
      <w:proofErr w:type="gramStart"/>
      <w:r w:rsidRPr="008C1882">
        <w:rPr>
          <w:rFonts w:ascii="Book Antiqua" w:hAnsi="Book Antiqua"/>
          <w:sz w:val="24"/>
          <w:szCs w:val="24"/>
        </w:rPr>
        <w:t>whether</w:t>
      </w:r>
      <w:proofErr w:type="gramEnd"/>
      <w:r w:rsidRPr="008C1882">
        <w:rPr>
          <w:rFonts w:ascii="Book Antiqua" w:hAnsi="Book Antiqua"/>
          <w:sz w:val="24"/>
          <w:szCs w:val="24"/>
        </w:rPr>
        <w:t xml:space="preserve"> the regime is broadly similar to that of the EU and is applied consistently;</w:t>
      </w:r>
    </w:p>
    <w:p w14:paraId="0576AD0C" w14:textId="77777777" w:rsidR="00CA585D" w:rsidRPr="008C1882" w:rsidRDefault="00CA585D" w:rsidP="00CA585D">
      <w:pPr>
        <w:pStyle w:val="ListParagraph"/>
        <w:numPr>
          <w:ilvl w:val="1"/>
          <w:numId w:val="13"/>
        </w:numPr>
        <w:spacing w:line="360" w:lineRule="auto"/>
        <w:ind w:left="1134" w:hanging="567"/>
        <w:contextualSpacing w:val="0"/>
        <w:jc w:val="both"/>
        <w:rPr>
          <w:rFonts w:ascii="Book Antiqua" w:hAnsi="Book Antiqua"/>
          <w:sz w:val="24"/>
          <w:szCs w:val="24"/>
        </w:rPr>
      </w:pPr>
      <w:proofErr w:type="gramStart"/>
      <w:r w:rsidRPr="008C1882">
        <w:rPr>
          <w:rFonts w:ascii="Book Antiqua" w:hAnsi="Book Antiqua"/>
          <w:sz w:val="24"/>
          <w:szCs w:val="24"/>
        </w:rPr>
        <w:lastRenderedPageBreak/>
        <w:t>whether</w:t>
      </w:r>
      <w:proofErr w:type="gramEnd"/>
      <w:r w:rsidRPr="008C1882">
        <w:rPr>
          <w:rFonts w:ascii="Book Antiqua" w:hAnsi="Book Antiqua"/>
          <w:sz w:val="24"/>
          <w:szCs w:val="24"/>
        </w:rPr>
        <w:t xml:space="preserve"> the regime adequately implements internationally agreed standards, such as those reflecting G20 initiatives;</w:t>
      </w:r>
    </w:p>
    <w:p w14:paraId="34D96400" w14:textId="77777777" w:rsidR="00CA585D" w:rsidRPr="008C1882" w:rsidRDefault="00CA585D" w:rsidP="00CA585D">
      <w:pPr>
        <w:pStyle w:val="ListParagraph"/>
        <w:numPr>
          <w:ilvl w:val="1"/>
          <w:numId w:val="13"/>
        </w:numPr>
        <w:spacing w:line="360" w:lineRule="auto"/>
        <w:ind w:left="1134" w:hanging="567"/>
        <w:contextualSpacing w:val="0"/>
        <w:jc w:val="both"/>
        <w:rPr>
          <w:rFonts w:ascii="Book Antiqua" w:hAnsi="Book Antiqua"/>
          <w:sz w:val="24"/>
          <w:szCs w:val="24"/>
        </w:rPr>
      </w:pPr>
      <w:proofErr w:type="gramStart"/>
      <w:r w:rsidRPr="008C1882">
        <w:rPr>
          <w:rFonts w:ascii="Book Antiqua" w:hAnsi="Book Antiqua"/>
          <w:sz w:val="24"/>
          <w:szCs w:val="24"/>
        </w:rPr>
        <w:t>whether</w:t>
      </w:r>
      <w:proofErr w:type="gramEnd"/>
      <w:r w:rsidRPr="008C1882">
        <w:rPr>
          <w:rFonts w:ascii="Book Antiqua" w:hAnsi="Book Antiqua"/>
          <w:sz w:val="24"/>
          <w:szCs w:val="24"/>
        </w:rPr>
        <w:t xml:space="preserve"> the regime allows EEA financial institutions access to the third country's markets (i.e. reciprocity); and</w:t>
      </w:r>
    </w:p>
    <w:p w14:paraId="12DE2826" w14:textId="77777777" w:rsidR="00CA585D" w:rsidRPr="008C1882" w:rsidRDefault="00CA585D" w:rsidP="00CA585D">
      <w:pPr>
        <w:pStyle w:val="ListParagraph"/>
        <w:numPr>
          <w:ilvl w:val="1"/>
          <w:numId w:val="13"/>
        </w:numPr>
        <w:spacing w:line="360" w:lineRule="auto"/>
        <w:ind w:left="1134" w:hanging="567"/>
        <w:contextualSpacing w:val="0"/>
        <w:jc w:val="both"/>
        <w:rPr>
          <w:rFonts w:ascii="Book Antiqua" w:hAnsi="Book Antiqua"/>
          <w:sz w:val="24"/>
          <w:szCs w:val="24"/>
        </w:rPr>
      </w:pPr>
      <w:proofErr w:type="gramStart"/>
      <w:r w:rsidRPr="008C1882">
        <w:rPr>
          <w:rFonts w:ascii="Book Antiqua" w:hAnsi="Book Antiqua"/>
          <w:sz w:val="24"/>
          <w:szCs w:val="24"/>
        </w:rPr>
        <w:t>whether</w:t>
      </w:r>
      <w:proofErr w:type="gramEnd"/>
      <w:r w:rsidRPr="008C1882">
        <w:rPr>
          <w:rFonts w:ascii="Book Antiqua" w:hAnsi="Book Antiqua"/>
          <w:sz w:val="24"/>
          <w:szCs w:val="24"/>
        </w:rPr>
        <w:t xml:space="preserve"> the regime contains obstacles relating to investor protection, market disruption, competition and the monitoring of systemic risk.</w:t>
      </w:r>
    </w:p>
    <w:p w14:paraId="6FB6EC9A"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To date, 33 third countries including the US, Canada, Japan, Bermuda, Mexico, Switzerland, Hong Kong and Singapore, have been granted at least </w:t>
      </w:r>
      <w:proofErr w:type="gramStart"/>
      <w:r w:rsidRPr="008C1882">
        <w:rPr>
          <w:rFonts w:ascii="Book Antiqua" w:hAnsi="Book Antiqua"/>
          <w:sz w:val="24"/>
          <w:szCs w:val="24"/>
        </w:rPr>
        <w:t>one equivalence</w:t>
      </w:r>
      <w:proofErr w:type="gramEnd"/>
      <w:r w:rsidRPr="008C1882">
        <w:rPr>
          <w:rFonts w:ascii="Book Antiqua" w:hAnsi="Book Antiqua"/>
          <w:sz w:val="24"/>
          <w:szCs w:val="24"/>
        </w:rPr>
        <w:t xml:space="preserve"> determination. However, full third country </w:t>
      </w:r>
      <w:proofErr w:type="spellStart"/>
      <w:r w:rsidRPr="008C1882">
        <w:rPr>
          <w:rFonts w:ascii="Book Antiqua" w:hAnsi="Book Antiqua"/>
          <w:sz w:val="24"/>
          <w:szCs w:val="24"/>
        </w:rPr>
        <w:t>passporting</w:t>
      </w:r>
      <w:proofErr w:type="spellEnd"/>
      <w:r w:rsidRPr="008C1882">
        <w:rPr>
          <w:rFonts w:ascii="Book Antiqua" w:hAnsi="Book Antiqua"/>
          <w:sz w:val="24"/>
          <w:szCs w:val="24"/>
        </w:rPr>
        <w:t>-type equivalence has thus far been limited to a narrow range of range of activities, including reinsurance or derivatives clearing.</w:t>
      </w:r>
    </w:p>
    <w:p w14:paraId="579FD5FE"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The COMBAR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Report, of which this forms Chapter 1, addresses specific issues concerned with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and equivalence in the context of particular areas of financial services in Chapters 2 to 9 below</w:t>
      </w:r>
      <w:r w:rsidRPr="008C1882">
        <w:rPr>
          <w:rStyle w:val="FootnoteReference"/>
          <w:rFonts w:ascii="Book Antiqua" w:hAnsi="Book Antiqua"/>
          <w:sz w:val="24"/>
          <w:szCs w:val="24"/>
        </w:rPr>
        <w:footnoteReference w:id="12"/>
      </w:r>
      <w:r w:rsidRPr="008C1882">
        <w:rPr>
          <w:rFonts w:ascii="Book Antiqua" w:hAnsi="Book Antiqua"/>
          <w:sz w:val="24"/>
          <w:szCs w:val="24"/>
        </w:rPr>
        <w:t xml:space="preserve">. This Chapter sets out more general thoughts on the impacts and challenges of forms of “soft” and “hard”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on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and equivalence regimes.  We also raise the possibility of a more tailored regime.</w:t>
      </w:r>
    </w:p>
    <w:p w14:paraId="29E14977" w14:textId="77777777" w:rsidR="00CA585D" w:rsidRPr="008C1882" w:rsidRDefault="00CA585D" w:rsidP="00CA585D">
      <w:pPr>
        <w:spacing w:line="360" w:lineRule="auto"/>
        <w:ind w:left="567" w:hanging="567"/>
        <w:jc w:val="both"/>
        <w:rPr>
          <w:rFonts w:ascii="Book Antiqua" w:hAnsi="Book Antiqua"/>
          <w:b/>
          <w:sz w:val="24"/>
          <w:szCs w:val="24"/>
        </w:rPr>
      </w:pPr>
    </w:p>
    <w:p w14:paraId="42CC2C0D" w14:textId="77777777" w:rsidR="00CA585D" w:rsidRPr="008C1882" w:rsidRDefault="00CA585D" w:rsidP="00CA585D">
      <w:pPr>
        <w:spacing w:line="360" w:lineRule="auto"/>
        <w:ind w:left="567" w:hanging="567"/>
        <w:jc w:val="both"/>
        <w:rPr>
          <w:rFonts w:ascii="Book Antiqua" w:hAnsi="Book Antiqua"/>
          <w:b/>
          <w:sz w:val="24"/>
          <w:szCs w:val="24"/>
        </w:rPr>
      </w:pPr>
      <w:r w:rsidRPr="008C1882">
        <w:rPr>
          <w:rFonts w:ascii="Book Antiqua" w:hAnsi="Book Antiqua"/>
          <w:b/>
          <w:sz w:val="24"/>
          <w:szCs w:val="24"/>
          <w:u w:val="single"/>
        </w:rPr>
        <w:t xml:space="preserve">C. Impact of a “soft” </w:t>
      </w:r>
      <w:proofErr w:type="spellStart"/>
      <w:r w:rsidRPr="008C1882">
        <w:rPr>
          <w:rFonts w:ascii="Book Antiqua" w:hAnsi="Book Antiqua"/>
          <w:b/>
          <w:sz w:val="24"/>
          <w:szCs w:val="24"/>
          <w:u w:val="single"/>
        </w:rPr>
        <w:t>Brexit</w:t>
      </w:r>
      <w:proofErr w:type="spellEnd"/>
    </w:p>
    <w:p w14:paraId="2DC2D60D"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There would, in general terms, be very limited practical impact on financial services firms if the UK left the EU but remained a member of the EEA and joined EFTA.</w:t>
      </w:r>
      <w:r w:rsidRPr="008C1882">
        <w:rPr>
          <w:rStyle w:val="FootnoteReference"/>
          <w:rFonts w:ascii="Book Antiqua" w:hAnsi="Book Antiqua"/>
          <w:sz w:val="24"/>
          <w:szCs w:val="24"/>
        </w:rPr>
        <w:footnoteReference w:id="13"/>
      </w:r>
      <w:r w:rsidRPr="008C1882">
        <w:rPr>
          <w:rFonts w:ascii="Book Antiqua" w:hAnsi="Book Antiqua"/>
          <w:sz w:val="24"/>
          <w:szCs w:val="24"/>
        </w:rPr>
        <w:t xml:space="preserve"> This is because the EEA Agreement is based on the principle that </w:t>
      </w:r>
      <w:proofErr w:type="gramStart"/>
      <w:r w:rsidRPr="008C1882">
        <w:rPr>
          <w:rFonts w:ascii="Book Antiqua" w:hAnsi="Book Antiqua"/>
          <w:sz w:val="24"/>
          <w:szCs w:val="24"/>
        </w:rPr>
        <w:t>all the EU legislation that is relevant to it should be implemented by EEA members</w:t>
      </w:r>
      <w:proofErr w:type="gramEnd"/>
      <w:r w:rsidRPr="008C1882">
        <w:rPr>
          <w:rFonts w:ascii="Book Antiqua" w:hAnsi="Book Antiqua"/>
          <w:sz w:val="24"/>
          <w:szCs w:val="24"/>
        </w:rPr>
        <w:t xml:space="preserve">. Therefore, the UK would continue to be bound by existing and </w:t>
      </w:r>
      <w:r w:rsidRPr="008C1882">
        <w:rPr>
          <w:rFonts w:ascii="Book Antiqua" w:hAnsi="Book Antiqua"/>
          <w:sz w:val="24"/>
          <w:szCs w:val="24"/>
        </w:rPr>
        <w:lastRenderedPageBreak/>
        <w:t>future EU legislation, although it would have a limited say in what future legislation came into force.</w:t>
      </w:r>
    </w:p>
    <w:p w14:paraId="269A76B5"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There would be some additional practical changes for the UK. As a member of EFTA, </w:t>
      </w:r>
      <w:proofErr w:type="gramStart"/>
      <w:r w:rsidRPr="008C1882">
        <w:rPr>
          <w:rFonts w:ascii="Book Antiqua" w:hAnsi="Book Antiqua"/>
          <w:sz w:val="24"/>
          <w:szCs w:val="24"/>
        </w:rPr>
        <w:t xml:space="preserve">judicial control over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extended to the UK would be exerted by the European Free Trade Area (EFTA) Court</w:t>
      </w:r>
      <w:proofErr w:type="gramEnd"/>
      <w:r w:rsidRPr="008C1882">
        <w:rPr>
          <w:rFonts w:ascii="Book Antiqua" w:hAnsi="Book Antiqua"/>
          <w:sz w:val="24"/>
          <w:szCs w:val="24"/>
        </w:rPr>
        <w:t>.  The UK would also continue to contribute to the EU’s operational costs. In 2015, the total contribution of the EFTA members (including Norway, Liechtenstein, Iceland and Switzerland) to the EU amounted to EUR 421 million, an increase by EUR 30 million compared to 2014. In any event, the UK’s personal contribution would be significantly less than it is at present.</w:t>
      </w:r>
    </w:p>
    <w:p w14:paraId="0EC8CA42" w14:textId="77777777" w:rsidR="00CA585D" w:rsidRPr="008C1882" w:rsidRDefault="00CA585D" w:rsidP="00CA585D">
      <w:pPr>
        <w:pStyle w:val="ListParagraph"/>
        <w:spacing w:line="360" w:lineRule="auto"/>
        <w:ind w:left="567" w:hanging="567"/>
        <w:contextualSpacing w:val="0"/>
        <w:jc w:val="both"/>
        <w:rPr>
          <w:rFonts w:ascii="Book Antiqua" w:hAnsi="Book Antiqua"/>
          <w:sz w:val="24"/>
          <w:szCs w:val="24"/>
        </w:rPr>
      </w:pPr>
    </w:p>
    <w:p w14:paraId="48040AE9" w14:textId="77777777" w:rsidR="00CA585D" w:rsidRPr="008C1882" w:rsidRDefault="00CA585D" w:rsidP="00CA585D">
      <w:pPr>
        <w:spacing w:line="360" w:lineRule="auto"/>
        <w:ind w:left="567" w:hanging="567"/>
        <w:jc w:val="both"/>
        <w:rPr>
          <w:rFonts w:ascii="Book Antiqua" w:hAnsi="Book Antiqua"/>
          <w:b/>
          <w:sz w:val="24"/>
          <w:szCs w:val="24"/>
        </w:rPr>
      </w:pPr>
      <w:r w:rsidRPr="008C1882">
        <w:rPr>
          <w:rFonts w:ascii="Book Antiqua" w:hAnsi="Book Antiqua"/>
          <w:b/>
          <w:sz w:val="24"/>
          <w:szCs w:val="24"/>
          <w:u w:val="single"/>
        </w:rPr>
        <w:t xml:space="preserve">D. Impact of a “hard” </w:t>
      </w:r>
      <w:proofErr w:type="spellStart"/>
      <w:r w:rsidRPr="008C1882">
        <w:rPr>
          <w:rFonts w:ascii="Book Antiqua" w:hAnsi="Book Antiqua"/>
          <w:b/>
          <w:sz w:val="24"/>
          <w:szCs w:val="24"/>
          <w:u w:val="single"/>
        </w:rPr>
        <w:t>Brexit</w:t>
      </w:r>
      <w:proofErr w:type="spellEnd"/>
    </w:p>
    <w:p w14:paraId="5E236AAE"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i/>
          <w:sz w:val="24"/>
          <w:szCs w:val="24"/>
        </w:rPr>
        <w:t>Prima facie</w:t>
      </w:r>
      <w:r w:rsidRPr="008C1882">
        <w:rPr>
          <w:rFonts w:ascii="Book Antiqua" w:hAnsi="Book Antiqua"/>
          <w:sz w:val="24"/>
          <w:szCs w:val="24"/>
        </w:rPr>
        <w:t xml:space="preserve">, a “hard”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for the UK means that it would become a “third country” for the purposes of EU legislation and financial services </w:t>
      </w:r>
      <w:proofErr w:type="spellStart"/>
      <w:r w:rsidRPr="008C1882">
        <w:rPr>
          <w:rFonts w:ascii="Book Antiqua" w:hAnsi="Book Antiqua"/>
          <w:sz w:val="24"/>
          <w:szCs w:val="24"/>
        </w:rPr>
        <w:t>passporting</w:t>
      </w:r>
      <w:proofErr w:type="spellEnd"/>
      <w:r w:rsidRPr="008C1882">
        <w:rPr>
          <w:rFonts w:ascii="Book Antiqua" w:hAnsi="Book Antiqua"/>
          <w:sz w:val="24"/>
          <w:szCs w:val="24"/>
        </w:rPr>
        <w:t>.  It would be able to request third country equivalence for certain financial activities, but in many areas, financial institutions established in the UK would need to file for authorisation by the competent supervisor in each EEA state where they planned to operate or, alternatively, relocate to another EEA state, from whence they could obtain authorisation and continue to benefit from a passport to market financial services throughout the EEA.</w:t>
      </w:r>
    </w:p>
    <w:p w14:paraId="0FC06D7B"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In these circumstances, the various options to preserve the benefit of market access to EEA financial services market should be thoroughly canvassed.  The FCA, in a letter to the Treasury Committee in August 2016, set out its view of what an optimal future framework for financial services would look like.  The FCA outlined five broad principles which in its view should form the basis of negotiations:</w:t>
      </w:r>
    </w:p>
    <w:p w14:paraId="6434BA1C" w14:textId="77777777" w:rsidR="00CA585D" w:rsidRPr="008C1882" w:rsidRDefault="00CA585D" w:rsidP="00CA585D">
      <w:pPr>
        <w:pStyle w:val="ListParagraph"/>
        <w:numPr>
          <w:ilvl w:val="1"/>
          <w:numId w:val="15"/>
        </w:numPr>
        <w:spacing w:line="360" w:lineRule="auto"/>
        <w:ind w:left="1134" w:hanging="567"/>
        <w:contextualSpacing w:val="0"/>
        <w:jc w:val="both"/>
        <w:rPr>
          <w:rFonts w:ascii="Book Antiqua" w:hAnsi="Book Antiqua"/>
          <w:sz w:val="24"/>
          <w:szCs w:val="24"/>
        </w:rPr>
      </w:pPr>
      <w:r w:rsidRPr="008C1882">
        <w:rPr>
          <w:rFonts w:ascii="Book Antiqua" w:hAnsi="Book Antiqua"/>
          <w:b/>
          <w:sz w:val="24"/>
          <w:szCs w:val="24"/>
        </w:rPr>
        <w:t>Cross-border market access</w:t>
      </w:r>
      <w:r w:rsidRPr="008C1882">
        <w:rPr>
          <w:rFonts w:ascii="Book Antiqua" w:hAnsi="Book Antiqua"/>
          <w:sz w:val="24"/>
          <w:szCs w:val="24"/>
        </w:rPr>
        <w:t>, in particular with regard to the wholesale and insurance business;</w:t>
      </w:r>
    </w:p>
    <w:p w14:paraId="55D4A760" w14:textId="77777777" w:rsidR="00CA585D" w:rsidRPr="008C1882" w:rsidRDefault="00CA585D" w:rsidP="00CA585D">
      <w:pPr>
        <w:pStyle w:val="ListParagraph"/>
        <w:numPr>
          <w:ilvl w:val="1"/>
          <w:numId w:val="15"/>
        </w:numPr>
        <w:spacing w:line="360" w:lineRule="auto"/>
        <w:ind w:left="1134" w:hanging="567"/>
        <w:contextualSpacing w:val="0"/>
        <w:jc w:val="both"/>
        <w:rPr>
          <w:rFonts w:ascii="Book Antiqua" w:hAnsi="Book Antiqua"/>
          <w:sz w:val="24"/>
          <w:szCs w:val="24"/>
        </w:rPr>
      </w:pPr>
      <w:r w:rsidRPr="008C1882">
        <w:rPr>
          <w:rFonts w:ascii="Book Antiqua" w:hAnsi="Book Antiqua"/>
          <w:b/>
          <w:sz w:val="24"/>
          <w:szCs w:val="24"/>
        </w:rPr>
        <w:lastRenderedPageBreak/>
        <w:t>Support for the principle of consistent global standards where markets are global</w:t>
      </w:r>
      <w:r w:rsidRPr="008C1882">
        <w:rPr>
          <w:rFonts w:ascii="Book Antiqua" w:hAnsi="Book Antiqua"/>
          <w:sz w:val="24"/>
          <w:szCs w:val="24"/>
        </w:rPr>
        <w:t xml:space="preserve"> in order to minimise regulatory arbitrage and fragmented markets;</w:t>
      </w:r>
    </w:p>
    <w:p w14:paraId="5A25FA98" w14:textId="77777777" w:rsidR="00CA585D" w:rsidRPr="008C1882" w:rsidRDefault="00CA585D" w:rsidP="00CA585D">
      <w:pPr>
        <w:pStyle w:val="ListParagraph"/>
        <w:numPr>
          <w:ilvl w:val="1"/>
          <w:numId w:val="15"/>
        </w:numPr>
        <w:spacing w:line="360" w:lineRule="auto"/>
        <w:ind w:left="1134" w:hanging="567"/>
        <w:contextualSpacing w:val="0"/>
        <w:jc w:val="both"/>
        <w:rPr>
          <w:rFonts w:ascii="Book Antiqua" w:hAnsi="Book Antiqua"/>
          <w:sz w:val="24"/>
          <w:szCs w:val="24"/>
        </w:rPr>
      </w:pPr>
      <w:r w:rsidRPr="008C1882">
        <w:rPr>
          <w:rFonts w:ascii="Book Antiqua" w:hAnsi="Book Antiqua"/>
          <w:b/>
          <w:sz w:val="24"/>
          <w:szCs w:val="24"/>
        </w:rPr>
        <w:t xml:space="preserve">Cooperation between regulatory authorities </w:t>
      </w:r>
      <w:r w:rsidRPr="008C1882">
        <w:rPr>
          <w:rFonts w:ascii="Book Antiqua" w:hAnsi="Book Antiqua"/>
          <w:sz w:val="24"/>
          <w:szCs w:val="24"/>
        </w:rPr>
        <w:t>to ensure that regulatory standards and outcomes are met and enforced;</w:t>
      </w:r>
    </w:p>
    <w:p w14:paraId="7E0B888F" w14:textId="77777777" w:rsidR="00CA585D" w:rsidRPr="008C1882" w:rsidRDefault="00CA585D" w:rsidP="00CA585D">
      <w:pPr>
        <w:pStyle w:val="ListParagraph"/>
        <w:numPr>
          <w:ilvl w:val="1"/>
          <w:numId w:val="15"/>
        </w:numPr>
        <w:spacing w:line="360" w:lineRule="auto"/>
        <w:ind w:left="1134" w:hanging="567"/>
        <w:contextualSpacing w:val="0"/>
        <w:jc w:val="both"/>
        <w:rPr>
          <w:rFonts w:ascii="Book Antiqua" w:hAnsi="Book Antiqua"/>
          <w:sz w:val="24"/>
          <w:szCs w:val="24"/>
        </w:rPr>
      </w:pPr>
      <w:r w:rsidRPr="008C1882">
        <w:rPr>
          <w:rFonts w:ascii="Book Antiqua" w:hAnsi="Book Antiqua"/>
          <w:b/>
          <w:sz w:val="24"/>
          <w:szCs w:val="24"/>
        </w:rPr>
        <w:t xml:space="preserve">Influence over standards </w:t>
      </w:r>
      <w:r w:rsidRPr="008C1882">
        <w:rPr>
          <w:rFonts w:ascii="Book Antiqua" w:hAnsi="Book Antiqua"/>
          <w:sz w:val="24"/>
          <w:szCs w:val="24"/>
        </w:rPr>
        <w:t>in order to ensure that consumers are protected and markets are competitive and well-functioning;</w:t>
      </w:r>
    </w:p>
    <w:p w14:paraId="1B82D302" w14:textId="77777777" w:rsidR="00CA585D" w:rsidRPr="008C1882" w:rsidRDefault="00CA585D" w:rsidP="00CA585D">
      <w:pPr>
        <w:pStyle w:val="ListParagraph"/>
        <w:numPr>
          <w:ilvl w:val="1"/>
          <w:numId w:val="15"/>
        </w:numPr>
        <w:spacing w:line="360" w:lineRule="auto"/>
        <w:ind w:left="1134" w:hanging="567"/>
        <w:contextualSpacing w:val="0"/>
        <w:jc w:val="both"/>
        <w:rPr>
          <w:rFonts w:ascii="Book Antiqua" w:hAnsi="Book Antiqua"/>
          <w:sz w:val="24"/>
          <w:szCs w:val="24"/>
        </w:rPr>
      </w:pPr>
      <w:r w:rsidRPr="008C1882">
        <w:rPr>
          <w:rFonts w:ascii="Book Antiqua" w:hAnsi="Book Antiqua"/>
          <w:b/>
          <w:sz w:val="24"/>
          <w:szCs w:val="24"/>
        </w:rPr>
        <w:t>Opportunity to recruit and maintain a skilled workforce,</w:t>
      </w:r>
      <w:r w:rsidRPr="008C1882">
        <w:rPr>
          <w:rFonts w:ascii="Book Antiqua" w:hAnsi="Book Antiqua"/>
          <w:sz w:val="24"/>
          <w:szCs w:val="24"/>
        </w:rPr>
        <w:t xml:space="preserve"> implying some form of free movement of people.</w:t>
      </w:r>
    </w:p>
    <w:p w14:paraId="04E5AD5A"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It also outlined some of the advantages that operating outside the EU might give, including:</w:t>
      </w:r>
    </w:p>
    <w:p w14:paraId="7A37FCF4" w14:textId="77777777" w:rsidR="00CA585D" w:rsidRPr="008C1882" w:rsidRDefault="00CA585D" w:rsidP="00CA585D">
      <w:pPr>
        <w:pStyle w:val="ListParagraph"/>
        <w:numPr>
          <w:ilvl w:val="1"/>
          <w:numId w:val="14"/>
        </w:numPr>
        <w:spacing w:line="360" w:lineRule="auto"/>
        <w:ind w:left="1134" w:hanging="567"/>
        <w:contextualSpacing w:val="0"/>
        <w:jc w:val="both"/>
        <w:rPr>
          <w:rFonts w:ascii="Book Antiqua" w:hAnsi="Book Antiqua"/>
          <w:sz w:val="24"/>
          <w:szCs w:val="24"/>
        </w:rPr>
      </w:pPr>
      <w:proofErr w:type="gramStart"/>
      <w:r w:rsidRPr="008C1882">
        <w:rPr>
          <w:rFonts w:ascii="Book Antiqua" w:hAnsi="Book Antiqua"/>
          <w:sz w:val="24"/>
          <w:szCs w:val="24"/>
        </w:rPr>
        <w:t>the</w:t>
      </w:r>
      <w:proofErr w:type="gramEnd"/>
      <w:r w:rsidRPr="008C1882">
        <w:rPr>
          <w:rFonts w:ascii="Book Antiqua" w:hAnsi="Book Antiqua"/>
          <w:sz w:val="24"/>
          <w:szCs w:val="24"/>
        </w:rPr>
        <w:t xml:space="preserve"> ability to deny access to inadequately vetted and capitalised EU firms such as in relation to the marketing of swaps;</w:t>
      </w:r>
    </w:p>
    <w:p w14:paraId="50F023BC" w14:textId="77777777" w:rsidR="00CA585D" w:rsidRPr="008C1882" w:rsidRDefault="00CA585D" w:rsidP="00CA585D">
      <w:pPr>
        <w:pStyle w:val="ListParagraph"/>
        <w:numPr>
          <w:ilvl w:val="1"/>
          <w:numId w:val="14"/>
        </w:numPr>
        <w:spacing w:line="360" w:lineRule="auto"/>
        <w:ind w:left="1134" w:hanging="567"/>
        <w:contextualSpacing w:val="0"/>
        <w:jc w:val="both"/>
        <w:rPr>
          <w:rFonts w:ascii="Book Antiqua" w:hAnsi="Book Antiqua"/>
          <w:sz w:val="24"/>
          <w:szCs w:val="24"/>
        </w:rPr>
      </w:pPr>
      <w:proofErr w:type="gramStart"/>
      <w:r w:rsidRPr="008C1882">
        <w:rPr>
          <w:rFonts w:ascii="Book Antiqua" w:hAnsi="Book Antiqua"/>
          <w:sz w:val="24"/>
          <w:szCs w:val="24"/>
        </w:rPr>
        <w:t>greater</w:t>
      </w:r>
      <w:proofErr w:type="gramEnd"/>
      <w:r w:rsidRPr="008C1882">
        <w:rPr>
          <w:rFonts w:ascii="Book Antiqua" w:hAnsi="Book Antiqua"/>
          <w:sz w:val="24"/>
          <w:szCs w:val="24"/>
        </w:rPr>
        <w:t xml:space="preserve"> flexibility to set rules that are specifically designed for the domestic market and consumers, in comparison to EU rules which are often the product of compromise between  widely varying practices across the EU.</w:t>
      </w:r>
    </w:p>
    <w:p w14:paraId="2797D052"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Various representatives from the financial services industry have also issued “wish lists” to the UK government, which include desirables such as:</w:t>
      </w:r>
    </w:p>
    <w:p w14:paraId="061F9848" w14:textId="77777777" w:rsidR="00CA585D" w:rsidRPr="008C1882" w:rsidRDefault="00CA585D" w:rsidP="00CA585D">
      <w:pPr>
        <w:pStyle w:val="ListParagraph"/>
        <w:numPr>
          <w:ilvl w:val="1"/>
          <w:numId w:val="16"/>
        </w:numPr>
        <w:spacing w:line="360" w:lineRule="auto"/>
        <w:ind w:left="1134" w:hanging="567"/>
        <w:contextualSpacing w:val="0"/>
        <w:jc w:val="both"/>
        <w:rPr>
          <w:rFonts w:ascii="Book Antiqua" w:hAnsi="Book Antiqua"/>
          <w:sz w:val="24"/>
          <w:szCs w:val="24"/>
        </w:rPr>
      </w:pPr>
      <w:proofErr w:type="gramStart"/>
      <w:r w:rsidRPr="008C1882">
        <w:rPr>
          <w:rFonts w:ascii="Book Antiqua" w:hAnsi="Book Antiqua"/>
          <w:sz w:val="24"/>
          <w:szCs w:val="24"/>
        </w:rPr>
        <w:t>securing</w:t>
      </w:r>
      <w:proofErr w:type="gramEnd"/>
      <w:r w:rsidRPr="008C1882">
        <w:rPr>
          <w:rFonts w:ascii="Book Antiqua" w:hAnsi="Book Antiqua"/>
          <w:sz w:val="24"/>
          <w:szCs w:val="24"/>
        </w:rPr>
        <w:t xml:space="preserve"> a regulatory environment that is appropriate for the UK market;</w:t>
      </w:r>
    </w:p>
    <w:p w14:paraId="0521C85E" w14:textId="77777777" w:rsidR="00CA585D" w:rsidRPr="008C1882" w:rsidRDefault="00CA585D" w:rsidP="00CA585D">
      <w:pPr>
        <w:pStyle w:val="ListParagraph"/>
        <w:numPr>
          <w:ilvl w:val="1"/>
          <w:numId w:val="16"/>
        </w:numPr>
        <w:spacing w:line="360" w:lineRule="auto"/>
        <w:ind w:left="1134" w:hanging="567"/>
        <w:contextualSpacing w:val="0"/>
        <w:jc w:val="both"/>
        <w:rPr>
          <w:rFonts w:ascii="Book Antiqua" w:hAnsi="Book Antiqua"/>
          <w:sz w:val="24"/>
          <w:szCs w:val="24"/>
        </w:rPr>
      </w:pPr>
      <w:proofErr w:type="gramStart"/>
      <w:r w:rsidRPr="008C1882">
        <w:rPr>
          <w:rFonts w:ascii="Book Antiqua" w:hAnsi="Book Antiqua"/>
          <w:sz w:val="24"/>
          <w:szCs w:val="24"/>
        </w:rPr>
        <w:t>retaining</w:t>
      </w:r>
      <w:proofErr w:type="gramEnd"/>
      <w:r w:rsidRPr="008C1882">
        <w:rPr>
          <w:rFonts w:ascii="Book Antiqua" w:hAnsi="Book Antiqua"/>
          <w:sz w:val="24"/>
          <w:szCs w:val="24"/>
        </w:rPr>
        <w:t xml:space="preserve"> the ability to passport out of, and into, the UK; </w:t>
      </w:r>
    </w:p>
    <w:p w14:paraId="7C107930" w14:textId="77777777" w:rsidR="00CA585D" w:rsidRPr="008C1882" w:rsidRDefault="00CA585D" w:rsidP="00CA585D">
      <w:pPr>
        <w:pStyle w:val="ListParagraph"/>
        <w:numPr>
          <w:ilvl w:val="1"/>
          <w:numId w:val="16"/>
        </w:numPr>
        <w:spacing w:line="360" w:lineRule="auto"/>
        <w:ind w:left="1134" w:hanging="567"/>
        <w:contextualSpacing w:val="0"/>
        <w:jc w:val="both"/>
        <w:rPr>
          <w:rFonts w:ascii="Book Antiqua" w:hAnsi="Book Antiqua"/>
          <w:sz w:val="24"/>
          <w:szCs w:val="24"/>
        </w:rPr>
      </w:pPr>
      <w:proofErr w:type="gramStart"/>
      <w:r w:rsidRPr="008C1882">
        <w:rPr>
          <w:rFonts w:ascii="Book Antiqua" w:hAnsi="Book Antiqua"/>
          <w:sz w:val="24"/>
          <w:szCs w:val="24"/>
        </w:rPr>
        <w:t>mutual</w:t>
      </w:r>
      <w:proofErr w:type="gramEnd"/>
      <w:r w:rsidRPr="008C1882">
        <w:rPr>
          <w:rFonts w:ascii="Book Antiqua" w:hAnsi="Book Antiqua"/>
          <w:sz w:val="24"/>
          <w:szCs w:val="24"/>
        </w:rPr>
        <w:t xml:space="preserve"> recognition of UK and EU data protection regimes as adequate for cross-border data transfer;</w:t>
      </w:r>
    </w:p>
    <w:p w14:paraId="1F062BBD" w14:textId="77777777" w:rsidR="00CA585D" w:rsidRPr="008C1882" w:rsidRDefault="00CA585D" w:rsidP="00CA585D">
      <w:pPr>
        <w:pStyle w:val="ListParagraph"/>
        <w:numPr>
          <w:ilvl w:val="1"/>
          <w:numId w:val="16"/>
        </w:numPr>
        <w:spacing w:line="360" w:lineRule="auto"/>
        <w:ind w:left="1134" w:hanging="567"/>
        <w:contextualSpacing w:val="0"/>
        <w:jc w:val="both"/>
        <w:rPr>
          <w:rFonts w:ascii="Book Antiqua" w:hAnsi="Book Antiqua"/>
          <w:sz w:val="24"/>
          <w:szCs w:val="24"/>
        </w:rPr>
      </w:pPr>
      <w:proofErr w:type="gramStart"/>
      <w:r w:rsidRPr="008C1882">
        <w:rPr>
          <w:rFonts w:ascii="Book Antiqua" w:hAnsi="Book Antiqua"/>
          <w:sz w:val="24"/>
          <w:szCs w:val="24"/>
        </w:rPr>
        <w:t>establishment</w:t>
      </w:r>
      <w:proofErr w:type="gramEnd"/>
      <w:r w:rsidRPr="008C1882">
        <w:rPr>
          <w:rFonts w:ascii="Book Antiqua" w:hAnsi="Book Antiqua"/>
          <w:sz w:val="24"/>
          <w:szCs w:val="24"/>
        </w:rPr>
        <w:t xml:space="preserve"> of regulatory co-operation mechanisms, especially for prudential supervision;</w:t>
      </w:r>
    </w:p>
    <w:p w14:paraId="4AC8AA88" w14:textId="77777777" w:rsidR="00CA585D" w:rsidRPr="008C1882" w:rsidRDefault="00CA585D" w:rsidP="00CA585D">
      <w:pPr>
        <w:pStyle w:val="ListParagraph"/>
        <w:numPr>
          <w:ilvl w:val="1"/>
          <w:numId w:val="16"/>
        </w:numPr>
        <w:spacing w:line="360" w:lineRule="auto"/>
        <w:ind w:left="1134" w:hanging="567"/>
        <w:contextualSpacing w:val="0"/>
        <w:jc w:val="both"/>
        <w:rPr>
          <w:rFonts w:ascii="Book Antiqua" w:hAnsi="Book Antiqua"/>
          <w:sz w:val="24"/>
          <w:szCs w:val="24"/>
        </w:rPr>
      </w:pPr>
      <w:proofErr w:type="gramStart"/>
      <w:r w:rsidRPr="008C1882">
        <w:rPr>
          <w:rFonts w:ascii="Book Antiqua" w:hAnsi="Book Antiqua"/>
          <w:sz w:val="24"/>
          <w:szCs w:val="24"/>
        </w:rPr>
        <w:lastRenderedPageBreak/>
        <w:t>strong</w:t>
      </w:r>
      <w:proofErr w:type="gramEnd"/>
      <w:r w:rsidRPr="008C1882">
        <w:rPr>
          <w:rFonts w:ascii="Book Antiqua" w:hAnsi="Book Antiqua"/>
          <w:sz w:val="24"/>
          <w:szCs w:val="24"/>
        </w:rPr>
        <w:t xml:space="preserve"> focus on regulatory dialogue and international agreements in overseas financial services markets, especially in India and China.</w:t>
      </w:r>
    </w:p>
    <w:p w14:paraId="0F42F814" w14:textId="77777777" w:rsidR="00CA585D" w:rsidRPr="008C1882" w:rsidRDefault="00CA585D" w:rsidP="00CA585D">
      <w:pPr>
        <w:pStyle w:val="ListParagraph"/>
        <w:spacing w:line="360" w:lineRule="auto"/>
        <w:ind w:left="567" w:hanging="567"/>
        <w:contextualSpacing w:val="0"/>
        <w:jc w:val="both"/>
        <w:rPr>
          <w:rFonts w:ascii="Book Antiqua" w:hAnsi="Book Antiqua"/>
          <w:sz w:val="24"/>
          <w:szCs w:val="24"/>
        </w:rPr>
      </w:pPr>
    </w:p>
    <w:p w14:paraId="1733D47C" w14:textId="77777777" w:rsidR="00CA585D" w:rsidRPr="008C1882" w:rsidRDefault="00CA585D" w:rsidP="00CA585D">
      <w:pPr>
        <w:spacing w:line="360" w:lineRule="auto"/>
        <w:ind w:left="567" w:hanging="567"/>
        <w:jc w:val="both"/>
        <w:rPr>
          <w:rFonts w:ascii="Book Antiqua" w:hAnsi="Book Antiqua"/>
          <w:i/>
          <w:sz w:val="24"/>
          <w:szCs w:val="24"/>
        </w:rPr>
      </w:pPr>
      <w:r w:rsidRPr="008C1882">
        <w:rPr>
          <w:rFonts w:ascii="Book Antiqua" w:hAnsi="Book Antiqua"/>
          <w:b/>
          <w:sz w:val="24"/>
          <w:szCs w:val="24"/>
          <w:u w:val="single"/>
        </w:rPr>
        <w:t>E. Expanded third country equivalence?</w:t>
      </w:r>
    </w:p>
    <w:p w14:paraId="3A6B5BE2"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Aside from the option of remaining </w:t>
      </w:r>
      <w:proofErr w:type="gramStart"/>
      <w:r w:rsidRPr="008C1882">
        <w:rPr>
          <w:rFonts w:ascii="Book Antiqua" w:hAnsi="Book Antiqua"/>
          <w:sz w:val="24"/>
          <w:szCs w:val="24"/>
        </w:rPr>
        <w:t>a</w:t>
      </w:r>
      <w:proofErr w:type="gramEnd"/>
      <w:r w:rsidRPr="008C1882">
        <w:rPr>
          <w:rFonts w:ascii="Book Antiqua" w:hAnsi="Book Antiqua"/>
          <w:sz w:val="24"/>
          <w:szCs w:val="24"/>
        </w:rPr>
        <w:t xml:space="preserve"> EEA state and joining EFTA, the most straightforward way of preserving existing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would result from the UK firms having the ability to obtain third country passports in sectors where they are available, and extending the third country passport regime to cover other sectors of financial services. Both elements would obviously require the EU’s agreement.  </w:t>
      </w:r>
    </w:p>
    <w:p w14:paraId="43B0C7D7"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As for the existing third party regimes, one would expect the process of obtaining third country equivalence in all the areas where it is currently </w:t>
      </w:r>
      <w:proofErr w:type="gramStart"/>
      <w:r w:rsidRPr="008C1882">
        <w:rPr>
          <w:rFonts w:ascii="Book Antiqua" w:hAnsi="Book Antiqua"/>
          <w:sz w:val="24"/>
          <w:szCs w:val="24"/>
        </w:rPr>
        <w:t>available  to</w:t>
      </w:r>
      <w:proofErr w:type="gramEnd"/>
      <w:r w:rsidRPr="008C1882">
        <w:rPr>
          <w:rFonts w:ascii="Book Antiqua" w:hAnsi="Book Antiqua"/>
          <w:sz w:val="24"/>
          <w:szCs w:val="24"/>
        </w:rPr>
        <w:t xml:space="preserve"> be in principle a straightforward process for the UK, given that it has already implemented EU financial services legislation as a member of the EU.  In practice, however, the process is likely to be lengthy and subject to political considerations. And although the Court of Justice of the EU (CJEU) has jurisdiction over acts of the Commission and EU Member States including the legality of equivalence decisions, it would not have competence to review any ‘inaction’ by the Commission where it is under no obligation to grant equivalence. </w:t>
      </w:r>
    </w:p>
    <w:p w14:paraId="6FEF5BAB"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 further relevant consideration is that, even where equivalence is granted, the obligation of continuing equivalence is </w:t>
      </w:r>
      <w:proofErr w:type="spellStart"/>
      <w:r w:rsidRPr="008C1882">
        <w:rPr>
          <w:rFonts w:ascii="Book Antiqua" w:hAnsi="Book Antiqua"/>
          <w:sz w:val="24"/>
          <w:szCs w:val="24"/>
        </w:rPr>
        <w:t>ongoing</w:t>
      </w:r>
      <w:proofErr w:type="spellEnd"/>
      <w:r w:rsidRPr="008C1882">
        <w:rPr>
          <w:rFonts w:ascii="Book Antiqua" w:hAnsi="Book Antiqua"/>
          <w:sz w:val="24"/>
          <w:szCs w:val="24"/>
        </w:rPr>
        <w:t xml:space="preserve">. Therefore, when future changes are made to EU regulation, the UK would either have to incorporate them or would be required to show that similar outcomes are nevertheless achieved by existing UK regulation. This would require that the UK would, over the long term, have to align its regulatory regime closely with that of the EU - without any formal involvement in the EU legislative process. </w:t>
      </w:r>
    </w:p>
    <w:p w14:paraId="4C9CA3C9"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Most important of all, unless the EU could be persuaded to extend third party passports to the rest of the financial services industry, the third country </w:t>
      </w:r>
      <w:r w:rsidRPr="008C1882">
        <w:rPr>
          <w:rFonts w:ascii="Book Antiqua" w:hAnsi="Book Antiqua"/>
          <w:sz w:val="24"/>
          <w:szCs w:val="24"/>
        </w:rPr>
        <w:lastRenderedPageBreak/>
        <w:t>passports would not be relevant to a large proportion of the UK's financial services sector.  Given that, historically, the UK has been at the forefront of extending third party regimes, traditionally conservative EU member states such as Germany and France may block efforts to extend the regime further.</w:t>
      </w:r>
    </w:p>
    <w:p w14:paraId="304428D1" w14:textId="77777777" w:rsidR="00CA585D" w:rsidRPr="008C1882" w:rsidRDefault="00CA585D" w:rsidP="00CA585D">
      <w:pPr>
        <w:spacing w:line="360" w:lineRule="auto"/>
        <w:ind w:left="567" w:hanging="567"/>
        <w:jc w:val="both"/>
        <w:rPr>
          <w:rFonts w:ascii="Book Antiqua" w:hAnsi="Book Antiqua"/>
          <w:sz w:val="24"/>
          <w:szCs w:val="24"/>
        </w:rPr>
      </w:pPr>
    </w:p>
    <w:p w14:paraId="41DEA8C0" w14:textId="77777777" w:rsidR="00CA585D" w:rsidRPr="008C1882" w:rsidRDefault="00CA585D" w:rsidP="00CA585D">
      <w:pPr>
        <w:spacing w:line="360" w:lineRule="auto"/>
        <w:ind w:left="567" w:hanging="567"/>
        <w:jc w:val="both"/>
        <w:rPr>
          <w:rFonts w:ascii="Book Antiqua" w:hAnsi="Book Antiqua"/>
          <w:i/>
          <w:sz w:val="24"/>
          <w:szCs w:val="24"/>
        </w:rPr>
      </w:pPr>
      <w:r w:rsidRPr="008C1882">
        <w:rPr>
          <w:rFonts w:ascii="Book Antiqua" w:hAnsi="Book Antiqua"/>
          <w:b/>
          <w:sz w:val="24"/>
          <w:szCs w:val="24"/>
          <w:u w:val="single"/>
        </w:rPr>
        <w:t>F. Bespoke bilateral agreements?</w:t>
      </w:r>
    </w:p>
    <w:p w14:paraId="15FCAAE4"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 possible alternative approach would be to seek to negotiate one or more bespoke trade agreements with the EU that would address reciprocal market access for UK and EEA firms across the financial services sector, subject of course to the appetite of EU Member States to countenance such side agreements in the absence of a collective solution to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at an EU level. This approach would in theory give more flexibility to the parties to negotiate preferential terms for the UK, as opposed to the EU having to extend equivalence for all third countries.  However, if some form of continued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w:t>
      </w:r>
      <w:proofErr w:type="gramStart"/>
      <w:r w:rsidRPr="008C1882">
        <w:rPr>
          <w:rFonts w:ascii="Book Antiqua" w:hAnsi="Book Antiqua"/>
          <w:sz w:val="24"/>
          <w:szCs w:val="24"/>
        </w:rPr>
        <w:t>is</w:t>
      </w:r>
      <w:proofErr w:type="gramEnd"/>
      <w:r w:rsidRPr="008C1882">
        <w:rPr>
          <w:rFonts w:ascii="Book Antiqua" w:hAnsi="Book Antiqua"/>
          <w:sz w:val="24"/>
          <w:szCs w:val="24"/>
        </w:rPr>
        <w:t xml:space="preserve"> envisaged, the UK would undoubtedly be obliged to maintain an equivalent regulatory framework to that of the EU. Further, it is likely that negotiating the detail of such trade agreements would be lengthy, complex and the final outcome uncertain given that they are without current precedent and the outcome of each negotiation would depend to some extent on individual factors applying specifically to each of the particular areas of market activity to which the proposed agreement would apply. </w:t>
      </w:r>
    </w:p>
    <w:p w14:paraId="193497D7"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In practical terms, such an arrangement could take various forms, building on a relationship similar to that of the EEA, one similar to the Swiss relationship with the EU, or the World Trade Organisation (WTO) framework for international trade (considered under ‘Extra-EU frameworks’ below). </w:t>
      </w:r>
    </w:p>
    <w:p w14:paraId="11B1D0A0"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cs="serif"/>
          <w:sz w:val="24"/>
          <w:szCs w:val="24"/>
        </w:rPr>
      </w:pPr>
      <w:r w:rsidRPr="008C1882">
        <w:rPr>
          <w:rFonts w:ascii="Book Antiqua" w:hAnsi="Book Antiqua"/>
          <w:sz w:val="24"/>
          <w:szCs w:val="24"/>
        </w:rPr>
        <w:t xml:space="preserve">An EEA-style agreement would be likely to represent the closest level of integration and would guarantee continued access to the single market. It might also be likely to involve the least uncertainty and the lowest transitional costs, given that it would be based upon the precedent of an existing relationship. It might also be thought to be, potentially, the quickest option to </w:t>
      </w:r>
      <w:r w:rsidRPr="008C1882">
        <w:rPr>
          <w:rFonts w:ascii="Book Antiqua" w:hAnsi="Book Antiqua"/>
          <w:sz w:val="24"/>
          <w:szCs w:val="24"/>
        </w:rPr>
        <w:lastRenderedPageBreak/>
        <w:t>negotiate compared with a more novel form of bilateral agreement, although this would be highly dependant on whether, as a matter of principle, the EU would have the appetite or regard itself as having sufficient incentive to approach the negotiations on this kind of basis at all and, even then, the fact that the aim would be and to seek to address all or most areas of market activity within the same agreement which might of itself give rise to additional negotiating complexity. Whilst this remains speculation ahead of any negotiations, if adopted, such an approach might lead to a watered down version of EEA/EFTA membership.  As such, it would be likely to require EU budget contributions and some level of free movement of people.  In theory, a bespoke agreement might enable a greater level of involvement by the UK in the making of EU financial regulation than that currently available to EFTA countries.</w:t>
      </w:r>
    </w:p>
    <w:p w14:paraId="6D9D4278"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 Swiss-style agreement would consist of single market access negotiated separately for individual sectors on a bilateral basis. It might be thought likely that this would take the longest time to negotiate, because of the number of different individual agreements required, and could be more disruptive in the short-term.  </w:t>
      </w:r>
    </w:p>
    <w:p w14:paraId="450BE636"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A possible third way could be third country equivalence where it is available, topped up by negotiated bilateral agreements where it is not available to preserve existing passports. The bespoke agreements with Switzerland in specific sectors could serve as precedents.</w:t>
      </w:r>
    </w:p>
    <w:p w14:paraId="748B7FC1" w14:textId="77777777" w:rsidR="00CA585D" w:rsidRPr="008C1882" w:rsidRDefault="00CA585D" w:rsidP="00CA585D">
      <w:pPr>
        <w:pStyle w:val="ListParagraph"/>
        <w:spacing w:line="360" w:lineRule="auto"/>
        <w:ind w:left="567" w:hanging="567"/>
        <w:contextualSpacing w:val="0"/>
        <w:jc w:val="both"/>
        <w:rPr>
          <w:rFonts w:ascii="Book Antiqua" w:hAnsi="Book Antiqua"/>
          <w:sz w:val="24"/>
          <w:szCs w:val="24"/>
        </w:rPr>
      </w:pPr>
    </w:p>
    <w:p w14:paraId="26B0FCA9" w14:textId="77777777" w:rsidR="00CA585D" w:rsidRPr="008C1882" w:rsidRDefault="00CA585D" w:rsidP="00CA585D">
      <w:pPr>
        <w:widowControl w:val="0"/>
        <w:autoSpaceDE w:val="0"/>
        <w:autoSpaceDN w:val="0"/>
        <w:adjustRightInd w:val="0"/>
        <w:spacing w:line="360" w:lineRule="auto"/>
        <w:ind w:left="567" w:hanging="567"/>
        <w:jc w:val="both"/>
        <w:rPr>
          <w:rFonts w:ascii="Book Antiqua" w:hAnsi="Book Antiqua"/>
          <w:i/>
          <w:sz w:val="24"/>
          <w:szCs w:val="24"/>
        </w:rPr>
      </w:pPr>
      <w:r w:rsidRPr="008C1882">
        <w:rPr>
          <w:rFonts w:ascii="Book Antiqua" w:hAnsi="Book Antiqua" w:cs="serif"/>
          <w:b/>
          <w:sz w:val="24"/>
          <w:szCs w:val="24"/>
          <w:u w:val="single"/>
        </w:rPr>
        <w:t xml:space="preserve"> G. </w:t>
      </w:r>
      <w:r w:rsidRPr="008C1882">
        <w:rPr>
          <w:rFonts w:ascii="Book Antiqua" w:hAnsi="Book Antiqua"/>
          <w:b/>
          <w:sz w:val="24"/>
          <w:szCs w:val="24"/>
          <w:u w:val="single"/>
        </w:rPr>
        <w:t>Extra-EU frameworks?</w:t>
      </w:r>
    </w:p>
    <w:p w14:paraId="6ED9A872"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In general, cross-border trade in financial services is covered by bilateral and multilateral trade agreements, which deal principally with issues of market access and non-discrimination.  Both the UK and the EU are members of the WTO. Therefore, if the UK and the EU did not reach some form of bilateral arrangement, the UK’s access to the EEA market would be governed by WTO protocols.</w:t>
      </w:r>
    </w:p>
    <w:p w14:paraId="2F202170"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lastRenderedPageBreak/>
        <w:t xml:space="preserve">The multilateral General Agreement on Trade in Services (“GATS”) under the WTO framework provides for trade on the basis of two main principles, namely “most-favoured nation” (“MFN”) treatment and “national treatment”. MFN treatment requires that any WTO members granting favourable market access to another member must grant the same treatment to all other WTO members. National treatment requires that once a service enters a market, members must treat that service no less favourably than domestic equivalents. Crucially, the EU, as a club of </w:t>
      </w:r>
      <w:proofErr w:type="gramStart"/>
      <w:r w:rsidRPr="008C1882">
        <w:rPr>
          <w:rFonts w:ascii="Book Antiqua" w:hAnsi="Book Antiqua"/>
          <w:sz w:val="24"/>
          <w:szCs w:val="24"/>
        </w:rPr>
        <w:t>countries which</w:t>
      </w:r>
      <w:proofErr w:type="gramEnd"/>
      <w:r w:rsidRPr="008C1882">
        <w:rPr>
          <w:rFonts w:ascii="Book Antiqua" w:hAnsi="Book Antiqua"/>
          <w:sz w:val="24"/>
          <w:szCs w:val="24"/>
        </w:rPr>
        <w:t xml:space="preserve"> offer each other preferential access, falls within an exception for agreements liberalising trade in services under Article V of GATS.</w:t>
      </w:r>
    </w:p>
    <w:p w14:paraId="7EAFA19F"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Under the GATS, the degree of market access in financial services is supplemented by schedules of </w:t>
      </w:r>
      <w:proofErr w:type="gramStart"/>
      <w:r w:rsidRPr="008C1882">
        <w:rPr>
          <w:rFonts w:ascii="Book Antiqua" w:hAnsi="Book Antiqua"/>
          <w:sz w:val="24"/>
          <w:szCs w:val="24"/>
        </w:rPr>
        <w:t>commitments which</w:t>
      </w:r>
      <w:proofErr w:type="gramEnd"/>
      <w:r w:rsidRPr="008C1882">
        <w:rPr>
          <w:rFonts w:ascii="Book Antiqua" w:hAnsi="Book Antiqua"/>
          <w:sz w:val="24"/>
          <w:szCs w:val="24"/>
        </w:rPr>
        <w:t xml:space="preserve"> set out what treatment each WTO member offers to others in terms of access or limitation. The GATS also allows members to take prudential measure where required, allowing national regulators to discriminate against foreign suppliers if it is deemed necessary for prudential security.  National requirements to obtain authorisation before market access are widespread in the area of financial services and they are not prohibited by GATS. Reliance on the WTO framework would require some additional processes and </w:t>
      </w:r>
      <w:proofErr w:type="gramStart"/>
      <w:r w:rsidRPr="008C1882">
        <w:rPr>
          <w:rFonts w:ascii="Book Antiqua" w:hAnsi="Book Antiqua"/>
          <w:sz w:val="24"/>
          <w:szCs w:val="24"/>
        </w:rPr>
        <w:t>procedures</w:t>
      </w:r>
      <w:proofErr w:type="gramEnd"/>
      <w:r w:rsidRPr="008C1882">
        <w:rPr>
          <w:rFonts w:ascii="Book Antiqua" w:hAnsi="Book Antiqua"/>
          <w:sz w:val="24"/>
          <w:szCs w:val="24"/>
        </w:rPr>
        <w:t xml:space="preserve"> as the existing GATS Financial Services Schedule does not cover the UK as a country outside the EU.</w:t>
      </w:r>
    </w:p>
    <w:p w14:paraId="32D84C18"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Apart from the basic GATS protocols, there is also an initiative among a subset of WTO countries to increase liberalisation in the services sector, including financial services, which suggests the extra-EEA framework may not be as bleak an option as it is frequently portrayed. The main aim of the draft Trade in Services Agreement (</w:t>
      </w:r>
      <w:proofErr w:type="spellStart"/>
      <w:r w:rsidRPr="008C1882">
        <w:rPr>
          <w:rFonts w:ascii="Book Antiqua" w:hAnsi="Book Antiqua"/>
          <w:sz w:val="24"/>
          <w:szCs w:val="24"/>
        </w:rPr>
        <w:t>TiSA</w:t>
      </w:r>
      <w:proofErr w:type="spellEnd"/>
      <w:r w:rsidRPr="008C1882">
        <w:rPr>
          <w:rFonts w:ascii="Book Antiqua" w:hAnsi="Book Antiqua"/>
          <w:sz w:val="24"/>
          <w:szCs w:val="24"/>
        </w:rPr>
        <w:t xml:space="preserve">) is to boost liberalisation of the global services sector, beyond the current GATS provisions. Following the failure of the multilateral WTO Doha Round negotiations, an ad hoc coalition of 23 members (including the EU representing 28 countries), the so-called “Really Good Friends of Services”, decided to negotiate a separate agreement to deepen the extent of services commitments between them.  Together the participating countries account for 70% of world trade in services. </w:t>
      </w:r>
    </w:p>
    <w:p w14:paraId="2EEC0DF6"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proofErr w:type="spellStart"/>
      <w:r w:rsidRPr="008C1882">
        <w:rPr>
          <w:rFonts w:ascii="Book Antiqua" w:hAnsi="Book Antiqua"/>
          <w:sz w:val="24"/>
          <w:szCs w:val="24"/>
        </w:rPr>
        <w:lastRenderedPageBreak/>
        <w:t>TiSA</w:t>
      </w:r>
      <w:proofErr w:type="spellEnd"/>
      <w:r w:rsidRPr="008C1882">
        <w:rPr>
          <w:rFonts w:ascii="Book Antiqua" w:hAnsi="Book Antiqua"/>
          <w:sz w:val="24"/>
          <w:szCs w:val="24"/>
        </w:rPr>
        <w:t xml:space="preserve"> is intended to be a forerunner of a multilateral agreement on services that will eventually be folded into the WTO once a critical mass of countries that support it is reached. In the area of market access for financial services, the draft annex as of 27 June 2016</w:t>
      </w:r>
      <w:r w:rsidRPr="008C1882">
        <w:rPr>
          <w:rStyle w:val="FootnoteReference"/>
          <w:rFonts w:ascii="Book Antiqua" w:hAnsi="Book Antiqua"/>
          <w:sz w:val="24"/>
          <w:szCs w:val="24"/>
        </w:rPr>
        <w:footnoteReference w:id="14"/>
      </w:r>
      <w:r w:rsidRPr="008C1882">
        <w:rPr>
          <w:rFonts w:ascii="Book Antiqua" w:hAnsi="Book Antiqua"/>
          <w:sz w:val="24"/>
          <w:szCs w:val="24"/>
        </w:rPr>
        <w:t xml:space="preserve"> provides for some direct cross-border and branch-based market access commitments. In particular, the EU and Norway have proposed provisions that would require any measures taken by contracting parties in relation to authorisation requirements (including fees, qualification requirements and procedures affecting trade in financial services) to be objective, transparent and independent. Procedures would need to be adequate to demonstrate to applicants whether they meet the requirements. In addition, the draft agreement provides for an independent panel for disputes on prudential issues and other financial matters with the necessary expertise relevant to the specific financial service under dispute.</w:t>
      </w:r>
    </w:p>
    <w:p w14:paraId="30E056A8"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Therefore, if no agreement were reached with the EU/EEA, the UK would still potentially be able to advance other global initiatives to improve reciprocal market access for the UK and third countries.  On the other hand, if bilateral arrangements with the EU are envisaged, the </w:t>
      </w:r>
      <w:proofErr w:type="spellStart"/>
      <w:r w:rsidRPr="008C1882">
        <w:rPr>
          <w:rFonts w:ascii="Book Antiqua" w:hAnsi="Book Antiqua"/>
          <w:sz w:val="24"/>
          <w:szCs w:val="24"/>
        </w:rPr>
        <w:t>TiSA</w:t>
      </w:r>
      <w:proofErr w:type="spellEnd"/>
      <w:r w:rsidRPr="008C1882">
        <w:rPr>
          <w:rFonts w:ascii="Book Antiqua" w:hAnsi="Book Antiqua"/>
          <w:sz w:val="24"/>
          <w:szCs w:val="24"/>
        </w:rPr>
        <w:t xml:space="preserve"> provisions including the dispute settlement mechanism may also serve as a model in any bilateral arrangement with the EU.</w:t>
      </w:r>
    </w:p>
    <w:p w14:paraId="29693F07" w14:textId="77777777" w:rsidR="00CA585D" w:rsidRPr="008C1882" w:rsidRDefault="00CA585D" w:rsidP="00CA585D">
      <w:pPr>
        <w:spacing w:line="360" w:lineRule="auto"/>
        <w:ind w:left="567" w:hanging="567"/>
        <w:jc w:val="both"/>
        <w:rPr>
          <w:rFonts w:ascii="Book Antiqua" w:hAnsi="Book Antiqua"/>
          <w:b/>
          <w:sz w:val="24"/>
          <w:szCs w:val="24"/>
        </w:rPr>
      </w:pPr>
    </w:p>
    <w:p w14:paraId="45A3BAC5" w14:textId="77777777" w:rsidR="00CA585D" w:rsidRPr="008C1882" w:rsidRDefault="00CA585D" w:rsidP="00CA585D">
      <w:pPr>
        <w:spacing w:line="360" w:lineRule="auto"/>
        <w:ind w:left="567" w:hanging="567"/>
        <w:jc w:val="both"/>
        <w:rPr>
          <w:rFonts w:ascii="Book Antiqua" w:hAnsi="Book Antiqua"/>
          <w:sz w:val="24"/>
          <w:szCs w:val="24"/>
        </w:rPr>
      </w:pPr>
      <w:r w:rsidRPr="008C1882">
        <w:rPr>
          <w:rFonts w:ascii="Book Antiqua" w:hAnsi="Book Antiqua"/>
          <w:b/>
          <w:sz w:val="24"/>
          <w:szCs w:val="24"/>
          <w:u w:val="single"/>
        </w:rPr>
        <w:t xml:space="preserve">H. Recommendations in the event of a hard </w:t>
      </w:r>
      <w:proofErr w:type="spellStart"/>
      <w:r w:rsidRPr="008C1882">
        <w:rPr>
          <w:rFonts w:ascii="Book Antiqua" w:hAnsi="Book Antiqua"/>
          <w:b/>
          <w:sz w:val="24"/>
          <w:szCs w:val="24"/>
          <w:u w:val="single"/>
        </w:rPr>
        <w:t>Brexit</w:t>
      </w:r>
      <w:proofErr w:type="spellEnd"/>
    </w:p>
    <w:p w14:paraId="3540FF7E" w14:textId="77777777" w:rsidR="00CA585D" w:rsidRPr="008C1882" w:rsidRDefault="00CA585D" w:rsidP="00CA585D">
      <w:pPr>
        <w:pStyle w:val="ListParagraph"/>
        <w:numPr>
          <w:ilvl w:val="0"/>
          <w:numId w:val="13"/>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Regardless of which future framework is chosen, it is advisable for the UK government to consider the following so as to assist in maximising the chances of a smooth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process and an optimal outcome for UK financial services industry:</w:t>
      </w:r>
    </w:p>
    <w:p w14:paraId="19965C24" w14:textId="77777777" w:rsidR="00CA585D" w:rsidRPr="008C1882" w:rsidRDefault="00CA585D" w:rsidP="00CA585D">
      <w:pPr>
        <w:pStyle w:val="ListParagraph"/>
        <w:numPr>
          <w:ilvl w:val="1"/>
          <w:numId w:val="13"/>
        </w:numPr>
        <w:spacing w:line="360" w:lineRule="auto"/>
        <w:ind w:left="1134" w:hanging="567"/>
        <w:contextualSpacing w:val="0"/>
        <w:jc w:val="both"/>
        <w:rPr>
          <w:rFonts w:ascii="Book Antiqua" w:hAnsi="Book Antiqua"/>
          <w:sz w:val="24"/>
          <w:szCs w:val="24"/>
        </w:rPr>
      </w:pPr>
      <w:r w:rsidRPr="008C1882">
        <w:rPr>
          <w:rFonts w:ascii="Book Antiqua" w:hAnsi="Book Antiqua"/>
          <w:sz w:val="24"/>
          <w:szCs w:val="24"/>
        </w:rPr>
        <w:t xml:space="preserve">Given that negotiations are likely to take months or years, providing certainty early on in the process that a sufficient transitional period of continued reciprocal market access will apply such that UK businesses </w:t>
      </w:r>
      <w:r w:rsidRPr="008C1882">
        <w:rPr>
          <w:rFonts w:ascii="Book Antiqua" w:hAnsi="Book Antiqua"/>
          <w:sz w:val="24"/>
          <w:szCs w:val="24"/>
        </w:rPr>
        <w:lastRenderedPageBreak/>
        <w:t>will have time to consider their options once the details of any deal reached between the UK and the EU and/or or any alternative approach chosen by the UK are known;</w:t>
      </w:r>
    </w:p>
    <w:p w14:paraId="3859A2FA" w14:textId="77777777" w:rsidR="00CA585D" w:rsidRPr="008C1882" w:rsidRDefault="00CA585D" w:rsidP="00CA585D">
      <w:pPr>
        <w:pStyle w:val="ListParagraph"/>
        <w:numPr>
          <w:ilvl w:val="1"/>
          <w:numId w:val="13"/>
        </w:numPr>
        <w:spacing w:line="360" w:lineRule="auto"/>
        <w:ind w:left="1134" w:hanging="567"/>
        <w:contextualSpacing w:val="0"/>
        <w:jc w:val="both"/>
        <w:rPr>
          <w:rFonts w:ascii="Book Antiqua" w:hAnsi="Book Antiqua"/>
          <w:sz w:val="24"/>
          <w:szCs w:val="24"/>
        </w:rPr>
      </w:pPr>
      <w:r w:rsidRPr="008C1882">
        <w:rPr>
          <w:rFonts w:ascii="Book Antiqua" w:hAnsi="Book Antiqua"/>
          <w:sz w:val="24"/>
          <w:szCs w:val="24"/>
        </w:rPr>
        <w:t>The preservation of the banking services passport (the CRD IV passport) or the expansion of the third country equivalence regime to the banking sector to maintain London’s status as a centre of international banking (see further, sub-paragraphs d and e below);</w:t>
      </w:r>
    </w:p>
    <w:p w14:paraId="61CE18C0" w14:textId="77777777" w:rsidR="00CA585D" w:rsidRPr="008C1882" w:rsidRDefault="00CA585D" w:rsidP="00CA585D">
      <w:pPr>
        <w:pStyle w:val="ListParagraph"/>
        <w:numPr>
          <w:ilvl w:val="1"/>
          <w:numId w:val="13"/>
        </w:numPr>
        <w:spacing w:line="360" w:lineRule="auto"/>
        <w:ind w:left="1134" w:hanging="567"/>
        <w:contextualSpacing w:val="0"/>
        <w:jc w:val="both"/>
        <w:rPr>
          <w:rFonts w:ascii="Book Antiqua" w:hAnsi="Book Antiqua"/>
          <w:sz w:val="24"/>
          <w:szCs w:val="24"/>
        </w:rPr>
      </w:pPr>
      <w:r w:rsidRPr="008C1882">
        <w:rPr>
          <w:rFonts w:ascii="Book Antiqua" w:hAnsi="Book Antiqua"/>
          <w:sz w:val="24"/>
          <w:szCs w:val="24"/>
        </w:rPr>
        <w:t xml:space="preserve">An agreement with the EU that any proposed equivalence or mutual recognition process will take place prior to the end of negotiations such that the framework would take effect immediately upon withdrawal from the EU, i.e. day one of </w:t>
      </w:r>
      <w:proofErr w:type="spellStart"/>
      <w:r w:rsidRPr="008C1882">
        <w:rPr>
          <w:rFonts w:ascii="Book Antiqua" w:hAnsi="Book Antiqua"/>
          <w:sz w:val="24"/>
          <w:szCs w:val="24"/>
        </w:rPr>
        <w:t>Brexit</w:t>
      </w:r>
      <w:proofErr w:type="spellEnd"/>
      <w:r w:rsidRPr="008C1882">
        <w:rPr>
          <w:rFonts w:ascii="Book Antiqua" w:hAnsi="Book Antiqua"/>
          <w:sz w:val="24"/>
          <w:szCs w:val="24"/>
        </w:rPr>
        <w:t>.</w:t>
      </w:r>
    </w:p>
    <w:p w14:paraId="3A9865FA" w14:textId="77777777" w:rsidR="00CA585D" w:rsidRPr="008C1882" w:rsidRDefault="00CA585D" w:rsidP="00CA585D">
      <w:pPr>
        <w:pStyle w:val="ListParagraph"/>
        <w:numPr>
          <w:ilvl w:val="1"/>
          <w:numId w:val="13"/>
        </w:numPr>
        <w:spacing w:line="360" w:lineRule="auto"/>
        <w:ind w:left="1134" w:hanging="567"/>
        <w:contextualSpacing w:val="0"/>
        <w:jc w:val="both"/>
        <w:rPr>
          <w:rFonts w:ascii="Book Antiqua" w:hAnsi="Book Antiqua"/>
          <w:sz w:val="24"/>
          <w:szCs w:val="24"/>
        </w:rPr>
      </w:pPr>
      <w:r w:rsidRPr="008C1882">
        <w:rPr>
          <w:rFonts w:ascii="Book Antiqua" w:hAnsi="Book Antiqua"/>
          <w:sz w:val="24"/>
          <w:szCs w:val="24"/>
        </w:rPr>
        <w:t xml:space="preserve">Alternatively, a temporary equivalence agreement – along the lines of the provisional application of free trade agreements between the EU and third countries—which would enter into force from day one of </w:t>
      </w:r>
      <w:proofErr w:type="spellStart"/>
      <w:r w:rsidRPr="008C1882">
        <w:rPr>
          <w:rFonts w:ascii="Book Antiqua" w:hAnsi="Book Antiqua"/>
          <w:sz w:val="24"/>
          <w:szCs w:val="24"/>
        </w:rPr>
        <w:t>Brexit</w:t>
      </w:r>
      <w:proofErr w:type="spellEnd"/>
      <w:r w:rsidRPr="008C1882">
        <w:rPr>
          <w:rFonts w:ascii="Book Antiqua" w:hAnsi="Book Antiqua"/>
          <w:sz w:val="24"/>
          <w:szCs w:val="24"/>
        </w:rPr>
        <w:t>, pending confirmation of equivalence from the EU;</w:t>
      </w:r>
    </w:p>
    <w:p w14:paraId="038CF4B3" w14:textId="77777777" w:rsidR="00CA585D" w:rsidRPr="008C1882" w:rsidRDefault="00CA585D" w:rsidP="00CA585D">
      <w:pPr>
        <w:pStyle w:val="ListParagraph"/>
        <w:numPr>
          <w:ilvl w:val="1"/>
          <w:numId w:val="13"/>
        </w:numPr>
        <w:spacing w:line="360" w:lineRule="auto"/>
        <w:ind w:left="1134" w:hanging="567"/>
        <w:contextualSpacing w:val="0"/>
        <w:jc w:val="both"/>
        <w:rPr>
          <w:rFonts w:ascii="Book Antiqua" w:hAnsi="Book Antiqua"/>
          <w:sz w:val="24"/>
          <w:szCs w:val="24"/>
        </w:rPr>
      </w:pPr>
      <w:r w:rsidRPr="008C1882">
        <w:rPr>
          <w:rFonts w:ascii="Book Antiqua" w:hAnsi="Book Antiqua"/>
          <w:sz w:val="24"/>
          <w:szCs w:val="24"/>
        </w:rPr>
        <w:t>The maintenance by the UK of existing reciprocal market access arrangements for EU and third countries, (currently granted through EU equivalence). This would lead to the creation of a UK centric equivalence system;</w:t>
      </w:r>
    </w:p>
    <w:p w14:paraId="51943870" w14:textId="77777777" w:rsidR="00CA585D" w:rsidRPr="008C1882" w:rsidRDefault="00CA585D" w:rsidP="00CA585D">
      <w:pPr>
        <w:pStyle w:val="ListParagraph"/>
        <w:numPr>
          <w:ilvl w:val="1"/>
          <w:numId w:val="13"/>
        </w:numPr>
        <w:spacing w:line="360" w:lineRule="auto"/>
        <w:ind w:left="1134" w:hanging="567"/>
        <w:contextualSpacing w:val="0"/>
        <w:jc w:val="both"/>
        <w:rPr>
          <w:rFonts w:ascii="Book Antiqua" w:hAnsi="Book Antiqua"/>
          <w:sz w:val="24"/>
          <w:szCs w:val="24"/>
        </w:rPr>
      </w:pPr>
      <w:r w:rsidRPr="008C1882">
        <w:rPr>
          <w:rFonts w:ascii="Book Antiqua" w:hAnsi="Book Antiqua"/>
          <w:sz w:val="24"/>
          <w:szCs w:val="24"/>
        </w:rPr>
        <w:t>The clarification of the UK’s position on financial services access and conditions within the WTO and GATS framework.</w:t>
      </w:r>
    </w:p>
    <w:p w14:paraId="3E46107B" w14:textId="77777777" w:rsidR="00CA585D" w:rsidRPr="008C1882" w:rsidRDefault="00CA585D" w:rsidP="00CA585D">
      <w:pPr>
        <w:pStyle w:val="ListParagraph"/>
        <w:spacing w:line="360" w:lineRule="auto"/>
        <w:ind w:left="567" w:hanging="567"/>
        <w:contextualSpacing w:val="0"/>
        <w:jc w:val="both"/>
        <w:rPr>
          <w:rFonts w:ascii="Book Antiqua" w:hAnsi="Book Antiqua"/>
          <w:sz w:val="24"/>
          <w:szCs w:val="24"/>
        </w:rPr>
      </w:pPr>
    </w:p>
    <w:p w14:paraId="20F318D3" w14:textId="5300C39E" w:rsidR="00CA585D" w:rsidRPr="008C1882" w:rsidRDefault="00CA585D">
      <w:pPr>
        <w:rPr>
          <w:rFonts w:ascii="Book Antiqua" w:hAnsi="Book Antiqua"/>
          <w:sz w:val="24"/>
          <w:szCs w:val="24"/>
        </w:rPr>
      </w:pPr>
      <w:r w:rsidRPr="008C1882">
        <w:rPr>
          <w:rFonts w:ascii="Book Antiqua" w:hAnsi="Book Antiqua"/>
          <w:sz w:val="24"/>
          <w:szCs w:val="24"/>
        </w:rPr>
        <w:br w:type="page"/>
      </w:r>
    </w:p>
    <w:p w14:paraId="6D66188D" w14:textId="77777777" w:rsidR="00875E70" w:rsidRPr="008C1882" w:rsidRDefault="00875E70" w:rsidP="004A007E">
      <w:pPr>
        <w:spacing w:after="0"/>
        <w:jc w:val="both"/>
        <w:rPr>
          <w:rFonts w:ascii="Book Antiqua" w:hAnsi="Book Antiqua"/>
          <w:b/>
          <w:sz w:val="24"/>
          <w:szCs w:val="24"/>
          <w:u w:val="single"/>
        </w:rPr>
      </w:pPr>
      <w:r w:rsidRPr="008C1882">
        <w:rPr>
          <w:rFonts w:ascii="Book Antiqua" w:eastAsia="Times New Roman" w:hAnsi="Book Antiqua" w:cs="Times New Roman"/>
          <w:b/>
          <w:caps/>
          <w:sz w:val="24"/>
          <w:szCs w:val="24"/>
          <w:u w:val="single"/>
        </w:rPr>
        <w:lastRenderedPageBreak/>
        <w:t xml:space="preserve">CHAPTER 2 - </w:t>
      </w:r>
      <w:proofErr w:type="spellStart"/>
      <w:r w:rsidRPr="008C1882">
        <w:rPr>
          <w:rFonts w:ascii="Book Antiqua" w:hAnsi="Book Antiqua"/>
          <w:b/>
          <w:sz w:val="24"/>
          <w:szCs w:val="24"/>
          <w:u w:val="single"/>
        </w:rPr>
        <w:t>MiFID</w:t>
      </w:r>
      <w:proofErr w:type="spellEnd"/>
      <w:r w:rsidRPr="008C1882">
        <w:rPr>
          <w:rFonts w:ascii="Book Antiqua" w:eastAsia="Times New Roman" w:hAnsi="Book Antiqua" w:cs="Times New Roman"/>
          <w:b/>
          <w:caps/>
          <w:sz w:val="24"/>
          <w:szCs w:val="24"/>
          <w:u w:val="single"/>
          <w:lang w:eastAsia="en-GB"/>
        </w:rPr>
        <w:t xml:space="preserve"> /</w:t>
      </w:r>
      <w:r w:rsidRPr="008C1882">
        <w:rPr>
          <w:rFonts w:ascii="Book Antiqua" w:eastAsia="Times New Roman" w:hAnsi="Book Antiqua" w:cs="Times New Roman"/>
          <w:b/>
          <w:i/>
          <w:caps/>
          <w:sz w:val="24"/>
          <w:szCs w:val="24"/>
          <w:u w:val="single"/>
          <w:lang w:eastAsia="en-GB"/>
        </w:rPr>
        <w:t xml:space="preserve"> </w:t>
      </w:r>
      <w:proofErr w:type="spellStart"/>
      <w:r w:rsidRPr="008C1882">
        <w:rPr>
          <w:rFonts w:ascii="Book Antiqua" w:hAnsi="Book Antiqua"/>
          <w:b/>
          <w:sz w:val="24"/>
          <w:szCs w:val="24"/>
          <w:u w:val="single"/>
        </w:rPr>
        <w:t>MiFID</w:t>
      </w:r>
      <w:proofErr w:type="spellEnd"/>
      <w:r w:rsidRPr="008C1882">
        <w:rPr>
          <w:rFonts w:ascii="Book Antiqua" w:eastAsia="Times New Roman" w:hAnsi="Book Antiqua" w:cs="Times New Roman"/>
          <w:b/>
          <w:caps/>
          <w:sz w:val="24"/>
          <w:szCs w:val="24"/>
          <w:u w:val="single"/>
          <w:lang w:eastAsia="en-GB"/>
        </w:rPr>
        <w:t xml:space="preserve"> II / </w:t>
      </w:r>
      <w:proofErr w:type="spellStart"/>
      <w:r w:rsidRPr="008C1882">
        <w:rPr>
          <w:rFonts w:ascii="Book Antiqua" w:hAnsi="Book Antiqua"/>
          <w:b/>
          <w:sz w:val="24"/>
          <w:szCs w:val="24"/>
          <w:u w:val="single"/>
        </w:rPr>
        <w:t>MiFIR</w:t>
      </w:r>
      <w:proofErr w:type="spellEnd"/>
      <w:r w:rsidRPr="008C1882">
        <w:rPr>
          <w:rFonts w:ascii="Book Antiqua" w:hAnsi="Book Antiqua"/>
          <w:b/>
          <w:sz w:val="24"/>
          <w:szCs w:val="24"/>
          <w:u w:val="single"/>
        </w:rPr>
        <w:t>:</w:t>
      </w:r>
    </w:p>
    <w:p w14:paraId="00C8D65B" w14:textId="77777777" w:rsidR="00875E70" w:rsidRPr="008C1882" w:rsidRDefault="00875E70" w:rsidP="004A007E">
      <w:pPr>
        <w:spacing w:after="0"/>
        <w:jc w:val="both"/>
        <w:rPr>
          <w:rFonts w:ascii="Book Antiqua" w:hAnsi="Book Antiqua"/>
          <w:b/>
          <w:sz w:val="24"/>
          <w:szCs w:val="24"/>
          <w:u w:val="single"/>
        </w:rPr>
      </w:pPr>
      <w:r w:rsidRPr="008C1882">
        <w:rPr>
          <w:rFonts w:ascii="Book Antiqua" w:hAnsi="Book Antiqua"/>
          <w:b/>
          <w:sz w:val="24"/>
          <w:szCs w:val="24"/>
          <w:u w:val="single"/>
        </w:rPr>
        <w:t xml:space="preserve">(1) Effect of </w:t>
      </w:r>
      <w:proofErr w:type="spellStart"/>
      <w:r w:rsidRPr="008C1882">
        <w:rPr>
          <w:rFonts w:ascii="Book Antiqua" w:hAnsi="Book Antiqua"/>
          <w:b/>
          <w:sz w:val="24"/>
          <w:szCs w:val="24"/>
          <w:u w:val="single"/>
        </w:rPr>
        <w:t>Brexit</w:t>
      </w:r>
      <w:proofErr w:type="spellEnd"/>
      <w:r w:rsidRPr="008C1882">
        <w:rPr>
          <w:rFonts w:ascii="Book Antiqua" w:hAnsi="Book Antiqua"/>
          <w:b/>
          <w:sz w:val="24"/>
          <w:szCs w:val="24"/>
          <w:u w:val="single"/>
        </w:rPr>
        <w:t xml:space="preserve"> on </w:t>
      </w:r>
      <w:proofErr w:type="spellStart"/>
      <w:r w:rsidRPr="008C1882">
        <w:rPr>
          <w:rFonts w:ascii="Book Antiqua" w:hAnsi="Book Antiqua"/>
          <w:b/>
          <w:sz w:val="24"/>
          <w:szCs w:val="24"/>
          <w:u w:val="single"/>
        </w:rPr>
        <w:t>Passporting</w:t>
      </w:r>
      <w:proofErr w:type="spellEnd"/>
      <w:r w:rsidRPr="008C1882">
        <w:rPr>
          <w:rFonts w:ascii="Book Antiqua" w:hAnsi="Book Antiqua"/>
          <w:b/>
          <w:sz w:val="24"/>
          <w:szCs w:val="24"/>
          <w:u w:val="single"/>
        </w:rPr>
        <w:t xml:space="preserve"> &amp; Equivalence Regimes</w:t>
      </w:r>
    </w:p>
    <w:p w14:paraId="33D421B9" w14:textId="77777777" w:rsidR="00875E70" w:rsidRPr="008C1882" w:rsidRDefault="00875E70" w:rsidP="00875E70">
      <w:pPr>
        <w:spacing w:line="360" w:lineRule="auto"/>
        <w:jc w:val="both"/>
        <w:rPr>
          <w:rFonts w:ascii="Book Antiqua" w:eastAsia="Times New Roman" w:hAnsi="Book Antiqua" w:cs="Times New Roman"/>
          <w:b/>
          <w:caps/>
          <w:sz w:val="24"/>
          <w:szCs w:val="24"/>
          <w:u w:val="single"/>
          <w:lang w:eastAsia="en-GB"/>
        </w:rPr>
      </w:pPr>
      <w:r w:rsidRPr="008C1882">
        <w:rPr>
          <w:rFonts w:ascii="Book Antiqua" w:hAnsi="Book Antiqua"/>
          <w:b/>
          <w:sz w:val="24"/>
          <w:szCs w:val="24"/>
          <w:u w:val="single"/>
        </w:rPr>
        <w:t xml:space="preserve">(2) Effect of </w:t>
      </w:r>
      <w:proofErr w:type="spellStart"/>
      <w:r w:rsidRPr="008C1882">
        <w:rPr>
          <w:rFonts w:ascii="Book Antiqua" w:hAnsi="Book Antiqua"/>
          <w:b/>
          <w:sz w:val="24"/>
          <w:szCs w:val="24"/>
          <w:u w:val="single"/>
        </w:rPr>
        <w:t>Brexit</w:t>
      </w:r>
      <w:proofErr w:type="spellEnd"/>
      <w:r w:rsidRPr="008C1882">
        <w:rPr>
          <w:rFonts w:ascii="Book Antiqua" w:hAnsi="Book Antiqua"/>
          <w:b/>
          <w:sz w:val="24"/>
          <w:szCs w:val="24"/>
          <w:u w:val="single"/>
        </w:rPr>
        <w:t xml:space="preserve"> on FS Dispute Resolution in the UK</w:t>
      </w:r>
    </w:p>
    <w:p w14:paraId="6C1E86AE" w14:textId="77777777" w:rsidR="00875E70" w:rsidRPr="008C1882" w:rsidRDefault="00875E70" w:rsidP="00875E70">
      <w:pPr>
        <w:spacing w:line="360" w:lineRule="auto"/>
        <w:ind w:left="567" w:hanging="567"/>
        <w:jc w:val="both"/>
        <w:rPr>
          <w:rFonts w:ascii="Book Antiqua" w:eastAsia="Times New Roman" w:hAnsi="Book Antiqua" w:cs="Times New Roman"/>
          <w:b/>
          <w:caps/>
          <w:sz w:val="24"/>
          <w:szCs w:val="24"/>
          <w:u w:val="single"/>
        </w:rPr>
      </w:pPr>
    </w:p>
    <w:p w14:paraId="6A21A9B2" w14:textId="77777777" w:rsidR="00875E70" w:rsidRPr="008C1882" w:rsidRDefault="00875E70" w:rsidP="00875E70">
      <w:pPr>
        <w:spacing w:line="360" w:lineRule="auto"/>
        <w:ind w:left="567" w:hanging="567"/>
        <w:rPr>
          <w:rFonts w:ascii="Book Antiqua" w:hAnsi="Book Antiqua" w:cs="Times New Roman"/>
          <w:b/>
          <w:sz w:val="24"/>
          <w:szCs w:val="24"/>
          <w:u w:val="single"/>
        </w:rPr>
      </w:pPr>
      <w:r w:rsidRPr="008C1882">
        <w:rPr>
          <w:rFonts w:ascii="Book Antiqua" w:hAnsi="Book Antiqua" w:cs="Times New Roman"/>
          <w:b/>
          <w:sz w:val="24"/>
          <w:szCs w:val="24"/>
          <w:u w:val="single"/>
        </w:rPr>
        <w:t>A. Preliminaries</w:t>
      </w:r>
    </w:p>
    <w:p w14:paraId="28780A3A" w14:textId="77777777" w:rsidR="00875E70" w:rsidRPr="008C1882" w:rsidRDefault="00875E70" w:rsidP="00875E70">
      <w:pPr>
        <w:pStyle w:val="ListParagraph"/>
        <w:numPr>
          <w:ilvl w:val="0"/>
          <w:numId w:val="17"/>
        </w:numPr>
        <w:spacing w:line="360" w:lineRule="auto"/>
        <w:ind w:left="567" w:hanging="567"/>
        <w:contextualSpacing w:val="0"/>
        <w:jc w:val="both"/>
        <w:rPr>
          <w:rFonts w:ascii="Book Antiqua" w:hAnsi="Book Antiqua"/>
          <w:sz w:val="24"/>
          <w:szCs w:val="24"/>
        </w:rPr>
      </w:pPr>
      <w:bookmarkStart w:id="4" w:name="_Ref345535888"/>
      <w:r w:rsidRPr="008C1882">
        <w:rPr>
          <w:rFonts w:ascii="Book Antiqua" w:hAnsi="Book Antiqua"/>
          <w:sz w:val="24"/>
          <w:szCs w:val="24"/>
        </w:rPr>
        <w:t xml:space="preserve">This first part of this Chapter deals with the effect of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on the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regimes under </w:t>
      </w:r>
      <w:proofErr w:type="spellStart"/>
      <w:r w:rsidRPr="008C1882">
        <w:rPr>
          <w:rFonts w:ascii="Book Antiqua" w:hAnsi="Book Antiqua"/>
          <w:sz w:val="24"/>
          <w:szCs w:val="24"/>
        </w:rPr>
        <w:t>MiFID</w:t>
      </w:r>
      <w:proofErr w:type="spellEnd"/>
      <w:r w:rsidRPr="008C1882">
        <w:rPr>
          <w:rFonts w:ascii="Book Antiqua" w:hAnsi="Book Antiqua"/>
          <w:sz w:val="24"/>
          <w:szCs w:val="24"/>
        </w:rPr>
        <w:t>,</w:t>
      </w:r>
      <w:r w:rsidRPr="008C1882">
        <w:rPr>
          <w:rStyle w:val="FootnoteReference"/>
          <w:rFonts w:ascii="Book Antiqua" w:hAnsi="Book Antiqua"/>
          <w:sz w:val="24"/>
          <w:szCs w:val="24"/>
        </w:rPr>
        <w:footnoteReference w:id="15"/>
      </w:r>
      <w:r w:rsidRPr="008C1882">
        <w:rPr>
          <w:rFonts w:ascii="Book Antiqua" w:hAnsi="Book Antiqua"/>
          <w:sz w:val="24"/>
          <w:szCs w:val="24"/>
        </w:rPr>
        <w:t xml:space="preserv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w:t>
      </w:r>
      <w:r w:rsidRPr="008C1882">
        <w:rPr>
          <w:rStyle w:val="FootnoteReference"/>
          <w:rFonts w:ascii="Book Antiqua" w:hAnsi="Book Antiqua"/>
          <w:sz w:val="24"/>
          <w:szCs w:val="24"/>
        </w:rPr>
        <w:footnoteReference w:id="16"/>
      </w:r>
      <w:r w:rsidRPr="008C1882">
        <w:rPr>
          <w:rFonts w:ascii="Book Antiqua" w:hAnsi="Book Antiqua"/>
          <w:sz w:val="24"/>
          <w:szCs w:val="24"/>
        </w:rPr>
        <w:t xml:space="preserve"> and </w:t>
      </w:r>
      <w:proofErr w:type="spellStart"/>
      <w:r w:rsidRPr="008C1882">
        <w:rPr>
          <w:rFonts w:ascii="Book Antiqua" w:hAnsi="Book Antiqua"/>
          <w:sz w:val="24"/>
          <w:szCs w:val="24"/>
        </w:rPr>
        <w:t>MiFIR</w:t>
      </w:r>
      <w:proofErr w:type="spellEnd"/>
      <w:r w:rsidRPr="008C1882">
        <w:rPr>
          <w:rStyle w:val="FootnoteReference"/>
          <w:rFonts w:ascii="Book Antiqua" w:hAnsi="Book Antiqua"/>
          <w:sz w:val="24"/>
          <w:szCs w:val="24"/>
        </w:rPr>
        <w:footnoteReference w:id="17"/>
      </w:r>
      <w:r w:rsidRPr="008C1882">
        <w:rPr>
          <w:rFonts w:ascii="Book Antiqua" w:hAnsi="Book Antiqua"/>
          <w:sz w:val="24"/>
          <w:szCs w:val="24"/>
        </w:rPr>
        <w:t xml:space="preserve"> and is structured as follows:</w:t>
      </w:r>
      <w:bookmarkEnd w:id="4"/>
    </w:p>
    <w:p w14:paraId="202D1084" w14:textId="77777777" w:rsidR="00875E70" w:rsidRPr="008C1882" w:rsidRDefault="00875E70" w:rsidP="00875E70">
      <w:pPr>
        <w:pStyle w:val="ListParagraph"/>
        <w:numPr>
          <w:ilvl w:val="1"/>
          <w:numId w:val="17"/>
        </w:numPr>
        <w:spacing w:line="360" w:lineRule="auto"/>
        <w:ind w:left="993" w:hanging="426"/>
        <w:contextualSpacing w:val="0"/>
        <w:jc w:val="both"/>
        <w:rPr>
          <w:rFonts w:ascii="Book Antiqua" w:hAnsi="Book Antiqua"/>
          <w:sz w:val="24"/>
          <w:szCs w:val="24"/>
        </w:rPr>
      </w:pPr>
      <w:r w:rsidRPr="008C1882">
        <w:rPr>
          <w:rFonts w:ascii="Book Antiqua" w:hAnsi="Book Antiqua"/>
          <w:sz w:val="24"/>
          <w:szCs w:val="24"/>
        </w:rPr>
        <w:t xml:space="preserve">An introduction to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and </w:t>
      </w:r>
      <w:proofErr w:type="spellStart"/>
      <w:r w:rsidRPr="008C1882">
        <w:rPr>
          <w:rFonts w:ascii="Book Antiqua" w:hAnsi="Book Antiqua"/>
          <w:sz w:val="24"/>
          <w:szCs w:val="24"/>
        </w:rPr>
        <w:t>MiFIR</w:t>
      </w:r>
      <w:proofErr w:type="spellEnd"/>
      <w:r w:rsidRPr="008C1882">
        <w:rPr>
          <w:rFonts w:ascii="Book Antiqua" w:hAnsi="Book Antiqua"/>
          <w:sz w:val="24"/>
          <w:szCs w:val="24"/>
        </w:rPr>
        <w:t>;</w:t>
      </w:r>
    </w:p>
    <w:p w14:paraId="7BDF4954" w14:textId="77777777" w:rsidR="00875E70" w:rsidRPr="008C1882" w:rsidRDefault="00875E70" w:rsidP="00875E70">
      <w:pPr>
        <w:pStyle w:val="ListParagraph"/>
        <w:numPr>
          <w:ilvl w:val="1"/>
          <w:numId w:val="17"/>
        </w:numPr>
        <w:spacing w:line="360" w:lineRule="auto"/>
        <w:ind w:left="993" w:hanging="426"/>
        <w:contextualSpacing w:val="0"/>
        <w:jc w:val="both"/>
        <w:rPr>
          <w:rFonts w:ascii="Book Antiqua" w:hAnsi="Book Antiqua"/>
          <w:sz w:val="24"/>
          <w:szCs w:val="24"/>
        </w:rPr>
      </w:pP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if the UK were to remain within the EEA;</w:t>
      </w:r>
    </w:p>
    <w:p w14:paraId="400D1041" w14:textId="77777777" w:rsidR="00875E70" w:rsidRPr="008C1882" w:rsidRDefault="00875E70" w:rsidP="00875E70">
      <w:pPr>
        <w:pStyle w:val="ListParagraph"/>
        <w:numPr>
          <w:ilvl w:val="1"/>
          <w:numId w:val="17"/>
        </w:numPr>
        <w:spacing w:line="360" w:lineRule="auto"/>
        <w:ind w:left="993" w:hanging="426"/>
        <w:contextualSpacing w:val="0"/>
        <w:jc w:val="both"/>
        <w:rPr>
          <w:rFonts w:ascii="Book Antiqua" w:hAnsi="Book Antiqua"/>
          <w:sz w:val="24"/>
          <w:szCs w:val="24"/>
        </w:rPr>
      </w:pP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if the UK were to leave the EEA;</w:t>
      </w:r>
    </w:p>
    <w:p w14:paraId="50356774" w14:textId="77777777" w:rsidR="00875E70" w:rsidRPr="008C1882" w:rsidRDefault="00875E70" w:rsidP="00875E70">
      <w:pPr>
        <w:pStyle w:val="ListParagraph"/>
        <w:numPr>
          <w:ilvl w:val="1"/>
          <w:numId w:val="17"/>
        </w:numPr>
        <w:spacing w:line="360" w:lineRule="auto"/>
        <w:ind w:left="993" w:hanging="426"/>
        <w:contextualSpacing w:val="0"/>
        <w:jc w:val="both"/>
        <w:rPr>
          <w:rFonts w:ascii="Book Antiqua" w:hAnsi="Book Antiqua"/>
          <w:sz w:val="24"/>
          <w:szCs w:val="24"/>
        </w:rPr>
      </w:pPr>
      <w:r w:rsidRPr="008C1882">
        <w:rPr>
          <w:rFonts w:ascii="Book Antiqua" w:hAnsi="Book Antiqua"/>
          <w:sz w:val="24"/>
          <w:szCs w:val="24"/>
        </w:rPr>
        <w:t>Some issues arising for consideration.</w:t>
      </w:r>
    </w:p>
    <w:p w14:paraId="2BCE9ED0" w14:textId="77777777" w:rsidR="00875E70" w:rsidRPr="008C1882" w:rsidRDefault="00875E70" w:rsidP="00875E70">
      <w:pPr>
        <w:pStyle w:val="ListParagraph"/>
        <w:spacing w:line="360" w:lineRule="auto"/>
        <w:ind w:left="567"/>
        <w:contextualSpacing w:val="0"/>
        <w:jc w:val="both"/>
        <w:rPr>
          <w:rFonts w:ascii="Book Antiqua" w:hAnsi="Book Antiqua"/>
          <w:sz w:val="24"/>
          <w:szCs w:val="24"/>
        </w:rPr>
      </w:pPr>
      <w:r w:rsidRPr="008C1882">
        <w:rPr>
          <w:rFonts w:ascii="Book Antiqua" w:hAnsi="Book Antiqua"/>
          <w:sz w:val="24"/>
          <w:szCs w:val="24"/>
        </w:rPr>
        <w:t xml:space="preserve">The second part of this Chapter sets out some brief observations on the effect of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on the resolution of financial services disputes in the UK relating to services that will be governed by </w:t>
      </w:r>
      <w:proofErr w:type="spellStart"/>
      <w:r w:rsidRPr="008C1882">
        <w:rPr>
          <w:rFonts w:ascii="Book Antiqua" w:hAnsi="Book Antiqua"/>
          <w:sz w:val="24"/>
          <w:szCs w:val="24"/>
        </w:rPr>
        <w:t>MiFIR</w:t>
      </w:r>
      <w:proofErr w:type="spellEnd"/>
      <w:r w:rsidRPr="008C1882">
        <w:rPr>
          <w:rFonts w:ascii="Book Antiqua" w:hAnsi="Book Antiqua"/>
          <w:sz w:val="24"/>
          <w:szCs w:val="24"/>
        </w:rPr>
        <w:t>.</w:t>
      </w:r>
    </w:p>
    <w:p w14:paraId="30AF6AF4" w14:textId="77777777" w:rsidR="00875E70" w:rsidRPr="008C1882" w:rsidRDefault="00875E70" w:rsidP="00875E70">
      <w:pPr>
        <w:spacing w:line="360" w:lineRule="auto"/>
        <w:ind w:left="567" w:hanging="567"/>
        <w:jc w:val="both"/>
        <w:rPr>
          <w:rFonts w:ascii="Book Antiqua" w:hAnsi="Book Antiqua" w:cs="Times New Roman"/>
          <w:sz w:val="24"/>
          <w:szCs w:val="24"/>
        </w:rPr>
      </w:pPr>
    </w:p>
    <w:p w14:paraId="54A6E0DD" w14:textId="77777777" w:rsidR="00875E70" w:rsidRPr="008C1882" w:rsidRDefault="00875E70" w:rsidP="00875E70">
      <w:pPr>
        <w:spacing w:line="360" w:lineRule="auto"/>
        <w:ind w:left="567" w:hanging="567"/>
        <w:jc w:val="both"/>
        <w:rPr>
          <w:rFonts w:ascii="Book Antiqua" w:hAnsi="Book Antiqua" w:cs="Times New Roman"/>
          <w:sz w:val="24"/>
          <w:szCs w:val="24"/>
        </w:rPr>
      </w:pPr>
      <w:r w:rsidRPr="008C1882">
        <w:rPr>
          <w:rFonts w:ascii="Book Antiqua" w:hAnsi="Book Antiqua" w:cs="Times New Roman"/>
          <w:b/>
          <w:sz w:val="24"/>
          <w:szCs w:val="24"/>
          <w:u w:val="single"/>
        </w:rPr>
        <w:t xml:space="preserve">B. An introduction to </w:t>
      </w:r>
      <w:proofErr w:type="spellStart"/>
      <w:r w:rsidRPr="008C1882">
        <w:rPr>
          <w:rFonts w:ascii="Book Antiqua" w:hAnsi="Book Antiqua" w:cs="Times New Roman"/>
          <w:b/>
          <w:sz w:val="24"/>
          <w:szCs w:val="24"/>
          <w:u w:val="single"/>
        </w:rPr>
        <w:t>MiFID</w:t>
      </w:r>
      <w:proofErr w:type="spellEnd"/>
      <w:r w:rsidRPr="008C1882">
        <w:rPr>
          <w:rFonts w:ascii="Book Antiqua" w:hAnsi="Book Antiqua" w:cs="Times New Roman"/>
          <w:b/>
          <w:sz w:val="24"/>
          <w:szCs w:val="24"/>
          <w:u w:val="single"/>
        </w:rPr>
        <w:t xml:space="preserve">, </w:t>
      </w:r>
      <w:proofErr w:type="spellStart"/>
      <w:r w:rsidRPr="008C1882">
        <w:rPr>
          <w:rFonts w:ascii="Book Antiqua" w:hAnsi="Book Antiqua" w:cs="Times New Roman"/>
          <w:b/>
          <w:sz w:val="24"/>
          <w:szCs w:val="24"/>
          <w:u w:val="single"/>
        </w:rPr>
        <w:t>MiFID</w:t>
      </w:r>
      <w:proofErr w:type="spellEnd"/>
      <w:r w:rsidRPr="008C1882">
        <w:rPr>
          <w:rFonts w:ascii="Book Antiqua" w:hAnsi="Book Antiqua" w:cs="Times New Roman"/>
          <w:b/>
          <w:sz w:val="24"/>
          <w:szCs w:val="24"/>
          <w:u w:val="single"/>
        </w:rPr>
        <w:t xml:space="preserve"> II and </w:t>
      </w:r>
      <w:proofErr w:type="spellStart"/>
      <w:r w:rsidRPr="008C1882">
        <w:rPr>
          <w:rFonts w:ascii="Book Antiqua" w:hAnsi="Book Antiqua" w:cs="Times New Roman"/>
          <w:b/>
          <w:sz w:val="24"/>
          <w:szCs w:val="24"/>
          <w:u w:val="single"/>
        </w:rPr>
        <w:t>MiFIR</w:t>
      </w:r>
      <w:proofErr w:type="spellEnd"/>
    </w:p>
    <w:p w14:paraId="210D7067" w14:textId="77777777" w:rsidR="00875E70" w:rsidRPr="008C1882" w:rsidRDefault="00875E70" w:rsidP="00875E70">
      <w:pPr>
        <w:spacing w:line="360" w:lineRule="auto"/>
        <w:ind w:left="567" w:hanging="567"/>
        <w:jc w:val="both"/>
        <w:rPr>
          <w:rFonts w:ascii="Book Antiqua" w:hAnsi="Book Antiqua" w:cs="Times New Roman"/>
          <w:b/>
          <w:i/>
          <w:sz w:val="24"/>
          <w:szCs w:val="24"/>
        </w:rPr>
      </w:pPr>
      <w:r w:rsidRPr="008C1882">
        <w:rPr>
          <w:rFonts w:ascii="Book Antiqua" w:hAnsi="Book Antiqua" w:cs="Times New Roman"/>
          <w:b/>
          <w:i/>
          <w:sz w:val="24"/>
          <w:szCs w:val="24"/>
        </w:rPr>
        <w:t>(1) High level introduction</w:t>
      </w:r>
    </w:p>
    <w:p w14:paraId="1B9DEB66" w14:textId="77777777" w:rsidR="00875E70" w:rsidRPr="008C1882" w:rsidRDefault="00875E70" w:rsidP="00875E70">
      <w:pPr>
        <w:pStyle w:val="ListParagraph"/>
        <w:numPr>
          <w:ilvl w:val="0"/>
          <w:numId w:val="17"/>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The following paragraphs are intended as a high-level introduction to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 the corner stone of EU financial services regulation – and the legislation due to replace it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and </w:t>
      </w:r>
      <w:proofErr w:type="spellStart"/>
      <w:r w:rsidRPr="008C1882">
        <w:rPr>
          <w:rFonts w:ascii="Book Antiqua" w:hAnsi="Book Antiqua"/>
          <w:sz w:val="24"/>
          <w:szCs w:val="24"/>
        </w:rPr>
        <w:t>MiFIR</w:t>
      </w:r>
      <w:proofErr w:type="spellEnd"/>
      <w:r w:rsidRPr="008C1882">
        <w:rPr>
          <w:rFonts w:ascii="Book Antiqua" w:hAnsi="Book Antiqua"/>
          <w:sz w:val="24"/>
          <w:szCs w:val="24"/>
        </w:rPr>
        <w:t>). Readers familiar with the broad concepts might wish to read from paragraph 8 below.</w:t>
      </w:r>
    </w:p>
    <w:p w14:paraId="145C6294" w14:textId="77777777" w:rsidR="00875E70" w:rsidRPr="008C1882" w:rsidRDefault="00875E70" w:rsidP="00875E70">
      <w:pPr>
        <w:pStyle w:val="ListParagraph"/>
        <w:numPr>
          <w:ilvl w:val="0"/>
          <w:numId w:val="17"/>
        </w:numPr>
        <w:spacing w:line="360" w:lineRule="auto"/>
        <w:ind w:left="567" w:hanging="567"/>
        <w:contextualSpacing w:val="0"/>
        <w:jc w:val="both"/>
        <w:rPr>
          <w:rFonts w:ascii="Book Antiqua" w:hAnsi="Book Antiqua"/>
          <w:sz w:val="24"/>
          <w:szCs w:val="24"/>
        </w:rPr>
      </w:pP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regulates firms who provide services to clients linked to financial instruments (shares, bonds, units in collective investment schemes and </w:t>
      </w:r>
      <w:r w:rsidRPr="008C1882">
        <w:rPr>
          <w:rFonts w:ascii="Book Antiqua" w:hAnsi="Book Antiqua"/>
          <w:sz w:val="24"/>
          <w:szCs w:val="24"/>
        </w:rPr>
        <w:lastRenderedPageBreak/>
        <w:t>derivatives) and the venues where those instruments are traded.</w:t>
      </w:r>
      <w:r w:rsidRPr="008C1882">
        <w:rPr>
          <w:rFonts w:ascii="Book Antiqua" w:hAnsi="Book Antiqua"/>
          <w:sz w:val="24"/>
          <w:szCs w:val="24"/>
          <w:vertAlign w:val="superscript"/>
        </w:rPr>
        <w:footnoteReference w:id="18"/>
      </w:r>
      <w:r w:rsidRPr="008C1882">
        <w:rPr>
          <w:rFonts w:ascii="Book Antiqua" w:hAnsi="Book Antiqua"/>
          <w:sz w:val="24"/>
          <w:szCs w:val="24"/>
        </w:rPr>
        <w:t xml:space="preserv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was applied to the UK from 1 November 2007. </w:t>
      </w:r>
    </w:p>
    <w:p w14:paraId="373E75EC" w14:textId="77777777" w:rsidR="00875E70" w:rsidRPr="008C1882" w:rsidRDefault="00875E70" w:rsidP="00875E70">
      <w:pPr>
        <w:pStyle w:val="ListParagraph"/>
        <w:numPr>
          <w:ilvl w:val="0"/>
          <w:numId w:val="17"/>
        </w:numPr>
        <w:spacing w:line="360" w:lineRule="auto"/>
        <w:ind w:left="567" w:hanging="567"/>
        <w:contextualSpacing w:val="0"/>
        <w:jc w:val="both"/>
        <w:rPr>
          <w:rFonts w:ascii="Book Antiqua" w:hAnsi="Book Antiqua"/>
          <w:sz w:val="24"/>
          <w:szCs w:val="24"/>
        </w:rPr>
      </w:pP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is one of several single market Directives currently in force that provide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for financial institutions.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does not contain a mechanism allowing passport rights to an investment firm whose head office is located in third countries. </w:t>
      </w:r>
    </w:p>
    <w:p w14:paraId="723EB460" w14:textId="77777777" w:rsidR="00875E70" w:rsidRPr="008C1882" w:rsidRDefault="00875E70" w:rsidP="00875E70">
      <w:pPr>
        <w:pStyle w:val="ListParagraph"/>
        <w:numPr>
          <w:ilvl w:val="0"/>
          <w:numId w:val="17"/>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 significant part of the UK’s financial services industry relies on the passport under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to provide its services to other member states of the EEA. By way of illustration, as at 27 July 2016, 2250 firms had at least one outbound passport under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and 988 had at least one inbound passport.</w:t>
      </w:r>
      <w:r w:rsidRPr="008C1882">
        <w:rPr>
          <w:rStyle w:val="FootnoteReference"/>
          <w:rFonts w:ascii="Book Antiqua" w:hAnsi="Book Antiqua"/>
          <w:sz w:val="24"/>
          <w:szCs w:val="24"/>
        </w:rPr>
        <w:footnoteReference w:id="19"/>
      </w:r>
      <w:r w:rsidRPr="008C1882">
        <w:rPr>
          <w:rFonts w:ascii="Book Antiqua" w:hAnsi="Book Antiqua"/>
          <w:sz w:val="24"/>
          <w:szCs w:val="24"/>
        </w:rPr>
        <w:t xml:space="preserve"> If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led to the loss of the current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arrangement the impact could be wide-ranging. </w:t>
      </w:r>
    </w:p>
    <w:p w14:paraId="6A9AB850" w14:textId="77777777" w:rsidR="00875E70" w:rsidRPr="008C1882" w:rsidRDefault="00875E70" w:rsidP="00875E70">
      <w:pPr>
        <w:pStyle w:val="ListParagraph"/>
        <w:numPr>
          <w:ilvl w:val="0"/>
          <w:numId w:val="17"/>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From 3 January 2018,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w:t>
      </w:r>
      <w:proofErr w:type="gramStart"/>
      <w:r w:rsidRPr="008C1882">
        <w:rPr>
          <w:rFonts w:ascii="Book Antiqua" w:hAnsi="Book Antiqua"/>
          <w:sz w:val="24"/>
          <w:szCs w:val="24"/>
        </w:rPr>
        <w:t xml:space="preserve">will be replaced by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and </w:t>
      </w:r>
      <w:proofErr w:type="spellStart"/>
      <w:r w:rsidRPr="008C1882">
        <w:rPr>
          <w:rFonts w:ascii="Book Antiqua" w:hAnsi="Book Antiqua"/>
          <w:sz w:val="24"/>
          <w:szCs w:val="24"/>
        </w:rPr>
        <w:t>MiFIR</w:t>
      </w:r>
      <w:proofErr w:type="spellEnd"/>
      <w:proofErr w:type="gramEnd"/>
      <w:r w:rsidRPr="008C1882">
        <w:rPr>
          <w:rFonts w:ascii="Book Antiqua" w:hAnsi="Book Antiqua"/>
          <w:sz w:val="24"/>
          <w:szCs w:val="24"/>
        </w:rPr>
        <w:t xml:space="preserv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is in the process of being implemented in the UK and the FCA is in the midst of a consultation exercise in respect of that implementation. A policy statement is due in the second half of 2017.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will take direct effect. </w:t>
      </w:r>
    </w:p>
    <w:p w14:paraId="4C9DD590" w14:textId="77777777" w:rsidR="00875E70" w:rsidRPr="008C1882" w:rsidRDefault="00875E70" w:rsidP="00875E70">
      <w:pPr>
        <w:pStyle w:val="ListParagraph"/>
        <w:numPr>
          <w:ilvl w:val="0"/>
          <w:numId w:val="17"/>
        </w:numPr>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The FCA statement of 24 June 2016 in response to the result of the EU Referendum made clear that EU-derived financial regulation will remain applicable until any changes are made, which will be a matter for Government and Parliament. Subject to changes to the timetable for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or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it seems highly likely that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and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will have come into effect before the UK formally leaves the UK. </w:t>
      </w:r>
    </w:p>
    <w:p w14:paraId="5E16E2DB" w14:textId="77777777" w:rsidR="00875E70" w:rsidRPr="008C1882" w:rsidRDefault="00875E70" w:rsidP="00875E70">
      <w:pPr>
        <w:spacing w:line="360" w:lineRule="auto"/>
        <w:ind w:left="567" w:hanging="567"/>
        <w:rPr>
          <w:rFonts w:ascii="Book Antiqua" w:hAnsi="Book Antiqua"/>
          <w:b/>
          <w:i/>
          <w:sz w:val="24"/>
          <w:szCs w:val="24"/>
          <w:u w:val="single"/>
        </w:rPr>
      </w:pPr>
      <w:r w:rsidRPr="008C1882">
        <w:rPr>
          <w:rFonts w:ascii="Book Antiqua" w:hAnsi="Book Antiqua"/>
          <w:b/>
          <w:i/>
          <w:sz w:val="24"/>
          <w:szCs w:val="24"/>
          <w:u w:val="single"/>
        </w:rPr>
        <w:t xml:space="preserve">(2) Background to </w:t>
      </w:r>
      <w:proofErr w:type="spellStart"/>
      <w:r w:rsidRPr="008C1882">
        <w:rPr>
          <w:rFonts w:ascii="Book Antiqua" w:hAnsi="Book Antiqua"/>
          <w:b/>
          <w:i/>
          <w:sz w:val="24"/>
          <w:szCs w:val="24"/>
          <w:u w:val="single"/>
        </w:rPr>
        <w:t>MiFID</w:t>
      </w:r>
      <w:proofErr w:type="spellEnd"/>
      <w:r w:rsidRPr="008C1882">
        <w:rPr>
          <w:rFonts w:ascii="Book Antiqua" w:hAnsi="Book Antiqua"/>
          <w:b/>
          <w:i/>
          <w:sz w:val="24"/>
          <w:szCs w:val="24"/>
          <w:u w:val="single"/>
        </w:rPr>
        <w:t xml:space="preserve"> and the EU-wide investment services passport</w:t>
      </w:r>
    </w:p>
    <w:p w14:paraId="2F09DAD4" w14:textId="77777777" w:rsidR="00875E70" w:rsidRPr="008C1882" w:rsidRDefault="00875E70" w:rsidP="00875E70">
      <w:pPr>
        <w:pStyle w:val="ListParagraph"/>
        <w:numPr>
          <w:ilvl w:val="0"/>
          <w:numId w:val="1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In 1985, the EU Commission proposed (by its White Paper entitled “Completing the Internal Market”) that banks and other investment firms based in each (“home”) Member State ought to be able to provide financial services in other (“host”) Member States. Member States would be required to </w:t>
      </w:r>
      <w:r w:rsidRPr="008C1882">
        <w:rPr>
          <w:rFonts w:ascii="Book Antiqua" w:hAnsi="Book Antiqua"/>
          <w:sz w:val="24"/>
          <w:szCs w:val="24"/>
        </w:rPr>
        <w:lastRenderedPageBreak/>
        <w:t>recognise the home state authorisation of incoming firms to carry on activities falling within the scope of the home authorisation, and – importantly - precluded from imposing requirements with the purpose or effect of restricting the activity in the host state of the incoming firm. In this way and thereafter the Commission, further emboldened by the Single European Act of 1986 (which introduced qualified majority voting for most internal market measures) and the anticipated introduction of the single currency as part of ever closer economic and monetary union following the Maastricht Treaty of 1992, launched the Financial Services Action Plan (FSAP) in 1998 (COM (1998) 625). The FSAP sought to achieve a “single, deep and liquid capital market” in the EU, covering a wide range of financial services.</w:t>
      </w:r>
    </w:p>
    <w:p w14:paraId="281CC6BE" w14:textId="77777777" w:rsidR="00875E70" w:rsidRPr="008C1882" w:rsidRDefault="00875E70" w:rsidP="00875E70">
      <w:pPr>
        <w:pStyle w:val="ListParagraph"/>
        <w:numPr>
          <w:ilvl w:val="0"/>
          <w:numId w:val="1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This included, crucially, the provision of wholesale and retail investment services in the securities markets. The EU had previously implemented the Investment Services Directive in 1993 (93/22/EEC) (ISD), which provided the platform for host state licenses in respect of certain investment services (listed in Section A of the Annex to the ISD), to apply across other Member States (and EEA states).</w:t>
      </w:r>
      <w:r w:rsidRPr="008C1882">
        <w:rPr>
          <w:rStyle w:val="FootnoteReference"/>
          <w:rFonts w:ascii="Book Antiqua" w:hAnsi="Book Antiqua"/>
          <w:sz w:val="24"/>
          <w:szCs w:val="24"/>
        </w:rPr>
        <w:footnoteReference w:id="20"/>
      </w:r>
      <w:r w:rsidRPr="008C1882">
        <w:rPr>
          <w:rFonts w:ascii="Book Antiqua" w:hAnsi="Book Antiqua"/>
          <w:sz w:val="24"/>
          <w:szCs w:val="24"/>
        </w:rPr>
        <w:t xml:space="preserve"> The ISD itself built upon (and to an extent overlapped with) various banking Directives (principally the Banking Consolidation Directive 2000/12/EC), which amongst other things sought to provide for a single market for banking activities, including investment related activity.</w:t>
      </w:r>
    </w:p>
    <w:p w14:paraId="730124B0" w14:textId="77777777" w:rsidR="00875E70" w:rsidRPr="008C1882" w:rsidRDefault="00875E70" w:rsidP="00875E7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The ISD has provided a limited degree of harmonisation across the investment services sector. The ISD sets a minimum level of regulation for investment firms and at the same time establishes the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regime for those regulated firms, enabling an investment firm regulated in one Member State to establish a branch in, or provide certain of its investment services cross-border into, any other Member State – this was known as the ‘ISD passport’.</w:t>
      </w:r>
    </w:p>
    <w:p w14:paraId="0DE96096" w14:textId="77777777" w:rsidR="00875E70" w:rsidRPr="008C1882" w:rsidRDefault="00875E70" w:rsidP="00875E7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But the ISD has not been as effective as it might have been in establishing the framework for a single European market in investment services. There were perceived to be two principal problems. First, the scope of investment activities </w:t>
      </w:r>
      <w:r w:rsidRPr="008C1882">
        <w:rPr>
          <w:rFonts w:ascii="Book Antiqua" w:hAnsi="Book Antiqua"/>
          <w:sz w:val="24"/>
          <w:szCs w:val="24"/>
        </w:rPr>
        <w:lastRenderedPageBreak/>
        <w:t xml:space="preserve">to which the ISD applies was narrow.  Second, while Member States were required to permit investment firms to passport into the jurisdiction, they were not prohibited from imposing additional local rules regulating the manner in which those services were to be provided. </w:t>
      </w:r>
    </w:p>
    <w:p w14:paraId="4D2B1CA7" w14:textId="77777777" w:rsidR="00875E70" w:rsidRPr="008C1882" w:rsidRDefault="00875E70" w:rsidP="00875E7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Also, implementation of the ISD across Member States was inconsistent, making for a lumpy single market in investment services. A good example of this is the view taken by Member States about the Member State “in which a service was provided”. This was important because the ISD required Member States to devise their own set of conduct of business rules, which varied from one state to another. Therefore, the opposing views taken by Member State as to the state “in which services were provided”, led to different rules being applied to investment firms. Another good example of the limits of the ISD was the absence of a definition of what constituted a professional investor. This was important because Article 11(1) ISD provided for a calibration of conduct rules applicable to investment services provided to professional investors, yet the absence of a safe and usable definition of an investor falling within Article 11(1) meant wholesale clients were afforded the same protections as less sophisticated retail clients. </w:t>
      </w:r>
    </w:p>
    <w:p w14:paraId="09F71B6C" w14:textId="77777777" w:rsidR="00875E70" w:rsidRPr="008C1882" w:rsidRDefault="00875E70" w:rsidP="00875E7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One aim of the FSAP was to radically redraw, simplify and harmonise rules (particularly conduct of business rules) governing the provision of investment services across the EU, and thereby enhancing the existing ISD passport. The Commission announced in 1999 that the FSAP would seek to “prepare the ground for the effective cross-border provision of investment services” by “urgently updating” the ISD.</w:t>
      </w:r>
      <w:r w:rsidRPr="008C1882">
        <w:rPr>
          <w:rStyle w:val="FootnoteReference"/>
          <w:rFonts w:ascii="Book Antiqua" w:hAnsi="Book Antiqua"/>
          <w:sz w:val="24"/>
          <w:szCs w:val="24"/>
        </w:rPr>
        <w:footnoteReference w:id="21"/>
      </w:r>
      <w:r w:rsidRPr="008C1882">
        <w:rPr>
          <w:rFonts w:ascii="Book Antiqua" w:hAnsi="Book Antiqua"/>
          <w:sz w:val="24"/>
          <w:szCs w:val="24"/>
        </w:rPr>
        <w:t xml:space="preserve"> In this way, the Markets in Financial Instruments Directive 2004/39/EC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was anticipated to be, and subsequently became, the most ambitious pillar of the FSAP. </w:t>
      </w:r>
    </w:p>
    <w:p w14:paraId="67E3AF29" w14:textId="77777777" w:rsidR="00875E70" w:rsidRPr="008C1882" w:rsidRDefault="00875E70" w:rsidP="00875E7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proofErr w:type="spellStart"/>
      <w:r w:rsidRPr="008C1882">
        <w:rPr>
          <w:rFonts w:ascii="Book Antiqua" w:hAnsi="Book Antiqua"/>
          <w:sz w:val="24"/>
          <w:szCs w:val="24"/>
        </w:rPr>
        <w:lastRenderedPageBreak/>
        <w:t>MiFID</w:t>
      </w:r>
      <w:proofErr w:type="spellEnd"/>
      <w:r w:rsidRPr="008C1882">
        <w:rPr>
          <w:rFonts w:ascii="Book Antiqua" w:hAnsi="Book Antiqua"/>
          <w:sz w:val="24"/>
          <w:szCs w:val="24"/>
        </w:rPr>
        <w:t xml:space="preserve"> replaced the ISD in 2007.</w:t>
      </w:r>
      <w:r w:rsidRPr="008C1882">
        <w:rPr>
          <w:rStyle w:val="FootnoteReference"/>
          <w:rFonts w:ascii="Book Antiqua" w:hAnsi="Book Antiqua"/>
          <w:sz w:val="24"/>
          <w:szCs w:val="24"/>
        </w:rPr>
        <w:footnoteReference w:id="22"/>
      </w:r>
      <w:r w:rsidRPr="008C1882">
        <w:rPr>
          <w:rFonts w:ascii="Book Antiqua" w:hAnsi="Book Antiqua"/>
          <w:sz w:val="24"/>
          <w:szCs w:val="24"/>
        </w:rPr>
        <w:t xml:space="preserve"> It is central to the operation of the EU’s financial services regime, and of paramount importance to the role of London as a place for investment business. </w:t>
      </w:r>
    </w:p>
    <w:p w14:paraId="24C3A930" w14:textId="77777777" w:rsidR="00875E70" w:rsidRPr="008C1882" w:rsidRDefault="00875E70" w:rsidP="00875E7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provides for UK banks to conduct investment business across other EU Member States. More particularly,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provides the principle regulatory architecture governing the conduct of investment services by banks in each Member States, for example the trading and execution on behalf of clients of securities and derivative transactions. </w:t>
      </w:r>
    </w:p>
    <w:p w14:paraId="013E627E" w14:textId="77777777" w:rsidR="00875E70" w:rsidRPr="008C1882" w:rsidRDefault="00875E70" w:rsidP="00875E70">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The central changes introduced by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were as follows:</w:t>
      </w:r>
    </w:p>
    <w:p w14:paraId="51553D43" w14:textId="77777777" w:rsidR="00875E70" w:rsidRPr="008C1882" w:rsidRDefault="00875E70" w:rsidP="00875E70">
      <w:pPr>
        <w:pStyle w:val="ListParagraph"/>
        <w:numPr>
          <w:ilvl w:val="0"/>
          <w:numId w:val="18"/>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contextualSpacing w:val="0"/>
        <w:jc w:val="both"/>
        <w:rPr>
          <w:rFonts w:ascii="Book Antiqua" w:hAnsi="Book Antiqua"/>
          <w:sz w:val="24"/>
          <w:szCs w:val="24"/>
        </w:rPr>
      </w:pPr>
      <w:r w:rsidRPr="008C1882">
        <w:rPr>
          <w:rFonts w:ascii="Book Antiqua" w:hAnsi="Book Antiqua"/>
          <w:sz w:val="24"/>
          <w:szCs w:val="24"/>
        </w:rPr>
        <w:t xml:space="preserve">An extended definition of investment services to include investment advice and commodity derivative business; </w:t>
      </w:r>
    </w:p>
    <w:p w14:paraId="4E1C03BD" w14:textId="77777777" w:rsidR="00875E70" w:rsidRPr="008C1882" w:rsidRDefault="00875E70" w:rsidP="00875E70">
      <w:pPr>
        <w:pStyle w:val="ListParagraph"/>
        <w:numPr>
          <w:ilvl w:val="0"/>
          <w:numId w:val="18"/>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contextualSpacing w:val="0"/>
        <w:jc w:val="both"/>
        <w:rPr>
          <w:rFonts w:ascii="Book Antiqua" w:hAnsi="Book Antiqua"/>
          <w:sz w:val="24"/>
          <w:szCs w:val="24"/>
        </w:rPr>
      </w:pPr>
      <w:r w:rsidRPr="008C1882">
        <w:rPr>
          <w:rFonts w:ascii="Book Antiqua" w:hAnsi="Book Antiqua"/>
          <w:sz w:val="24"/>
          <w:szCs w:val="24"/>
        </w:rPr>
        <w:t xml:space="preserve">Detailed rules for the harmonisation of conduct of business rules. Further,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appears on its face (Article 19(10)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to provide for maximum harmonisation, by authorising the Commission to enact subsequent legislation to achieve ‘uniform application’ across Member States. </w:t>
      </w:r>
    </w:p>
    <w:p w14:paraId="23C84B25" w14:textId="77777777" w:rsidR="00875E70" w:rsidRPr="008C1882" w:rsidRDefault="00875E70" w:rsidP="00875E70">
      <w:pPr>
        <w:pStyle w:val="ListParagraph"/>
        <w:numPr>
          <w:ilvl w:val="0"/>
          <w:numId w:val="18"/>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contextualSpacing w:val="0"/>
        <w:jc w:val="both"/>
        <w:rPr>
          <w:rFonts w:ascii="Book Antiqua" w:hAnsi="Book Antiqua"/>
          <w:sz w:val="24"/>
          <w:szCs w:val="24"/>
        </w:rPr>
      </w:pPr>
      <w:r w:rsidRPr="008C1882">
        <w:rPr>
          <w:rFonts w:ascii="Book Antiqua" w:hAnsi="Book Antiqua"/>
          <w:sz w:val="24"/>
          <w:szCs w:val="24"/>
        </w:rPr>
        <w:t xml:space="preserve">A definition of professional clients in Annex II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(who are afforded less protection than retail clients). By introducing this definition, investment firms could apply levels of protection to investors proportionate to the sophistication of the client. </w:t>
      </w:r>
    </w:p>
    <w:p w14:paraId="55F789FB" w14:textId="77777777" w:rsidR="00875E70" w:rsidRPr="008C1882" w:rsidRDefault="00875E70" w:rsidP="00875E70">
      <w:pPr>
        <w:pStyle w:val="ListParagraph"/>
        <w:numPr>
          <w:ilvl w:val="0"/>
          <w:numId w:val="18"/>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contextualSpacing w:val="0"/>
        <w:jc w:val="both"/>
        <w:rPr>
          <w:rFonts w:ascii="Book Antiqua" w:hAnsi="Book Antiqua"/>
          <w:sz w:val="24"/>
          <w:szCs w:val="24"/>
        </w:rPr>
      </w:pPr>
      <w:r w:rsidRPr="008C1882">
        <w:rPr>
          <w:rFonts w:ascii="Book Antiqua" w:hAnsi="Book Antiqua"/>
          <w:sz w:val="24"/>
          <w:szCs w:val="24"/>
        </w:rPr>
        <w:lastRenderedPageBreak/>
        <w:t xml:space="preserve">A clarification of the responsibilities of home and host state regulators. In particular,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allocated sole jurisdiction to the home state of the investment firm. </w:t>
      </w:r>
    </w:p>
    <w:p w14:paraId="14753D39" w14:textId="77777777" w:rsidR="00875E70" w:rsidRPr="008C1882" w:rsidRDefault="00875E70" w:rsidP="00875E70">
      <w:pPr>
        <w:pStyle w:val="ListParagraph"/>
        <w:numPr>
          <w:ilvl w:val="0"/>
          <w:numId w:val="1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The second Markets in Financial Instruments Directive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will replace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in 2018 (subject to any interference caused by the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negotiations).</w:t>
      </w:r>
      <w:r w:rsidRPr="008C1882">
        <w:rPr>
          <w:rStyle w:val="FootnoteReference"/>
          <w:rFonts w:ascii="Book Antiqua" w:hAnsi="Book Antiqua"/>
          <w:sz w:val="24"/>
          <w:szCs w:val="24"/>
        </w:rPr>
        <w:footnoteReference w:id="23"/>
      </w:r>
      <w:r w:rsidRPr="008C1882">
        <w:rPr>
          <w:rFonts w:ascii="Book Antiqua" w:hAnsi="Book Antiqua"/>
          <w:sz w:val="24"/>
          <w:szCs w:val="24"/>
        </w:rPr>
        <w:t xml:space="preserve"> There are some significant differences between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and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with regard to the treatment of third country entities. For example,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will establish two separate regimes for third countries doing business with certain categories of EU entities, introducing different provisions for retail clients and professional clients.  Crucially,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introduces a harmonized regime making the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passport available to non-EEA based financial institutions provided their home state regulation is deemed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equivalent. As explained below, this provision may provide a workable answer to the question of how UK investment firms, as third country </w:t>
      </w:r>
      <w:proofErr w:type="gramStart"/>
      <w:r w:rsidRPr="008C1882">
        <w:rPr>
          <w:rFonts w:ascii="Book Antiqua" w:hAnsi="Book Antiqua"/>
          <w:sz w:val="24"/>
          <w:szCs w:val="24"/>
        </w:rPr>
        <w:t>firms</w:t>
      </w:r>
      <w:proofErr w:type="gramEnd"/>
      <w:r w:rsidRPr="008C1882">
        <w:rPr>
          <w:rFonts w:ascii="Book Antiqua" w:hAnsi="Book Antiqua"/>
          <w:sz w:val="24"/>
          <w:szCs w:val="24"/>
        </w:rPr>
        <w:t xml:space="preserve"> post-</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might nevertheless enjoy unfettered (or limited fettering of) access to the EU single market in investment services. </w:t>
      </w:r>
    </w:p>
    <w:p w14:paraId="70BA81C8" w14:textId="77777777" w:rsidR="00875E70" w:rsidRPr="008C1882" w:rsidRDefault="00875E70" w:rsidP="00875E70">
      <w:pPr>
        <w:pStyle w:val="ListParagraph"/>
        <w:numPr>
          <w:ilvl w:val="0"/>
          <w:numId w:val="1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Building on the foundations laid by the ISD and the BCD,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gives investment firms the ability to carry on business and sell services of far broader scope (delimited to the activities identified in Annex 1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both in terms of the services provided and the markets and products affected, throughout Europe without obtaining a licence to provide services as a regulated firm in each and every individual Member State country. </w:t>
      </w:r>
    </w:p>
    <w:p w14:paraId="3E11B9D6" w14:textId="77777777" w:rsidR="00875E70" w:rsidRPr="008C1882" w:rsidRDefault="00875E70" w:rsidP="00875E70">
      <w:pPr>
        <w:pStyle w:val="ListParagraph"/>
        <w:numPr>
          <w:ilvl w:val="0"/>
          <w:numId w:val="1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In this way, UK investment firms can presently ‘passport’ into other Member State investment markets and compete with local firms for business. Given the muscularity of UK- and UK based- investment firms in the development and </w:t>
      </w:r>
      <w:r w:rsidRPr="008C1882">
        <w:rPr>
          <w:rFonts w:ascii="Book Antiqua" w:hAnsi="Book Antiqua"/>
          <w:sz w:val="24"/>
          <w:szCs w:val="24"/>
        </w:rPr>
        <w:lastRenderedPageBreak/>
        <w:t xml:space="preserve">provision of sophisticated investment services, including in (expanded areas) of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business i.e. commodity derivatives, London has been a major beneficiary of the enhanced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regime.   </w:t>
      </w:r>
    </w:p>
    <w:p w14:paraId="49131B09" w14:textId="77777777" w:rsidR="00875E70" w:rsidRPr="008C1882" w:rsidRDefault="00875E70" w:rsidP="00875E70">
      <w:pPr>
        <w:pStyle w:val="ListParagraph"/>
        <w:numPr>
          <w:ilvl w:val="0"/>
          <w:numId w:val="1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 further important aspect of this is that non-EU, or third </w:t>
      </w:r>
      <w:proofErr w:type="gramStart"/>
      <w:r w:rsidRPr="008C1882">
        <w:rPr>
          <w:rFonts w:ascii="Book Antiqua" w:hAnsi="Book Antiqua"/>
          <w:sz w:val="24"/>
          <w:szCs w:val="24"/>
        </w:rPr>
        <w:t>country,</w:t>
      </w:r>
      <w:proofErr w:type="gramEnd"/>
      <w:r w:rsidRPr="008C1882">
        <w:rPr>
          <w:rFonts w:ascii="Book Antiqua" w:hAnsi="Book Antiqua"/>
          <w:sz w:val="24"/>
          <w:szCs w:val="24"/>
        </w:rPr>
        <w:t xml:space="preserve"> banks have tended to locate themselves in London (through a UK subsidiary), and used the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“passport” regime to sell their investment service across the EU. The prospect of such third country banks locating themselves away from London following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is a major commercial risk to London as a financial centre. </w:t>
      </w:r>
    </w:p>
    <w:p w14:paraId="7D010F5E" w14:textId="77777777" w:rsidR="00875E70" w:rsidRPr="008C1882" w:rsidRDefault="00875E70" w:rsidP="00875E70">
      <w:pPr>
        <w:tabs>
          <w:tab w:val="left" w:pos="567"/>
        </w:tabs>
        <w:spacing w:line="360" w:lineRule="auto"/>
        <w:ind w:left="567" w:hanging="567"/>
        <w:jc w:val="both"/>
        <w:rPr>
          <w:rFonts w:ascii="Book Antiqua" w:hAnsi="Book Antiqua" w:cs="Times New Roman"/>
          <w:sz w:val="24"/>
          <w:szCs w:val="24"/>
        </w:rPr>
      </w:pPr>
    </w:p>
    <w:p w14:paraId="2CB786F4" w14:textId="77777777" w:rsidR="00875E70" w:rsidRPr="008C1882" w:rsidRDefault="00875E70" w:rsidP="00875E70">
      <w:pPr>
        <w:tabs>
          <w:tab w:val="left" w:pos="567"/>
        </w:tabs>
        <w:spacing w:line="360" w:lineRule="auto"/>
        <w:ind w:left="567" w:hanging="567"/>
        <w:jc w:val="both"/>
        <w:rPr>
          <w:rFonts w:ascii="Book Antiqua" w:hAnsi="Book Antiqua" w:cs="Times New Roman"/>
          <w:sz w:val="24"/>
          <w:szCs w:val="24"/>
        </w:rPr>
      </w:pPr>
      <w:r w:rsidRPr="008C1882">
        <w:rPr>
          <w:rFonts w:ascii="Book Antiqua" w:hAnsi="Book Antiqua" w:cs="Times New Roman"/>
          <w:b/>
          <w:sz w:val="24"/>
          <w:szCs w:val="24"/>
          <w:u w:val="single"/>
        </w:rPr>
        <w:t xml:space="preserve">C. </w:t>
      </w:r>
      <w:proofErr w:type="spellStart"/>
      <w:r w:rsidRPr="008C1882">
        <w:rPr>
          <w:rFonts w:ascii="Book Antiqua" w:hAnsi="Book Antiqua" w:cs="Times New Roman"/>
          <w:b/>
          <w:sz w:val="24"/>
          <w:szCs w:val="24"/>
          <w:u w:val="single"/>
        </w:rPr>
        <w:t>Passporting</w:t>
      </w:r>
      <w:proofErr w:type="spellEnd"/>
      <w:r w:rsidRPr="008C1882">
        <w:rPr>
          <w:rFonts w:ascii="Book Antiqua" w:hAnsi="Book Antiqua" w:cs="Times New Roman"/>
          <w:b/>
          <w:sz w:val="24"/>
          <w:szCs w:val="24"/>
          <w:u w:val="single"/>
        </w:rPr>
        <w:t xml:space="preserve"> rights if the UK were to remain within the EEA</w:t>
      </w:r>
    </w:p>
    <w:p w14:paraId="17C11795"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The European Economic Area or EEA is constituted by all EU Member States along with Norway, Iceland and Liechtenstein, which are members of the separate European Free Trade Association, or EFTA. By operation of the EEA Agreement formed between the EU and the EFTA States and in force since 1994, most legislative measures passed by the EU are now automatically adopted by these 3 EFTA States. In this way,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applies to EEA states. If the UK leaves the EU but remains within the EEA, UK financial institutions would continue to benefit from the same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in respect of financial services.</w:t>
      </w:r>
      <w:r w:rsidRPr="008C1882">
        <w:rPr>
          <w:rStyle w:val="FootnoteReference"/>
          <w:rFonts w:ascii="Book Antiqua" w:hAnsi="Book Antiqua"/>
          <w:sz w:val="24"/>
          <w:szCs w:val="24"/>
        </w:rPr>
        <w:footnoteReference w:id="24"/>
      </w:r>
    </w:p>
    <w:p w14:paraId="65B279E8" w14:textId="77777777" w:rsidR="00875E70" w:rsidRPr="008C1882" w:rsidRDefault="00875E70" w:rsidP="00875E70">
      <w:pPr>
        <w:tabs>
          <w:tab w:val="left" w:pos="567"/>
        </w:tabs>
        <w:spacing w:line="360" w:lineRule="auto"/>
        <w:ind w:left="567" w:hanging="567"/>
        <w:jc w:val="both"/>
        <w:rPr>
          <w:rFonts w:ascii="Book Antiqua" w:hAnsi="Book Antiqua" w:cs="Times New Roman"/>
          <w:sz w:val="24"/>
          <w:szCs w:val="24"/>
        </w:rPr>
      </w:pPr>
    </w:p>
    <w:p w14:paraId="0AFB9DC3" w14:textId="77777777" w:rsidR="00875E70" w:rsidRPr="008C1882" w:rsidRDefault="00875E70" w:rsidP="00875E70">
      <w:pPr>
        <w:tabs>
          <w:tab w:val="left" w:pos="567"/>
        </w:tabs>
        <w:spacing w:line="360" w:lineRule="auto"/>
        <w:ind w:left="567" w:hanging="567"/>
        <w:jc w:val="both"/>
        <w:rPr>
          <w:rFonts w:ascii="Book Antiqua" w:hAnsi="Book Antiqua"/>
          <w:sz w:val="24"/>
          <w:szCs w:val="24"/>
        </w:rPr>
      </w:pPr>
      <w:r w:rsidRPr="008C1882">
        <w:rPr>
          <w:rFonts w:ascii="Book Antiqua" w:hAnsi="Book Antiqua" w:cs="Times New Roman"/>
          <w:b/>
          <w:sz w:val="24"/>
          <w:szCs w:val="24"/>
          <w:u w:val="single"/>
        </w:rPr>
        <w:t xml:space="preserve">D. </w:t>
      </w:r>
      <w:proofErr w:type="spellStart"/>
      <w:r w:rsidRPr="008C1882">
        <w:rPr>
          <w:rFonts w:ascii="Book Antiqua" w:hAnsi="Book Antiqua" w:cs="Times New Roman"/>
          <w:b/>
          <w:sz w:val="24"/>
          <w:szCs w:val="24"/>
          <w:u w:val="single"/>
        </w:rPr>
        <w:t>Passporting</w:t>
      </w:r>
      <w:proofErr w:type="spellEnd"/>
      <w:r w:rsidRPr="008C1882">
        <w:rPr>
          <w:rFonts w:ascii="Book Antiqua" w:hAnsi="Book Antiqua" w:cs="Times New Roman"/>
          <w:b/>
          <w:sz w:val="24"/>
          <w:szCs w:val="24"/>
          <w:u w:val="single"/>
        </w:rPr>
        <w:t xml:space="preserve"> rights if the UK were to leave the EEA</w:t>
      </w:r>
    </w:p>
    <w:p w14:paraId="71E00B91"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If the UK were leave the EEA and did not secure an EEA-like arrangement or some other special status via a bilateral treaty, UK firms would lose the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arising from the UK’s membership of the EU. However, the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regime is set to introduce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for third country firms in the circumstances discussed below. </w:t>
      </w:r>
    </w:p>
    <w:p w14:paraId="3B28AFB0"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lastRenderedPageBreak/>
        <w:t xml:space="preserve">While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will improve consistency in the EU approach to third country firms, the new framework remains far from straightforward. As stated above, the position of third country firms under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will depend on whether they are seeking access to wholesale markets only (Article 46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or also to offer services to retail or “elective” (i.e., less sophisticated) professional clients (Article 39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2).</w:t>
      </w:r>
    </w:p>
    <w:p w14:paraId="22E8D013"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Broadly speaking, there is no common third country regime under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and each Member State has its own rules, so any third country firm wishing to provide services in a particular EU jurisdiction must either itself be established as an authorised entity in that Member State and authorised under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or (as certain third country firms presently do in London) establish an authorised subsidiary in a Member State and rely on </w:t>
      </w:r>
      <w:proofErr w:type="spellStart"/>
      <w:r w:rsidRPr="008C1882">
        <w:rPr>
          <w:rFonts w:ascii="Book Antiqua" w:hAnsi="Book Antiqua"/>
          <w:sz w:val="24"/>
          <w:szCs w:val="24"/>
        </w:rPr>
        <w:t>passporting</w:t>
      </w:r>
      <w:proofErr w:type="spellEnd"/>
      <w:r w:rsidRPr="008C1882">
        <w:rPr>
          <w:rFonts w:ascii="Book Antiqua" w:hAnsi="Book Antiqua"/>
          <w:sz w:val="24"/>
          <w:szCs w:val="24"/>
        </w:rPr>
        <w:t xml:space="preserve"> rights across the EU.</w:t>
      </w:r>
    </w:p>
    <w:p w14:paraId="58833A46"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An investment firm established in a third country will only be able to conduct regulated investment business with a </w:t>
      </w:r>
      <w:r w:rsidRPr="008C1882">
        <w:rPr>
          <w:rFonts w:ascii="Book Antiqua" w:hAnsi="Book Antiqua"/>
          <w:i/>
          <w:sz w:val="24"/>
          <w:szCs w:val="24"/>
        </w:rPr>
        <w:t xml:space="preserve">retail client </w:t>
      </w:r>
      <w:r w:rsidRPr="008C1882">
        <w:rPr>
          <w:rFonts w:ascii="Book Antiqua" w:hAnsi="Book Antiqua"/>
          <w:sz w:val="24"/>
          <w:szCs w:val="24"/>
        </w:rPr>
        <w:t xml:space="preserve">in a Member State if the bank has established a branch in that Member State. In order to establish a branch, the Member State’s authorities would need to be satisfied that the third country has adequate regulation in certain key areas, such as anti-money laundering. </w:t>
      </w:r>
    </w:p>
    <w:p w14:paraId="3D5F734F"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The UK should meet all these requirements on day 1 post-</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in relation to Level 1 Directive measures. However in the absence of any bespoke domestic legislation effectively transposing what would otherwise be directly applicable Level 2 measures, e.g.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there is a real risk that the EU would not regard the UK as having an equivalent regime. In any event, and prospectively, in order to maintain any such equivalent status, the UK would have to ensure that it legislated to provide for new </w:t>
      </w:r>
      <w:proofErr w:type="gramStart"/>
      <w:r w:rsidRPr="008C1882">
        <w:rPr>
          <w:rFonts w:ascii="Book Antiqua" w:hAnsi="Book Antiqua"/>
          <w:sz w:val="24"/>
          <w:szCs w:val="24"/>
        </w:rPr>
        <w:t>rules which</w:t>
      </w:r>
      <w:proofErr w:type="gramEnd"/>
      <w:r w:rsidRPr="008C1882">
        <w:rPr>
          <w:rFonts w:ascii="Book Antiqua" w:hAnsi="Book Antiqua"/>
          <w:sz w:val="24"/>
          <w:szCs w:val="24"/>
        </w:rPr>
        <w:t xml:space="preserve"> corresponded to developments at an EU level.  </w:t>
      </w:r>
    </w:p>
    <w:p w14:paraId="11D77C69"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An investment firm established in a third country seeking to do business with </w:t>
      </w:r>
      <w:r w:rsidRPr="008C1882">
        <w:rPr>
          <w:rFonts w:ascii="Book Antiqua" w:hAnsi="Book Antiqua"/>
          <w:i/>
          <w:sz w:val="24"/>
          <w:szCs w:val="24"/>
        </w:rPr>
        <w:t>professional clients</w:t>
      </w:r>
      <w:r w:rsidRPr="008C1882">
        <w:rPr>
          <w:rFonts w:ascii="Book Antiqua" w:hAnsi="Book Antiqua"/>
          <w:sz w:val="24"/>
          <w:szCs w:val="24"/>
        </w:rPr>
        <w:t xml:space="preserve"> in a Member State will be able do so under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without establishing a branch in that Member State as long as it is registered in a register maintained by the European Securities and Markets Authority (ESMA). This is only possible where the third country regulatory regime is considered </w:t>
      </w:r>
      <w:r w:rsidRPr="008C1882">
        <w:rPr>
          <w:rFonts w:ascii="Book Antiqua" w:hAnsi="Book Antiqua"/>
          <w:sz w:val="24"/>
          <w:szCs w:val="24"/>
        </w:rPr>
        <w:lastRenderedPageBreak/>
        <w:t xml:space="preserve">equivalent and a decision to this effect has been adopted by the European Commission (the Commission), so the effect on the UK would depend on whether its regulatory environment was deemed to be equivalent and whether the Commission could be persuaded to grant an exiting EU member this status. In theory, the UK should be in a position to meet the equivalence requirements in respect of Level 1 Directive measures, assuming the UK implements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as anticipated prior to </w:t>
      </w:r>
      <w:proofErr w:type="spellStart"/>
      <w:r w:rsidRPr="008C1882">
        <w:rPr>
          <w:rFonts w:ascii="Book Antiqua" w:hAnsi="Book Antiqua"/>
          <w:sz w:val="24"/>
          <w:szCs w:val="24"/>
        </w:rPr>
        <w:t>Brexit</w:t>
      </w:r>
      <w:proofErr w:type="spellEnd"/>
      <w:r w:rsidRPr="008C1882">
        <w:rPr>
          <w:rFonts w:ascii="Book Antiqua" w:hAnsi="Book Antiqua"/>
          <w:sz w:val="24"/>
          <w:szCs w:val="24"/>
        </w:rPr>
        <w:t>.</w:t>
      </w:r>
    </w:p>
    <w:p w14:paraId="12CC9267" w14:textId="77777777" w:rsidR="00875E70" w:rsidRPr="008C1882" w:rsidRDefault="00875E70" w:rsidP="00875E70">
      <w:pPr>
        <w:tabs>
          <w:tab w:val="left" w:pos="567"/>
        </w:tabs>
        <w:spacing w:line="360" w:lineRule="auto"/>
        <w:ind w:left="567" w:hanging="567"/>
        <w:jc w:val="both"/>
        <w:rPr>
          <w:rFonts w:ascii="Book Antiqua" w:hAnsi="Book Antiqua" w:cs="Times New Roman"/>
          <w:sz w:val="24"/>
          <w:szCs w:val="24"/>
        </w:rPr>
      </w:pPr>
      <w:r w:rsidRPr="008C1882">
        <w:rPr>
          <w:rFonts w:ascii="Book Antiqua" w:hAnsi="Book Antiqua" w:cs="Times New Roman"/>
          <w:b/>
          <w:i/>
          <w:sz w:val="24"/>
          <w:szCs w:val="24"/>
        </w:rPr>
        <w:t>(1) Eligible counterparties and professional clients</w:t>
      </w:r>
    </w:p>
    <w:p w14:paraId="4D192D1E"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Article 46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states: “</w:t>
      </w:r>
      <w:r w:rsidRPr="008C1882">
        <w:rPr>
          <w:rFonts w:ascii="Book Antiqua" w:hAnsi="Book Antiqua"/>
          <w:i/>
          <w:sz w:val="24"/>
          <w:szCs w:val="24"/>
        </w:rPr>
        <w:t xml:space="preserve">A third-country firm may provide investment services or perform investment activities with or without any ancillary services to eligible counterparties and to professional clients within the meaning of Section I of Annex II to Directive </w:t>
      </w:r>
      <w:hyperlink r:id="rId9" w:history="1">
        <w:r w:rsidRPr="008C1882">
          <w:rPr>
            <w:rFonts w:ascii="Book Antiqua" w:hAnsi="Book Antiqua"/>
            <w:i/>
            <w:sz w:val="24"/>
            <w:szCs w:val="24"/>
          </w:rPr>
          <w:t>2014/65/EU</w:t>
        </w:r>
      </w:hyperlink>
      <w:r w:rsidRPr="008C1882">
        <w:rPr>
          <w:rFonts w:ascii="Book Antiqua" w:hAnsi="Book Antiqua"/>
          <w:i/>
          <w:sz w:val="24"/>
          <w:szCs w:val="24"/>
        </w:rPr>
        <w:t xml:space="preserve"> established throughout the Union without the establishment of a branch where it is registered in the register of third-country firms kept by ESMA in accordance with Article 47.” </w:t>
      </w:r>
      <w:r w:rsidRPr="008C1882">
        <w:rPr>
          <w:rStyle w:val="FootnoteReference"/>
          <w:rFonts w:ascii="Book Antiqua" w:hAnsi="Book Antiqua"/>
          <w:sz w:val="24"/>
          <w:szCs w:val="24"/>
        </w:rPr>
        <w:footnoteReference w:id="25"/>
      </w:r>
    </w:p>
    <w:p w14:paraId="59E4BE79"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Article 47 of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states:</w:t>
      </w:r>
    </w:p>
    <w:p w14:paraId="376C1B59"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b/>
          <w:bCs/>
          <w:i/>
          <w:sz w:val="24"/>
          <w:szCs w:val="24"/>
        </w:rPr>
      </w:pPr>
      <w:r w:rsidRPr="008C1882">
        <w:rPr>
          <w:rFonts w:ascii="Book Antiqua" w:hAnsi="Book Antiqua" w:cs="Times New Roman"/>
          <w:b/>
          <w:bCs/>
          <w:i/>
          <w:sz w:val="24"/>
          <w:szCs w:val="24"/>
        </w:rPr>
        <w:t>“Equivalence decision</w:t>
      </w:r>
    </w:p>
    <w:p w14:paraId="4961F4AE"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t xml:space="preserve">1. The Commission may adopt a decision in accordance with the examination procedure referred to in Article 51(2) in relation to a third country stating that the legal and supervisory arrangements of that third country ensure that firms authorised in that third country comply with legally binding prudential and business conduct requirements which have equivalent effect to the requirements set out in this Regulation, in Directive </w:t>
      </w:r>
      <w:hyperlink r:id="rId10" w:history="1">
        <w:r w:rsidRPr="008C1882">
          <w:rPr>
            <w:rFonts w:ascii="Book Antiqua" w:hAnsi="Book Antiqua" w:cs="Times New Roman"/>
            <w:i/>
            <w:sz w:val="24"/>
            <w:szCs w:val="24"/>
          </w:rPr>
          <w:t>2013/36/EU</w:t>
        </w:r>
      </w:hyperlink>
      <w:r w:rsidRPr="008C1882">
        <w:rPr>
          <w:rFonts w:ascii="Book Antiqua" w:hAnsi="Book Antiqua" w:cs="Times New Roman"/>
          <w:i/>
          <w:sz w:val="24"/>
          <w:szCs w:val="24"/>
        </w:rPr>
        <w:t xml:space="preserve"> and in Directive </w:t>
      </w:r>
      <w:hyperlink r:id="rId11" w:history="1">
        <w:r w:rsidRPr="008C1882">
          <w:rPr>
            <w:rFonts w:ascii="Book Antiqua" w:hAnsi="Book Antiqua" w:cs="Times New Roman"/>
            <w:i/>
            <w:sz w:val="24"/>
            <w:szCs w:val="24"/>
          </w:rPr>
          <w:t>2014/65/EU</w:t>
        </w:r>
      </w:hyperlink>
      <w:r w:rsidRPr="008C1882">
        <w:rPr>
          <w:rFonts w:ascii="Book Antiqua" w:hAnsi="Book Antiqua" w:cs="Times New Roman"/>
          <w:i/>
          <w:sz w:val="24"/>
          <w:szCs w:val="24"/>
        </w:rPr>
        <w:t xml:space="preserve"> and in the implementing measures adopted under this Regulation and under those Directives and that the legal framework of that third country provides for an effective equivalent system for the recognition of investment firms authorised under third-country legal regimes…”</w:t>
      </w:r>
    </w:p>
    <w:p w14:paraId="4DF49EC3"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lastRenderedPageBreak/>
        <w:t>The prudential and business conduct framework of a third country may be considered to have equivalent effect where that framework fulfils all the following conditions:</w:t>
      </w:r>
    </w:p>
    <w:p w14:paraId="3C7B79BA"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t xml:space="preserve">(a) </w:t>
      </w:r>
      <w:proofErr w:type="gramStart"/>
      <w:r w:rsidRPr="008C1882">
        <w:rPr>
          <w:rFonts w:ascii="Book Antiqua" w:hAnsi="Book Antiqua" w:cs="Times New Roman"/>
          <w:i/>
          <w:sz w:val="24"/>
          <w:szCs w:val="24"/>
        </w:rPr>
        <w:t>firms</w:t>
      </w:r>
      <w:proofErr w:type="gramEnd"/>
      <w:r w:rsidRPr="008C1882">
        <w:rPr>
          <w:rFonts w:ascii="Book Antiqua" w:hAnsi="Book Antiqua" w:cs="Times New Roman"/>
          <w:i/>
          <w:sz w:val="24"/>
          <w:szCs w:val="24"/>
        </w:rPr>
        <w:t xml:space="preserve"> providing investment services and activities in that third country are subject to authorisation and to effective supervision and enforcement on an </w:t>
      </w:r>
      <w:proofErr w:type="spellStart"/>
      <w:r w:rsidRPr="008C1882">
        <w:rPr>
          <w:rFonts w:ascii="Book Antiqua" w:hAnsi="Book Antiqua" w:cs="Times New Roman"/>
          <w:i/>
          <w:sz w:val="24"/>
          <w:szCs w:val="24"/>
        </w:rPr>
        <w:t>ongoing</w:t>
      </w:r>
      <w:proofErr w:type="spellEnd"/>
      <w:r w:rsidRPr="008C1882">
        <w:rPr>
          <w:rFonts w:ascii="Book Antiqua" w:hAnsi="Book Antiqua" w:cs="Times New Roman"/>
          <w:i/>
          <w:sz w:val="24"/>
          <w:szCs w:val="24"/>
        </w:rPr>
        <w:t xml:space="preserve"> basis;</w:t>
      </w:r>
    </w:p>
    <w:p w14:paraId="67F9BB12"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t xml:space="preserve">(b) </w:t>
      </w:r>
      <w:proofErr w:type="gramStart"/>
      <w:r w:rsidRPr="008C1882">
        <w:rPr>
          <w:rFonts w:ascii="Book Antiqua" w:hAnsi="Book Antiqua" w:cs="Times New Roman"/>
          <w:i/>
          <w:sz w:val="24"/>
          <w:szCs w:val="24"/>
        </w:rPr>
        <w:t>firms</w:t>
      </w:r>
      <w:proofErr w:type="gramEnd"/>
      <w:r w:rsidRPr="008C1882">
        <w:rPr>
          <w:rFonts w:ascii="Book Antiqua" w:hAnsi="Book Antiqua" w:cs="Times New Roman"/>
          <w:i/>
          <w:sz w:val="24"/>
          <w:szCs w:val="24"/>
        </w:rPr>
        <w:t xml:space="preserve"> providing investment services and activities in that third country are subject to sufficient capital requirements and appropriate requirements applicable to shareholders and members of their management body;</w:t>
      </w:r>
    </w:p>
    <w:p w14:paraId="728A8DF5"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t xml:space="preserve">(c) </w:t>
      </w:r>
      <w:proofErr w:type="gramStart"/>
      <w:r w:rsidRPr="008C1882">
        <w:rPr>
          <w:rFonts w:ascii="Book Antiqua" w:hAnsi="Book Antiqua" w:cs="Times New Roman"/>
          <w:i/>
          <w:sz w:val="24"/>
          <w:szCs w:val="24"/>
        </w:rPr>
        <w:t>firms</w:t>
      </w:r>
      <w:proofErr w:type="gramEnd"/>
      <w:r w:rsidRPr="008C1882">
        <w:rPr>
          <w:rFonts w:ascii="Book Antiqua" w:hAnsi="Book Antiqua" w:cs="Times New Roman"/>
          <w:i/>
          <w:sz w:val="24"/>
          <w:szCs w:val="24"/>
        </w:rPr>
        <w:t xml:space="preserve"> providing investment services and activities are subject to adequate organisational requirements in the area of internal control functions;</w:t>
      </w:r>
    </w:p>
    <w:p w14:paraId="4874E9D6"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t xml:space="preserve">(d) </w:t>
      </w:r>
      <w:proofErr w:type="gramStart"/>
      <w:r w:rsidRPr="008C1882">
        <w:rPr>
          <w:rFonts w:ascii="Book Antiqua" w:hAnsi="Book Antiqua" w:cs="Times New Roman"/>
          <w:i/>
          <w:sz w:val="24"/>
          <w:szCs w:val="24"/>
        </w:rPr>
        <w:t>firms</w:t>
      </w:r>
      <w:proofErr w:type="gramEnd"/>
      <w:r w:rsidRPr="008C1882">
        <w:rPr>
          <w:rFonts w:ascii="Book Antiqua" w:hAnsi="Book Antiqua" w:cs="Times New Roman"/>
          <w:i/>
          <w:sz w:val="24"/>
          <w:szCs w:val="24"/>
        </w:rPr>
        <w:t xml:space="preserve"> providing investment services and activities are subject to appropriate conduct of business rules;</w:t>
      </w:r>
    </w:p>
    <w:p w14:paraId="483B9E11"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t xml:space="preserve">(e) </w:t>
      </w:r>
      <w:proofErr w:type="gramStart"/>
      <w:r w:rsidRPr="008C1882">
        <w:rPr>
          <w:rFonts w:ascii="Book Antiqua" w:hAnsi="Book Antiqua" w:cs="Times New Roman"/>
          <w:i/>
          <w:sz w:val="24"/>
          <w:szCs w:val="24"/>
        </w:rPr>
        <w:t>it</w:t>
      </w:r>
      <w:proofErr w:type="gramEnd"/>
      <w:r w:rsidRPr="008C1882">
        <w:rPr>
          <w:rFonts w:ascii="Book Antiqua" w:hAnsi="Book Antiqua" w:cs="Times New Roman"/>
          <w:i/>
          <w:sz w:val="24"/>
          <w:szCs w:val="24"/>
        </w:rPr>
        <w:t xml:space="preserve"> ensures market transparency and integrity by preventing market abuse in the form of insider dealing and market manipulation</w:t>
      </w:r>
    </w:p>
    <w:p w14:paraId="322BDE86"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t>2. ESMA shall establish cooperation arrangements with the relevant competent authorities of third countries whose legal and supervisory frameworks have been recognised as effectively equivalent in accordance with paragraph 1. Such arrangements shall specify at least:</w:t>
      </w:r>
    </w:p>
    <w:p w14:paraId="5804872E"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t xml:space="preserve">(a) </w:t>
      </w:r>
      <w:proofErr w:type="gramStart"/>
      <w:r w:rsidRPr="008C1882">
        <w:rPr>
          <w:rFonts w:ascii="Book Antiqua" w:hAnsi="Book Antiqua" w:cs="Times New Roman"/>
          <w:i/>
          <w:sz w:val="24"/>
          <w:szCs w:val="24"/>
        </w:rPr>
        <w:t>the</w:t>
      </w:r>
      <w:proofErr w:type="gramEnd"/>
      <w:r w:rsidRPr="008C1882">
        <w:rPr>
          <w:rFonts w:ascii="Book Antiqua" w:hAnsi="Book Antiqua" w:cs="Times New Roman"/>
          <w:i/>
          <w:sz w:val="24"/>
          <w:szCs w:val="24"/>
        </w:rPr>
        <w:t xml:space="preserve"> mechanism for the exchange of information between ESMA and the competent authorities of third countries concerned, including access to all information regarding the non-Union firms authorised in third countries that is requested by ESMA;</w:t>
      </w:r>
    </w:p>
    <w:p w14:paraId="40C2DB02"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t xml:space="preserve">(b) </w:t>
      </w:r>
      <w:proofErr w:type="gramStart"/>
      <w:r w:rsidRPr="008C1882">
        <w:rPr>
          <w:rFonts w:ascii="Book Antiqua" w:hAnsi="Book Antiqua" w:cs="Times New Roman"/>
          <w:i/>
          <w:sz w:val="24"/>
          <w:szCs w:val="24"/>
        </w:rPr>
        <w:t>the</w:t>
      </w:r>
      <w:proofErr w:type="gramEnd"/>
      <w:r w:rsidRPr="008C1882">
        <w:rPr>
          <w:rFonts w:ascii="Book Antiqua" w:hAnsi="Book Antiqua" w:cs="Times New Roman"/>
          <w:i/>
          <w:sz w:val="24"/>
          <w:szCs w:val="24"/>
        </w:rPr>
        <w:t xml:space="preserve"> mechanism for prompt notification to ESMA where a third-country competent authority deems that a third-country firm that it is supervising and ESMA has registered in the register provided for in Article 48 infringes the conditions of its authorisation or other law to which it is obliged to adhere;</w:t>
      </w:r>
    </w:p>
    <w:p w14:paraId="0E58B9C4"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lastRenderedPageBreak/>
        <w:t xml:space="preserve">(c) </w:t>
      </w:r>
      <w:proofErr w:type="gramStart"/>
      <w:r w:rsidRPr="008C1882">
        <w:rPr>
          <w:rFonts w:ascii="Book Antiqua" w:hAnsi="Book Antiqua" w:cs="Times New Roman"/>
          <w:i/>
          <w:sz w:val="24"/>
          <w:szCs w:val="24"/>
        </w:rPr>
        <w:t>the</w:t>
      </w:r>
      <w:proofErr w:type="gramEnd"/>
      <w:r w:rsidRPr="008C1882">
        <w:rPr>
          <w:rFonts w:ascii="Book Antiqua" w:hAnsi="Book Antiqua" w:cs="Times New Roman"/>
          <w:i/>
          <w:sz w:val="24"/>
          <w:szCs w:val="24"/>
        </w:rPr>
        <w:t xml:space="preserve"> procedures concerning the coordination of supervisory activities including, where appropriate, on-site inspections.</w:t>
      </w:r>
    </w:p>
    <w:p w14:paraId="7CDB461A"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t xml:space="preserve">3. A third-country firm established in a country whose legal and supervisory framework has been recognised to be effectively equivalent in accordance with paragraph 1 and is authorised in accordance with Article 39 of Directive </w:t>
      </w:r>
      <w:hyperlink r:id="rId12" w:history="1">
        <w:r w:rsidRPr="008C1882">
          <w:rPr>
            <w:rFonts w:ascii="Book Antiqua" w:hAnsi="Book Antiqua" w:cs="Times New Roman"/>
            <w:i/>
            <w:sz w:val="24"/>
            <w:szCs w:val="24"/>
          </w:rPr>
          <w:t>2014/65/EU</w:t>
        </w:r>
      </w:hyperlink>
      <w:r w:rsidRPr="008C1882">
        <w:rPr>
          <w:rFonts w:ascii="Book Antiqua" w:hAnsi="Book Antiqua" w:cs="Times New Roman"/>
          <w:i/>
          <w:sz w:val="24"/>
          <w:szCs w:val="24"/>
        </w:rPr>
        <w:t xml:space="preserve"> shall be able to provide the services and activities covered under the authorisation to eligible counterparties and professional clients within the meaning of Section I of Annex II to Directive </w:t>
      </w:r>
      <w:hyperlink r:id="rId13" w:history="1">
        <w:r w:rsidRPr="008C1882">
          <w:rPr>
            <w:rFonts w:ascii="Book Antiqua" w:hAnsi="Book Antiqua" w:cs="Times New Roman"/>
            <w:i/>
            <w:sz w:val="24"/>
            <w:szCs w:val="24"/>
          </w:rPr>
          <w:t>2014/65/EU</w:t>
        </w:r>
      </w:hyperlink>
      <w:r w:rsidRPr="008C1882">
        <w:rPr>
          <w:rFonts w:ascii="Book Antiqua" w:hAnsi="Book Antiqua" w:cs="Times New Roman"/>
          <w:i/>
          <w:sz w:val="24"/>
          <w:szCs w:val="24"/>
        </w:rPr>
        <w:t xml:space="preserve"> in other Member States of the Union without the establishment of new branches. For that purpose, it shall comply with the information requirements for the cross-border provision of services and activities in Article 34 of Directive </w:t>
      </w:r>
      <w:hyperlink r:id="rId14" w:history="1">
        <w:r w:rsidRPr="008C1882">
          <w:rPr>
            <w:rFonts w:ascii="Book Antiqua" w:hAnsi="Book Antiqua" w:cs="Times New Roman"/>
            <w:i/>
            <w:sz w:val="24"/>
            <w:szCs w:val="24"/>
          </w:rPr>
          <w:t>2014/65/EU</w:t>
        </w:r>
      </w:hyperlink>
      <w:r w:rsidRPr="008C1882">
        <w:rPr>
          <w:rFonts w:ascii="Book Antiqua" w:hAnsi="Book Antiqua" w:cs="Times New Roman"/>
          <w:i/>
          <w:sz w:val="24"/>
          <w:szCs w:val="24"/>
        </w:rPr>
        <w:t>.</w:t>
      </w:r>
    </w:p>
    <w:p w14:paraId="031D529A" w14:textId="77777777" w:rsidR="00875E70" w:rsidRPr="008C1882" w:rsidRDefault="00875E70" w:rsidP="00875E70">
      <w:pPr>
        <w:tabs>
          <w:tab w:val="left" w:pos="851"/>
        </w:tabs>
        <w:autoSpaceDE w:val="0"/>
        <w:autoSpaceDN w:val="0"/>
        <w:adjustRightInd w:val="0"/>
        <w:spacing w:line="360" w:lineRule="auto"/>
        <w:ind w:left="851"/>
        <w:jc w:val="both"/>
        <w:rPr>
          <w:rFonts w:ascii="Book Antiqua" w:hAnsi="Book Antiqua" w:cs="Times New Roman"/>
          <w:i/>
          <w:sz w:val="24"/>
          <w:szCs w:val="24"/>
        </w:rPr>
      </w:pPr>
      <w:r w:rsidRPr="008C1882">
        <w:rPr>
          <w:rFonts w:ascii="Book Antiqua" w:hAnsi="Book Antiqua" w:cs="Times New Roman"/>
          <w:i/>
          <w:sz w:val="24"/>
          <w:szCs w:val="24"/>
        </w:rPr>
        <w:t xml:space="preserve">The branch shall remain subject to the supervision of the Member State where the branch is established in accordance with Article 39 of Directive </w:t>
      </w:r>
      <w:hyperlink r:id="rId15" w:history="1">
        <w:r w:rsidRPr="008C1882">
          <w:rPr>
            <w:rFonts w:ascii="Book Antiqua" w:hAnsi="Book Antiqua" w:cs="Times New Roman"/>
            <w:i/>
            <w:sz w:val="24"/>
            <w:szCs w:val="24"/>
          </w:rPr>
          <w:t>2014/65/EU</w:t>
        </w:r>
      </w:hyperlink>
      <w:r w:rsidRPr="008C1882">
        <w:rPr>
          <w:rFonts w:ascii="Book Antiqua" w:hAnsi="Book Antiqua" w:cs="Times New Roman"/>
          <w:i/>
          <w:sz w:val="24"/>
          <w:szCs w:val="24"/>
        </w:rPr>
        <w:t xml:space="preserve">. However, and without prejudice to the obligations to cooperate laid down in Directive </w:t>
      </w:r>
      <w:hyperlink r:id="rId16" w:history="1">
        <w:r w:rsidRPr="008C1882">
          <w:rPr>
            <w:rFonts w:ascii="Book Antiqua" w:hAnsi="Book Antiqua" w:cs="Times New Roman"/>
            <w:i/>
            <w:sz w:val="24"/>
            <w:szCs w:val="24"/>
          </w:rPr>
          <w:t>2014/65/EU</w:t>
        </w:r>
      </w:hyperlink>
      <w:r w:rsidRPr="008C1882">
        <w:rPr>
          <w:rFonts w:ascii="Book Antiqua" w:hAnsi="Book Antiqua" w:cs="Times New Roman"/>
          <w:i/>
          <w:sz w:val="24"/>
          <w:szCs w:val="24"/>
        </w:rPr>
        <w:t>, the competent authority of the Member State where the branch is established and the competent authority of the host Member State may establish proportionate cooperation agreements in order to ensure that the branch of the third-country firm providing investment services within the Union delivers the appropriate level of investor protection.</w:t>
      </w:r>
    </w:p>
    <w:p w14:paraId="16F69ADD" w14:textId="77777777" w:rsidR="00875E70" w:rsidRPr="008C1882" w:rsidRDefault="00875E70" w:rsidP="00875E70">
      <w:pPr>
        <w:tabs>
          <w:tab w:val="left" w:pos="851"/>
        </w:tabs>
        <w:spacing w:line="360" w:lineRule="auto"/>
        <w:ind w:left="851"/>
        <w:jc w:val="both"/>
        <w:rPr>
          <w:rFonts w:ascii="Book Antiqua" w:hAnsi="Book Antiqua" w:cs="Times New Roman"/>
          <w:sz w:val="24"/>
          <w:szCs w:val="24"/>
        </w:rPr>
      </w:pPr>
      <w:r w:rsidRPr="008C1882">
        <w:rPr>
          <w:rFonts w:ascii="Book Antiqua" w:hAnsi="Book Antiqua" w:cs="Times New Roman"/>
          <w:i/>
          <w:sz w:val="24"/>
          <w:szCs w:val="24"/>
        </w:rPr>
        <w:t>4. A third-country firm may no longer use the rights under Article 46(1) where the Commission adopts a decision in accordance with the examination procedure referred to in Article 51(2) withdrawing its decision under paragraph 1 of this Article in relation to that third country.”</w:t>
      </w:r>
    </w:p>
    <w:p w14:paraId="0D9FDD9E"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Article 47(1) provides that the Commission “may” adopt an equivalence decision and that the prudential and business conduct framework of a third country “may” be considered to have equivalent effect where that framework </w:t>
      </w:r>
      <w:proofErr w:type="spellStart"/>
      <w:r w:rsidRPr="008C1882">
        <w:rPr>
          <w:rFonts w:ascii="Book Antiqua" w:hAnsi="Book Antiqua"/>
          <w:sz w:val="24"/>
          <w:szCs w:val="24"/>
        </w:rPr>
        <w:t>fulfills</w:t>
      </w:r>
      <w:proofErr w:type="spellEnd"/>
      <w:r w:rsidRPr="008C1882">
        <w:rPr>
          <w:rFonts w:ascii="Book Antiqua" w:hAnsi="Book Antiqua"/>
          <w:sz w:val="24"/>
          <w:szCs w:val="24"/>
        </w:rPr>
        <w:t xml:space="preserve"> all of the conditions set out in Article 47(1).  The Commission has </w:t>
      </w:r>
      <w:proofErr w:type="gramStart"/>
      <w:r w:rsidRPr="008C1882">
        <w:rPr>
          <w:rFonts w:ascii="Book Antiqua" w:hAnsi="Book Antiqua"/>
          <w:sz w:val="24"/>
          <w:szCs w:val="24"/>
        </w:rPr>
        <w:t>a discretion</w:t>
      </w:r>
      <w:proofErr w:type="gramEnd"/>
      <w:r w:rsidRPr="008C1882">
        <w:rPr>
          <w:rFonts w:ascii="Book Antiqua" w:hAnsi="Book Antiqua"/>
          <w:sz w:val="24"/>
          <w:szCs w:val="24"/>
        </w:rPr>
        <w:t xml:space="preserve">, but is under no obligation to conclude the UK’s prudential and business conduct framework had equivalent effect even if all the conditions were fulfilled. </w:t>
      </w:r>
    </w:p>
    <w:p w14:paraId="4905ABE6"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lastRenderedPageBreak/>
        <w:t xml:space="preserve">Given that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will take effect before the UK leaves the EU it is perhaps unlikely that the UK’s conduct of business rules would be sufficiently divergent from the EU’s Level 1 Directive measures that, at the time of </w:t>
      </w:r>
      <w:proofErr w:type="spellStart"/>
      <w:r w:rsidRPr="008C1882">
        <w:rPr>
          <w:rFonts w:ascii="Book Antiqua" w:hAnsi="Book Antiqua"/>
          <w:sz w:val="24"/>
          <w:szCs w:val="24"/>
        </w:rPr>
        <w:t>Brexit</w:t>
      </w:r>
      <w:proofErr w:type="spellEnd"/>
      <w:r w:rsidRPr="008C1882">
        <w:rPr>
          <w:rFonts w:ascii="Book Antiqua" w:hAnsi="Book Antiqua"/>
          <w:sz w:val="24"/>
          <w:szCs w:val="24"/>
        </w:rPr>
        <w:t>, there would be an issue with Article 47(1)(d). However, as stated above, the position is less certain in respect of what are presently or anticipated to be directly applicable rules, and in any event the need to retain equivalence might</w:t>
      </w:r>
      <w:r w:rsidRPr="008C1882">
        <w:rPr>
          <w:rFonts w:ascii="Book Antiqua" w:hAnsi="Book Antiqua"/>
          <w:i/>
          <w:sz w:val="24"/>
          <w:szCs w:val="24"/>
        </w:rPr>
        <w:t xml:space="preserve"> </w:t>
      </w:r>
      <w:r w:rsidRPr="008C1882">
        <w:rPr>
          <w:rFonts w:ascii="Book Antiqua" w:hAnsi="Book Antiqua"/>
          <w:sz w:val="24"/>
          <w:szCs w:val="24"/>
        </w:rPr>
        <w:t xml:space="preserve">mean that any amendments to the rules in the future would have to mirror developments in the EU. </w:t>
      </w:r>
    </w:p>
    <w:p w14:paraId="79A0648D"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It is also worth noting that Article 46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envisages a lengthy registration process for third country firms. Article 46(4)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states that within 30 working days of receipt of the application, ESMA shall assess whether the application is complete. Within 180 working days of the submission of a complete application, ESMA shall inform the applicant third-country firm whether the registration has been granted or refused. Put more simply, it could take almost 11 calendar months from submission of a complete application to registration. </w:t>
      </w:r>
    </w:p>
    <w:p w14:paraId="193E78CD"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Article 47(2) of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would also impose co-operation requirements upon the UK authorities with ESMA.</w:t>
      </w:r>
    </w:p>
    <w:p w14:paraId="0CAD0274"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Article 47(3) of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provides that a third country firm established in a country whose legal and supervisory framework was equivalent and authorised in accordance with </w:t>
      </w:r>
      <w:proofErr w:type="spellStart"/>
      <w:r w:rsidRPr="008C1882">
        <w:rPr>
          <w:rFonts w:ascii="Book Antiqua" w:hAnsi="Book Antiqua"/>
          <w:sz w:val="24"/>
          <w:szCs w:val="24"/>
        </w:rPr>
        <w:t>Artcle</w:t>
      </w:r>
      <w:proofErr w:type="spellEnd"/>
      <w:r w:rsidRPr="008C1882">
        <w:rPr>
          <w:rFonts w:ascii="Book Antiqua" w:hAnsi="Book Antiqua"/>
          <w:sz w:val="24"/>
          <w:szCs w:val="24"/>
        </w:rPr>
        <w:t xml:space="preserve"> 39 of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shall be able to provide the services and activities covered under the authorization to eligible counterparties and professional clients (as defined).  In other words, UK firms could offer services to eligible counterparties and professional clients through an authorised branch in </w:t>
      </w:r>
      <w:proofErr w:type="gramStart"/>
      <w:r w:rsidRPr="008C1882">
        <w:rPr>
          <w:rFonts w:ascii="Book Antiqua" w:hAnsi="Book Antiqua"/>
          <w:sz w:val="24"/>
          <w:szCs w:val="24"/>
        </w:rPr>
        <w:t>an</w:t>
      </w:r>
      <w:proofErr w:type="gramEnd"/>
      <w:r w:rsidRPr="008C1882">
        <w:rPr>
          <w:rFonts w:ascii="Book Antiqua" w:hAnsi="Book Antiqua"/>
          <w:sz w:val="24"/>
          <w:szCs w:val="24"/>
        </w:rPr>
        <w:t xml:space="preserve"> EU member state </w:t>
      </w:r>
      <w:r w:rsidRPr="008C1882">
        <w:rPr>
          <w:rFonts w:ascii="Book Antiqua" w:hAnsi="Book Antiqua"/>
          <w:i/>
          <w:sz w:val="24"/>
          <w:szCs w:val="24"/>
        </w:rPr>
        <w:t xml:space="preserve">if </w:t>
      </w:r>
      <w:r w:rsidRPr="008C1882">
        <w:rPr>
          <w:rFonts w:ascii="Book Antiqua" w:hAnsi="Book Antiqua"/>
          <w:sz w:val="24"/>
          <w:szCs w:val="24"/>
        </w:rPr>
        <w:t xml:space="preserve">the UK had received a favourable equivalence decision and the EU member state in which the branch was authorised had implemented Article 39 of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t>
      </w:r>
    </w:p>
    <w:p w14:paraId="6443D589"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i/>
          <w:sz w:val="24"/>
          <w:szCs w:val="24"/>
        </w:rPr>
      </w:pPr>
      <w:r w:rsidRPr="008C1882">
        <w:rPr>
          <w:rFonts w:ascii="Book Antiqua" w:hAnsi="Book Antiqua"/>
          <w:sz w:val="24"/>
          <w:szCs w:val="24"/>
        </w:rPr>
        <w:t xml:space="preserve">Article 39(1) of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states: “</w:t>
      </w:r>
      <w:r w:rsidRPr="008C1882">
        <w:rPr>
          <w:rFonts w:ascii="Book Antiqua" w:hAnsi="Book Antiqua"/>
          <w:i/>
          <w:sz w:val="24"/>
          <w:szCs w:val="24"/>
        </w:rPr>
        <w:t xml:space="preserve">A Member State may require that a third-country firm intending to provide investment services or perform investment activities with or without any ancillary services to retail clients or to professional clients within the </w:t>
      </w:r>
      <w:r w:rsidRPr="008C1882">
        <w:rPr>
          <w:rFonts w:ascii="Book Antiqua" w:hAnsi="Book Antiqua"/>
          <w:i/>
          <w:sz w:val="24"/>
          <w:szCs w:val="24"/>
        </w:rPr>
        <w:lastRenderedPageBreak/>
        <w:t xml:space="preserve">meaning of Section II of Annex II </w:t>
      </w:r>
      <w:r w:rsidRPr="008C1882">
        <w:rPr>
          <w:rFonts w:ascii="Book Antiqua" w:hAnsi="Book Antiqua"/>
          <w:sz w:val="24"/>
          <w:szCs w:val="24"/>
        </w:rPr>
        <w:t>[clients who may be treated as professionals on request]</w:t>
      </w:r>
      <w:r w:rsidRPr="008C1882">
        <w:rPr>
          <w:rFonts w:ascii="Book Antiqua" w:hAnsi="Book Antiqua"/>
          <w:i/>
          <w:sz w:val="24"/>
          <w:szCs w:val="24"/>
        </w:rPr>
        <w:t xml:space="preserve"> in its territory establish a branch in that Member State</w:t>
      </w:r>
      <w:r w:rsidRPr="008C1882">
        <w:rPr>
          <w:rFonts w:ascii="Book Antiqua" w:hAnsi="Book Antiqua"/>
          <w:sz w:val="24"/>
          <w:szCs w:val="24"/>
        </w:rPr>
        <w:t xml:space="preserve">.” Article 39(2) sets out the conditions for prior authorisation of the branch by the member state.  </w:t>
      </w:r>
    </w:p>
    <w:p w14:paraId="1963C7DB" w14:textId="77777777" w:rsidR="00875E70" w:rsidRPr="008C1882" w:rsidRDefault="00875E70" w:rsidP="00875E70">
      <w:pPr>
        <w:tabs>
          <w:tab w:val="left" w:pos="567"/>
        </w:tabs>
        <w:spacing w:line="360" w:lineRule="auto"/>
        <w:ind w:left="567" w:hanging="567"/>
        <w:jc w:val="both"/>
        <w:rPr>
          <w:rFonts w:ascii="Book Antiqua" w:hAnsi="Book Antiqua" w:cs="Times New Roman"/>
          <w:sz w:val="24"/>
          <w:szCs w:val="24"/>
        </w:rPr>
      </w:pPr>
      <w:r w:rsidRPr="008C1882">
        <w:rPr>
          <w:rFonts w:ascii="Book Antiqua" w:hAnsi="Book Antiqua" w:cs="Times New Roman"/>
          <w:b/>
          <w:i/>
          <w:sz w:val="24"/>
          <w:szCs w:val="24"/>
        </w:rPr>
        <w:t>(2) Retail clients and elective professional clients</w:t>
      </w:r>
    </w:p>
    <w:p w14:paraId="23F6E34B"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For services to retail clients or clients who may be treated as professionals on request, third country firms will (except in cases of reverse solicitation pursuant to Article 42 of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need to seek authorisation to establish a branch in the member state pursuant to Article 39 of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(above) (or where Article 39 is not implemented, under national law). </w:t>
      </w:r>
    </w:p>
    <w:p w14:paraId="517A79B4" w14:textId="77777777" w:rsidR="00875E70" w:rsidRPr="008C1882" w:rsidRDefault="00875E70" w:rsidP="00875E70">
      <w:pPr>
        <w:tabs>
          <w:tab w:val="left" w:pos="567"/>
        </w:tabs>
        <w:spacing w:line="360" w:lineRule="auto"/>
        <w:ind w:left="567" w:hanging="567"/>
        <w:jc w:val="both"/>
        <w:rPr>
          <w:rFonts w:ascii="Book Antiqua" w:hAnsi="Book Antiqua" w:cs="Times New Roman"/>
          <w:sz w:val="24"/>
          <w:szCs w:val="24"/>
        </w:rPr>
      </w:pPr>
    </w:p>
    <w:p w14:paraId="629BD6D7" w14:textId="77777777" w:rsidR="00875E70" w:rsidRPr="008C1882" w:rsidRDefault="00875E70" w:rsidP="004A007E">
      <w:pPr>
        <w:tabs>
          <w:tab w:val="left" w:pos="0"/>
        </w:tabs>
        <w:jc w:val="both"/>
        <w:rPr>
          <w:rFonts w:ascii="Book Antiqua" w:hAnsi="Book Antiqua" w:cs="Times New Roman"/>
          <w:sz w:val="24"/>
          <w:szCs w:val="24"/>
        </w:rPr>
      </w:pPr>
      <w:r w:rsidRPr="008C1882">
        <w:rPr>
          <w:rFonts w:ascii="Book Antiqua" w:hAnsi="Book Antiqua" w:cs="Times New Roman"/>
          <w:b/>
          <w:sz w:val="24"/>
          <w:szCs w:val="24"/>
          <w:u w:val="single"/>
        </w:rPr>
        <w:t xml:space="preserve">E. Some </w:t>
      </w:r>
      <w:proofErr w:type="spellStart"/>
      <w:r w:rsidRPr="008C1882">
        <w:rPr>
          <w:rFonts w:ascii="Book Antiqua" w:hAnsi="Book Antiqua" w:cs="Times New Roman"/>
          <w:b/>
          <w:sz w:val="24"/>
          <w:szCs w:val="24"/>
          <w:u w:val="single"/>
        </w:rPr>
        <w:t>MifID</w:t>
      </w:r>
      <w:proofErr w:type="spellEnd"/>
      <w:r w:rsidRPr="008C1882">
        <w:rPr>
          <w:rFonts w:ascii="Book Antiqua" w:hAnsi="Book Antiqua" w:cs="Times New Roman"/>
          <w:b/>
          <w:sz w:val="24"/>
          <w:szCs w:val="24"/>
          <w:u w:val="single"/>
        </w:rPr>
        <w:t>/</w:t>
      </w:r>
      <w:proofErr w:type="spellStart"/>
      <w:r w:rsidRPr="008C1882">
        <w:rPr>
          <w:rFonts w:ascii="Book Antiqua" w:hAnsi="Book Antiqua" w:cs="Times New Roman"/>
          <w:b/>
          <w:sz w:val="24"/>
          <w:szCs w:val="24"/>
          <w:u w:val="single"/>
        </w:rPr>
        <w:t>MiFID</w:t>
      </w:r>
      <w:proofErr w:type="spellEnd"/>
      <w:r w:rsidRPr="008C1882">
        <w:rPr>
          <w:rFonts w:ascii="Book Antiqua" w:hAnsi="Book Antiqua" w:cs="Times New Roman"/>
          <w:b/>
          <w:sz w:val="24"/>
          <w:szCs w:val="24"/>
          <w:u w:val="single"/>
        </w:rPr>
        <w:t xml:space="preserve"> II/</w:t>
      </w:r>
      <w:proofErr w:type="spellStart"/>
      <w:r w:rsidRPr="008C1882">
        <w:rPr>
          <w:rFonts w:ascii="Book Antiqua" w:hAnsi="Book Antiqua" w:cs="Times New Roman"/>
          <w:b/>
          <w:sz w:val="24"/>
          <w:szCs w:val="24"/>
          <w:u w:val="single"/>
        </w:rPr>
        <w:t>MiFIR</w:t>
      </w:r>
      <w:proofErr w:type="spellEnd"/>
      <w:r w:rsidRPr="008C1882">
        <w:rPr>
          <w:rFonts w:ascii="Book Antiqua" w:hAnsi="Book Antiqua" w:cs="Times New Roman"/>
          <w:b/>
          <w:sz w:val="24"/>
          <w:szCs w:val="24"/>
          <w:u w:val="single"/>
        </w:rPr>
        <w:t xml:space="preserve"> </w:t>
      </w:r>
      <w:proofErr w:type="spellStart"/>
      <w:r w:rsidRPr="008C1882">
        <w:rPr>
          <w:rFonts w:ascii="Book Antiqua" w:hAnsi="Book Antiqua" w:cs="Times New Roman"/>
          <w:b/>
          <w:sz w:val="24"/>
          <w:szCs w:val="24"/>
          <w:u w:val="single"/>
        </w:rPr>
        <w:t>Passporting</w:t>
      </w:r>
      <w:proofErr w:type="spellEnd"/>
      <w:r w:rsidRPr="008C1882">
        <w:rPr>
          <w:rFonts w:ascii="Book Antiqua" w:hAnsi="Book Antiqua" w:cs="Times New Roman"/>
          <w:b/>
          <w:sz w:val="24"/>
          <w:szCs w:val="24"/>
          <w:u w:val="single"/>
        </w:rPr>
        <w:t xml:space="preserve"> and Equivalence issues arising for consideration</w:t>
      </w:r>
    </w:p>
    <w:p w14:paraId="0F8DD7E4"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The UK Government will clearly be considering wider issues surrounding access to the single market and membership of the EU and </w:t>
      </w:r>
      <w:proofErr w:type="gramStart"/>
      <w:r w:rsidRPr="008C1882">
        <w:rPr>
          <w:rFonts w:ascii="Book Antiqua" w:hAnsi="Book Antiqua"/>
          <w:sz w:val="24"/>
          <w:szCs w:val="24"/>
        </w:rPr>
        <w:t>EEA which</w:t>
      </w:r>
      <w:proofErr w:type="gramEnd"/>
      <w:r w:rsidRPr="008C1882">
        <w:rPr>
          <w:rFonts w:ascii="Book Antiqua" w:hAnsi="Book Antiqua"/>
          <w:sz w:val="24"/>
          <w:szCs w:val="24"/>
        </w:rPr>
        <w:t xml:space="preserve"> are beyond the scope of this section of the paper. We do not discount the fact that a negotiated alternative to the choice of remaining in the EEA or leaving the EEA might be achievable but without a detailed proposal from the Government it seems – in this context - </w:t>
      </w:r>
      <w:proofErr w:type="gramStart"/>
      <w:r w:rsidRPr="008C1882">
        <w:rPr>
          <w:rFonts w:ascii="Book Antiqua" w:hAnsi="Book Antiqua"/>
          <w:sz w:val="24"/>
          <w:szCs w:val="24"/>
        </w:rPr>
        <w:t>neither practicable or</w:t>
      </w:r>
      <w:proofErr w:type="gramEnd"/>
      <w:r w:rsidRPr="008C1882">
        <w:rPr>
          <w:rFonts w:ascii="Book Antiqua" w:hAnsi="Book Antiqua"/>
          <w:sz w:val="24"/>
          <w:szCs w:val="24"/>
        </w:rPr>
        <w:t xml:space="preserve"> helpful to comment.</w:t>
      </w:r>
      <w:r w:rsidRPr="008C1882">
        <w:rPr>
          <w:rStyle w:val="FootnoteReference"/>
          <w:rFonts w:ascii="Book Antiqua" w:hAnsi="Book Antiqua"/>
          <w:sz w:val="24"/>
          <w:szCs w:val="24"/>
        </w:rPr>
        <w:footnoteReference w:id="26"/>
      </w:r>
      <w:r w:rsidRPr="008C1882">
        <w:rPr>
          <w:rFonts w:ascii="Book Antiqua" w:hAnsi="Book Antiqua"/>
          <w:sz w:val="24"/>
          <w:szCs w:val="24"/>
        </w:rPr>
        <w:t xml:space="preserve"> In respect of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and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we respectfully raise </w:t>
      </w:r>
      <w:r w:rsidRPr="008C1882">
        <w:rPr>
          <w:rFonts w:ascii="Book Antiqua" w:hAnsi="Book Antiqua"/>
          <w:b/>
          <w:sz w:val="24"/>
          <w:szCs w:val="24"/>
        </w:rPr>
        <w:t xml:space="preserve">seven </w:t>
      </w:r>
      <w:r w:rsidRPr="008C1882">
        <w:rPr>
          <w:rFonts w:ascii="Book Antiqua" w:hAnsi="Book Antiqua"/>
          <w:sz w:val="24"/>
          <w:szCs w:val="24"/>
        </w:rPr>
        <w:t>broad issues for consideration.</w:t>
      </w:r>
    </w:p>
    <w:p w14:paraId="4F9FFAE0"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b/>
          <w:sz w:val="24"/>
          <w:szCs w:val="24"/>
        </w:rPr>
        <w:t xml:space="preserve">First, </w:t>
      </w:r>
      <w:r w:rsidRPr="008C1882">
        <w:rPr>
          <w:rFonts w:ascii="Book Antiqua" w:hAnsi="Book Antiqua"/>
          <w:sz w:val="24"/>
          <w:szCs w:val="24"/>
        </w:rPr>
        <w:t xml:space="preserve">UK based firms will likely have a period during which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and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are in place but before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and so face the costs in ensuring compliance with the new regime as it is implemented in the UK during an transitional period.</w:t>
      </w:r>
    </w:p>
    <w:p w14:paraId="4768544B"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b/>
          <w:sz w:val="24"/>
          <w:szCs w:val="24"/>
        </w:rPr>
        <w:t>Second</w:t>
      </w:r>
      <w:r w:rsidRPr="008C1882">
        <w:rPr>
          <w:rFonts w:ascii="Book Antiqua" w:hAnsi="Book Antiqua"/>
          <w:sz w:val="24"/>
          <w:szCs w:val="24"/>
        </w:rPr>
        <w:t xml:space="preserve">, if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means that the UK leaves the EEA then consideration will no doubt be given to whether or not a negotiated alternative to third country status is desirable and can be achieved. A possible alternative is for the UK and </w:t>
      </w:r>
      <w:r w:rsidRPr="008C1882">
        <w:rPr>
          <w:rFonts w:ascii="Book Antiqua" w:hAnsi="Book Antiqua"/>
          <w:sz w:val="24"/>
          <w:szCs w:val="24"/>
        </w:rPr>
        <w:lastRenderedPageBreak/>
        <w:t xml:space="preserve">the EU, or even certain key Member States each on a bilateral basis, to negotiate a bespoke deal on mutual access to investment markets. However, we regard that as a more complex, uncertain and politically precarious route to maintaining access to investment markets for UK firms. If third country status is unachievable, i.e. because the EU does not regard the UK regime as equivalent, it is difficult to envisage circumstances where a viable deal could be achieved by this alternative route. </w:t>
      </w:r>
    </w:p>
    <w:p w14:paraId="087690D3"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b/>
          <w:sz w:val="24"/>
          <w:szCs w:val="24"/>
        </w:rPr>
        <w:t xml:space="preserve">Third, </w:t>
      </w:r>
      <w:r w:rsidRPr="008C1882">
        <w:rPr>
          <w:rFonts w:ascii="Book Antiqua" w:hAnsi="Book Antiqua"/>
          <w:sz w:val="24"/>
          <w:szCs w:val="24"/>
        </w:rPr>
        <w:t xml:space="preserve">if the UK acquires third country status when </w:t>
      </w:r>
      <w:proofErr w:type="spellStart"/>
      <w:r w:rsidRPr="008C1882">
        <w:rPr>
          <w:rFonts w:ascii="Book Antiqua" w:hAnsi="Book Antiqua"/>
          <w:sz w:val="24"/>
          <w:szCs w:val="24"/>
        </w:rPr>
        <w:t>Brexit</w:t>
      </w:r>
      <w:proofErr w:type="spellEnd"/>
      <w:r w:rsidRPr="008C1882">
        <w:rPr>
          <w:rFonts w:ascii="Book Antiqua" w:hAnsi="Book Antiqua"/>
          <w:b/>
          <w:sz w:val="24"/>
          <w:szCs w:val="24"/>
        </w:rPr>
        <w:t xml:space="preserve"> </w:t>
      </w:r>
      <w:r w:rsidRPr="008C1882">
        <w:rPr>
          <w:rFonts w:ascii="Book Antiqua" w:hAnsi="Book Antiqua"/>
          <w:sz w:val="24"/>
          <w:szCs w:val="24"/>
        </w:rPr>
        <w:t xml:space="preserve">takes </w:t>
      </w:r>
      <w:proofErr w:type="gramStart"/>
      <w:r w:rsidRPr="008C1882">
        <w:rPr>
          <w:rFonts w:ascii="Book Antiqua" w:hAnsi="Book Antiqua"/>
          <w:sz w:val="24"/>
          <w:szCs w:val="24"/>
        </w:rPr>
        <w:t>effect,</w:t>
      </w:r>
      <w:r w:rsidRPr="008C1882">
        <w:rPr>
          <w:rFonts w:ascii="Book Antiqua" w:hAnsi="Book Antiqua"/>
          <w:b/>
          <w:sz w:val="24"/>
          <w:szCs w:val="24"/>
        </w:rPr>
        <w:t xml:space="preserve"> </w:t>
      </w:r>
      <w:r w:rsidRPr="008C1882">
        <w:rPr>
          <w:rFonts w:ascii="Book Antiqua" w:hAnsi="Book Antiqua"/>
          <w:sz w:val="24"/>
          <w:szCs w:val="24"/>
        </w:rPr>
        <w:t>that</w:t>
      </w:r>
      <w:proofErr w:type="gramEnd"/>
      <w:r w:rsidRPr="008C1882">
        <w:rPr>
          <w:rFonts w:ascii="Book Antiqua" w:hAnsi="Book Antiqua"/>
          <w:sz w:val="24"/>
          <w:szCs w:val="24"/>
        </w:rPr>
        <w:t xml:space="preserve"> will heavily impact the access that UK firms are likely to have to the EU (particularly in respect of retail and elective professional clients). </w:t>
      </w:r>
    </w:p>
    <w:p w14:paraId="479E9E62"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b/>
          <w:sz w:val="24"/>
          <w:szCs w:val="24"/>
        </w:rPr>
        <w:t xml:space="preserve">Fourth, </w:t>
      </w:r>
      <w:r w:rsidRPr="008C1882">
        <w:rPr>
          <w:rFonts w:ascii="Book Antiqua" w:hAnsi="Book Antiqua"/>
          <w:sz w:val="24"/>
          <w:szCs w:val="24"/>
        </w:rPr>
        <w:t xml:space="preserve">the impact of the loss of a reciprocal passport arrangement would also affect firms in other EU member states and that might militate in favour of a negotiated alternative to third country status for the UK.  By way of illustration, as noted above 988 firms had inbound passports under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and, in relation to some other Directives, the number of inbound passports outnumbers the outbound (e.g. the Insurance Mediation Directive, the UCITS Directive, CRD IV and Solvency II Directive). </w:t>
      </w:r>
    </w:p>
    <w:p w14:paraId="2B2EE421"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b/>
          <w:sz w:val="24"/>
          <w:szCs w:val="24"/>
        </w:rPr>
        <w:t xml:space="preserve">Fifth, </w:t>
      </w:r>
      <w:r w:rsidRPr="008C1882">
        <w:rPr>
          <w:rFonts w:ascii="Book Antiqua" w:hAnsi="Book Antiqua"/>
          <w:sz w:val="24"/>
          <w:szCs w:val="24"/>
        </w:rPr>
        <w:t xml:space="preserve">if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means that the UK has “third country” status then it is obviously desirable that a decision to seek a favourable equivalence decision from the Commission is communicated in sufficient time for UK firms to factor that into their plans. The importance of this is compounded by the fact that the mechanism by which third country firm can register for access under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could – even if the application was complete - take almost 11 calendar months. </w:t>
      </w:r>
    </w:p>
    <w:p w14:paraId="40F28740"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b/>
          <w:sz w:val="24"/>
          <w:szCs w:val="24"/>
        </w:rPr>
        <w:t xml:space="preserve">Sixth, </w:t>
      </w:r>
      <w:r w:rsidRPr="008C1882">
        <w:rPr>
          <w:rFonts w:ascii="Book Antiqua" w:hAnsi="Book Antiqua"/>
          <w:sz w:val="24"/>
          <w:szCs w:val="24"/>
        </w:rPr>
        <w:t xml:space="preserve">depending on the arrangements made, there is arguably an opportunity to create a local lighter touch regulatory regime in relation to areas that have proved controversial. A good example of this is the limit on the holding of net positions in commodity derivatives traded on trading venues and economically equivalent OTC contracts. This was a controversial element of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The UK rejected the underlying rationale for the position limit framework but </w:t>
      </w:r>
      <w:r w:rsidRPr="008C1882">
        <w:rPr>
          <w:rFonts w:ascii="Book Antiqua" w:hAnsi="Book Antiqua"/>
          <w:sz w:val="24"/>
          <w:szCs w:val="24"/>
        </w:rPr>
        <w:lastRenderedPageBreak/>
        <w:t xml:space="preserve">accepted that removal of position limits altogether was not viable. It therefore sought to minimise the harm position limits could do to the liquidity of the UK’s commodity market. If regulation of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activities were to be reassessed following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position limits would arguably be a candidate for removal from the UK rulebook. We say “arguably” because the UK Government might consider that the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regime is one which it would wish to maintain, because the benefits of membership of the single market in investment services outstrips the costs of certain rules of membership. If equivalence is sought then as noted above it seems likely the rules for professional clients and eligible counter parties will continue to mirror developments in the EU. </w:t>
      </w:r>
    </w:p>
    <w:p w14:paraId="333B841C" w14:textId="77777777" w:rsidR="00875E70" w:rsidRPr="008C1882" w:rsidRDefault="00875E70" w:rsidP="00875E70">
      <w:pPr>
        <w:pStyle w:val="ListParagraph"/>
        <w:numPr>
          <w:ilvl w:val="0"/>
          <w:numId w:val="17"/>
        </w:numPr>
        <w:tabs>
          <w:tab w:val="left" w:pos="567"/>
        </w:tabs>
        <w:spacing w:line="360" w:lineRule="auto"/>
        <w:ind w:left="567" w:hanging="567"/>
        <w:contextualSpacing w:val="0"/>
        <w:jc w:val="both"/>
        <w:rPr>
          <w:rFonts w:ascii="Book Antiqua" w:hAnsi="Book Antiqua"/>
          <w:sz w:val="24"/>
          <w:szCs w:val="24"/>
        </w:rPr>
      </w:pPr>
      <w:r w:rsidRPr="008C1882">
        <w:rPr>
          <w:rFonts w:ascii="Book Antiqua" w:hAnsi="Book Antiqua"/>
          <w:b/>
          <w:sz w:val="24"/>
          <w:szCs w:val="24"/>
        </w:rPr>
        <w:t xml:space="preserve">Seventh, </w:t>
      </w:r>
      <w:r w:rsidRPr="008C1882">
        <w:rPr>
          <w:rFonts w:ascii="Book Antiqua" w:hAnsi="Book Antiqua"/>
          <w:sz w:val="24"/>
          <w:szCs w:val="24"/>
        </w:rPr>
        <w:t xml:space="preserve">if a favourable equivalence decision is going to be sought, the UK Government, HM Treasury and the FCA will no doubt liaise with EU institutions and regulators in order to maximize the prospects of the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regime being implemented in a way likely to satisfy the Commission. To date, the UK has enjoyed a strong position in the Council when negotiating EU legislative texts, including in respect of </w:t>
      </w: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w:t>
      </w:r>
      <w:proofErr w:type="gramStart"/>
      <w:r w:rsidRPr="008C1882">
        <w:rPr>
          <w:rFonts w:ascii="Book Antiqua" w:hAnsi="Book Antiqua"/>
          <w:sz w:val="24"/>
          <w:szCs w:val="24"/>
        </w:rPr>
        <w:t xml:space="preserve">and  </w:t>
      </w:r>
      <w:proofErr w:type="spellStart"/>
      <w:r w:rsidRPr="008C1882">
        <w:rPr>
          <w:rFonts w:ascii="Book Antiqua" w:hAnsi="Book Antiqua"/>
          <w:sz w:val="24"/>
          <w:szCs w:val="24"/>
        </w:rPr>
        <w:t>MiFID</w:t>
      </w:r>
      <w:proofErr w:type="spellEnd"/>
      <w:proofErr w:type="gramEnd"/>
      <w:r w:rsidRPr="008C1882">
        <w:rPr>
          <w:rFonts w:ascii="Book Antiqua" w:hAnsi="Book Antiqua"/>
          <w:sz w:val="24"/>
          <w:szCs w:val="24"/>
        </w:rPr>
        <w:t xml:space="preserve"> II. If third country status is to work, and to work successfully, the UK will have to continue to negotiate and cooperate with the EU institutions in order to create and maintain a workable alternative to EU membership, in respect of the mutual access to investment markets. </w:t>
      </w:r>
    </w:p>
    <w:p w14:paraId="0D47E231" w14:textId="77777777" w:rsidR="00875E70" w:rsidRPr="008C1882" w:rsidRDefault="00875E70" w:rsidP="00875E70">
      <w:pPr>
        <w:tabs>
          <w:tab w:val="left" w:pos="567"/>
        </w:tabs>
        <w:spacing w:line="360" w:lineRule="auto"/>
        <w:jc w:val="both"/>
        <w:rPr>
          <w:rFonts w:ascii="Book Antiqua" w:hAnsi="Book Antiqua"/>
          <w:sz w:val="24"/>
          <w:szCs w:val="24"/>
        </w:rPr>
      </w:pPr>
    </w:p>
    <w:p w14:paraId="19BD383C" w14:textId="77777777" w:rsidR="00875E70" w:rsidRPr="008C1882" w:rsidRDefault="00875E70" w:rsidP="004A007E">
      <w:pPr>
        <w:tabs>
          <w:tab w:val="left" w:pos="567"/>
        </w:tabs>
        <w:jc w:val="both"/>
        <w:rPr>
          <w:rFonts w:ascii="Book Antiqua" w:hAnsi="Book Antiqua"/>
          <w:b/>
          <w:sz w:val="24"/>
          <w:szCs w:val="24"/>
          <w:u w:val="single"/>
        </w:rPr>
      </w:pPr>
      <w:r w:rsidRPr="008C1882">
        <w:rPr>
          <w:rFonts w:ascii="Book Antiqua" w:hAnsi="Book Antiqua"/>
          <w:b/>
          <w:sz w:val="24"/>
          <w:szCs w:val="24"/>
          <w:u w:val="single"/>
        </w:rPr>
        <w:t xml:space="preserve">F. Brief observations on the effect of </w:t>
      </w:r>
      <w:proofErr w:type="spellStart"/>
      <w:r w:rsidRPr="008C1882">
        <w:rPr>
          <w:rFonts w:ascii="Book Antiqua" w:hAnsi="Book Antiqua"/>
          <w:b/>
          <w:sz w:val="24"/>
          <w:szCs w:val="24"/>
          <w:u w:val="single"/>
        </w:rPr>
        <w:t>Brexit</w:t>
      </w:r>
      <w:proofErr w:type="spellEnd"/>
      <w:r w:rsidRPr="008C1882">
        <w:rPr>
          <w:rFonts w:ascii="Book Antiqua" w:hAnsi="Book Antiqua"/>
          <w:b/>
          <w:sz w:val="24"/>
          <w:szCs w:val="24"/>
          <w:u w:val="single"/>
        </w:rPr>
        <w:t xml:space="preserve"> on the resolution of financial services disputes in the UK relating to services governed by </w:t>
      </w:r>
      <w:proofErr w:type="spellStart"/>
      <w:r w:rsidRPr="008C1882">
        <w:rPr>
          <w:rFonts w:ascii="Book Antiqua" w:hAnsi="Book Antiqua"/>
          <w:b/>
          <w:sz w:val="24"/>
          <w:szCs w:val="24"/>
          <w:u w:val="single"/>
        </w:rPr>
        <w:t>MiFIR</w:t>
      </w:r>
      <w:proofErr w:type="spellEnd"/>
    </w:p>
    <w:p w14:paraId="0B2325C0" w14:textId="77777777" w:rsidR="00875E70" w:rsidRPr="008C1882" w:rsidRDefault="00875E70" w:rsidP="00875E70">
      <w:pPr>
        <w:pStyle w:val="ListParagraph"/>
        <w:numPr>
          <w:ilvl w:val="0"/>
          <w:numId w:val="17"/>
        </w:numPr>
        <w:tabs>
          <w:tab w:val="left" w:pos="851"/>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Article 46(6) of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provides that: </w:t>
      </w:r>
    </w:p>
    <w:p w14:paraId="5E6BE2F5" w14:textId="77777777" w:rsidR="00875E70" w:rsidRPr="008C1882" w:rsidRDefault="00875E70" w:rsidP="00875E70">
      <w:pPr>
        <w:pStyle w:val="ListParagraph"/>
        <w:tabs>
          <w:tab w:val="left" w:pos="851"/>
        </w:tabs>
        <w:spacing w:line="360" w:lineRule="auto"/>
        <w:ind w:left="851"/>
        <w:contextualSpacing w:val="0"/>
        <w:jc w:val="both"/>
        <w:rPr>
          <w:rFonts w:ascii="Book Antiqua" w:hAnsi="Book Antiqua"/>
          <w:sz w:val="24"/>
          <w:szCs w:val="24"/>
        </w:rPr>
      </w:pPr>
      <w:r w:rsidRPr="008C1882">
        <w:rPr>
          <w:rFonts w:ascii="Book Antiqua" w:hAnsi="Book Antiqua"/>
          <w:sz w:val="24"/>
          <w:szCs w:val="24"/>
        </w:rPr>
        <w:t>“</w:t>
      </w:r>
      <w:r w:rsidRPr="008C1882">
        <w:rPr>
          <w:rFonts w:ascii="Book Antiqua" w:hAnsi="Book Antiqua"/>
          <w:i/>
          <w:sz w:val="24"/>
          <w:szCs w:val="24"/>
        </w:rPr>
        <w:t>Third-country firms providing services or performing activities in accordance with this Article shall, before providing any service or performing any activity in relation to a client established in the Union, offer to submit any disputes relating to those services or activities to the jurisdiction of a court or arbitral tribunal in a Member State</w:t>
      </w:r>
      <w:r w:rsidRPr="008C1882">
        <w:rPr>
          <w:rFonts w:ascii="Book Antiqua" w:hAnsi="Book Antiqua"/>
          <w:sz w:val="24"/>
          <w:szCs w:val="24"/>
        </w:rPr>
        <w:t>”.</w:t>
      </w:r>
    </w:p>
    <w:p w14:paraId="6BEEB149" w14:textId="77777777" w:rsidR="00875E70" w:rsidRPr="008C1882" w:rsidRDefault="00875E70" w:rsidP="00875E70">
      <w:pPr>
        <w:pStyle w:val="ListParagraph"/>
        <w:numPr>
          <w:ilvl w:val="0"/>
          <w:numId w:val="17"/>
        </w:numPr>
        <w:tabs>
          <w:tab w:val="left" w:pos="851"/>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lastRenderedPageBreak/>
        <w:t xml:space="preserve">In our view, in the absence of special measures, the introduction of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combined with </w:t>
      </w:r>
      <w:proofErr w:type="spellStart"/>
      <w:r w:rsidRPr="008C1882">
        <w:rPr>
          <w:rFonts w:ascii="Book Antiqua" w:hAnsi="Book Antiqua"/>
          <w:sz w:val="24"/>
          <w:szCs w:val="24"/>
        </w:rPr>
        <w:t>Brexit</w:t>
      </w:r>
      <w:proofErr w:type="spellEnd"/>
      <w:r w:rsidRPr="008C1882">
        <w:rPr>
          <w:rFonts w:ascii="Book Antiqua" w:hAnsi="Book Antiqua"/>
          <w:sz w:val="24"/>
          <w:szCs w:val="24"/>
        </w:rPr>
        <w:t xml:space="preserve">, could well have a detrimental impact on litigation and arbitration in the UK. </w:t>
      </w:r>
    </w:p>
    <w:p w14:paraId="3F142705" w14:textId="77777777" w:rsidR="00875E70" w:rsidRPr="008C1882" w:rsidRDefault="00875E70" w:rsidP="00875E70">
      <w:pPr>
        <w:pStyle w:val="ListParagraph"/>
        <w:numPr>
          <w:ilvl w:val="0"/>
          <w:numId w:val="17"/>
        </w:numPr>
        <w:tabs>
          <w:tab w:val="left" w:pos="851"/>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In particular, firms established in the EU seeking services subject to </w:t>
      </w:r>
      <w:proofErr w:type="spellStart"/>
      <w:r w:rsidRPr="008C1882">
        <w:rPr>
          <w:rFonts w:ascii="Book Antiqua" w:hAnsi="Book Antiqua"/>
          <w:sz w:val="24"/>
          <w:szCs w:val="24"/>
        </w:rPr>
        <w:t>MiFIR</w:t>
      </w:r>
      <w:proofErr w:type="spellEnd"/>
      <w:r w:rsidRPr="008C1882">
        <w:rPr>
          <w:rFonts w:ascii="Book Antiqua" w:hAnsi="Book Antiqua"/>
          <w:sz w:val="24"/>
          <w:szCs w:val="24"/>
        </w:rPr>
        <w:t xml:space="preserve"> from third-party firms who are offered a choice might insist that any disputes be subject to the jurisdiction of a Member State, or be arbitrated in a seat of a Member State, rather than this jurisdiction, especially where such EU firms have no or little connection to this jurisdiction.</w:t>
      </w:r>
    </w:p>
    <w:p w14:paraId="4859A661" w14:textId="77777777" w:rsidR="007D0649" w:rsidRDefault="00875E70" w:rsidP="007D0649">
      <w:pPr>
        <w:pStyle w:val="ListParagraph"/>
        <w:numPr>
          <w:ilvl w:val="0"/>
          <w:numId w:val="17"/>
        </w:numPr>
        <w:tabs>
          <w:tab w:val="left" w:pos="851"/>
        </w:tabs>
        <w:spacing w:line="360" w:lineRule="auto"/>
        <w:ind w:left="567" w:hanging="567"/>
        <w:contextualSpacing w:val="0"/>
        <w:jc w:val="both"/>
        <w:rPr>
          <w:rFonts w:ascii="Book Antiqua" w:hAnsi="Book Antiqua"/>
          <w:sz w:val="24"/>
          <w:szCs w:val="24"/>
        </w:rPr>
      </w:pPr>
      <w:r w:rsidRPr="008C1882">
        <w:rPr>
          <w:rFonts w:ascii="Book Antiqua" w:hAnsi="Book Antiqua"/>
          <w:sz w:val="24"/>
          <w:szCs w:val="24"/>
        </w:rPr>
        <w:t xml:space="preserve">Article 46(6) might even lead third-country </w:t>
      </w:r>
      <w:proofErr w:type="gramStart"/>
      <w:r w:rsidRPr="008C1882">
        <w:rPr>
          <w:rFonts w:ascii="Book Antiqua" w:hAnsi="Book Antiqua"/>
          <w:sz w:val="24"/>
          <w:szCs w:val="24"/>
        </w:rPr>
        <w:t>firms which</w:t>
      </w:r>
      <w:proofErr w:type="gramEnd"/>
      <w:r w:rsidRPr="008C1882">
        <w:rPr>
          <w:rFonts w:ascii="Book Antiqua" w:hAnsi="Book Antiqua"/>
          <w:sz w:val="24"/>
          <w:szCs w:val="24"/>
        </w:rPr>
        <w:t xml:space="preserve"> routinely deal with firms within the EU to provide for jurisdictions or seats other than this jurisdiction in their contractual dispute resolution clauses as a matter of course in order to avoid the need to negotiate an English &amp; Welsh seat or jurisdiction. </w:t>
      </w:r>
    </w:p>
    <w:p w14:paraId="72FA4341" w14:textId="0E77FC4C" w:rsidR="00875E70" w:rsidRPr="007D0649" w:rsidRDefault="007D0649" w:rsidP="007D0649">
      <w:pPr>
        <w:pStyle w:val="ListParagraph"/>
        <w:numPr>
          <w:ilvl w:val="0"/>
          <w:numId w:val="17"/>
        </w:numPr>
        <w:tabs>
          <w:tab w:val="left" w:pos="851"/>
        </w:tabs>
        <w:spacing w:line="360" w:lineRule="auto"/>
        <w:ind w:left="567" w:hanging="567"/>
        <w:contextualSpacing w:val="0"/>
        <w:jc w:val="both"/>
        <w:rPr>
          <w:rFonts w:ascii="Book Antiqua" w:hAnsi="Book Antiqua"/>
          <w:sz w:val="24"/>
          <w:szCs w:val="24"/>
        </w:rPr>
      </w:pPr>
      <w:r w:rsidRPr="007D0649">
        <w:rPr>
          <w:rFonts w:ascii="Book Antiqua" w:hAnsi="Book Antiqua" w:cs="Times New Roman"/>
          <w:sz w:val="24"/>
          <w:szCs w:val="24"/>
        </w:rPr>
        <w:t xml:space="preserve">In our view, therefore, the Government should give consideration to seeing whether it could be agreed that the UK would not be treated as a “third country” for the purposes of MIFIR. However, we recognise that this issue would probably not be considered in isolation and would need to be assessed together with broader issues relating to financial services and in particular the question of </w:t>
      </w:r>
      <w:proofErr w:type="spellStart"/>
      <w:r w:rsidRPr="007D0649">
        <w:rPr>
          <w:rFonts w:ascii="Book Antiqua" w:hAnsi="Book Antiqua" w:cs="Times New Roman"/>
          <w:sz w:val="24"/>
          <w:szCs w:val="24"/>
        </w:rPr>
        <w:t>passporting</w:t>
      </w:r>
      <w:proofErr w:type="spellEnd"/>
      <w:r w:rsidRPr="007D0649">
        <w:rPr>
          <w:rFonts w:ascii="Book Antiqua" w:hAnsi="Book Antiqua" w:cs="Times New Roman"/>
          <w:sz w:val="24"/>
          <w:szCs w:val="24"/>
        </w:rPr>
        <w:t xml:space="preserve"> in general.</w:t>
      </w:r>
    </w:p>
    <w:p w14:paraId="05F30AC8" w14:textId="77777777" w:rsidR="00875E70" w:rsidRPr="008C1882" w:rsidRDefault="00875E70" w:rsidP="00875E70">
      <w:pPr>
        <w:pStyle w:val="ListParagraph"/>
        <w:numPr>
          <w:ilvl w:val="0"/>
          <w:numId w:val="17"/>
        </w:numPr>
        <w:tabs>
          <w:tab w:val="left" w:pos="851"/>
        </w:tabs>
        <w:spacing w:line="360" w:lineRule="auto"/>
        <w:ind w:left="567" w:hanging="567"/>
        <w:contextualSpacing w:val="0"/>
        <w:jc w:val="both"/>
        <w:rPr>
          <w:rFonts w:ascii="Book Antiqua" w:hAnsi="Book Antiqua"/>
          <w:sz w:val="24"/>
          <w:szCs w:val="24"/>
        </w:rPr>
      </w:pPr>
      <w:proofErr w:type="spellStart"/>
      <w:r w:rsidRPr="008C1882">
        <w:rPr>
          <w:rFonts w:ascii="Book Antiqua" w:hAnsi="Book Antiqua"/>
          <w:sz w:val="24"/>
          <w:szCs w:val="24"/>
        </w:rPr>
        <w:t>MiFID</w:t>
      </w:r>
      <w:proofErr w:type="spellEnd"/>
      <w:r w:rsidRPr="008C1882">
        <w:rPr>
          <w:rFonts w:ascii="Book Antiqua" w:hAnsi="Book Antiqua"/>
          <w:sz w:val="24"/>
          <w:szCs w:val="24"/>
        </w:rPr>
        <w:t xml:space="preserve"> II</w:t>
      </w:r>
      <w:r w:rsidRPr="008C1882">
        <w:rPr>
          <w:rFonts w:ascii="Book Antiqua" w:hAnsi="Book Antiqua"/>
          <w:sz w:val="24"/>
          <w:szCs w:val="24"/>
          <w:vertAlign w:val="superscript"/>
        </w:rPr>
        <w:footnoteReference w:id="27"/>
      </w:r>
      <w:r w:rsidRPr="008C1882">
        <w:rPr>
          <w:rFonts w:ascii="Book Antiqua" w:hAnsi="Book Antiqua"/>
          <w:sz w:val="24"/>
          <w:szCs w:val="24"/>
        </w:rPr>
        <w:t>, which applies to retail clients, might also have an impact on English jurisdiction. Article 39(1) provides that:</w:t>
      </w:r>
    </w:p>
    <w:p w14:paraId="57F14FEE" w14:textId="77777777" w:rsidR="00875E70" w:rsidRPr="008C1882" w:rsidRDefault="00875E70" w:rsidP="00875E70">
      <w:pPr>
        <w:pStyle w:val="ListParagraph"/>
        <w:tabs>
          <w:tab w:val="left" w:pos="851"/>
        </w:tabs>
        <w:spacing w:line="360" w:lineRule="auto"/>
        <w:ind w:left="851"/>
        <w:contextualSpacing w:val="0"/>
        <w:jc w:val="both"/>
        <w:rPr>
          <w:rFonts w:ascii="Book Antiqua" w:hAnsi="Book Antiqua"/>
          <w:sz w:val="24"/>
          <w:szCs w:val="24"/>
        </w:rPr>
      </w:pPr>
      <w:r w:rsidRPr="008C1882">
        <w:rPr>
          <w:rFonts w:ascii="Book Antiqua" w:hAnsi="Book Antiqua"/>
          <w:sz w:val="24"/>
          <w:szCs w:val="24"/>
        </w:rPr>
        <w:t>“</w:t>
      </w:r>
      <w:r w:rsidRPr="008C1882">
        <w:rPr>
          <w:rFonts w:ascii="Book Antiqua" w:hAnsi="Book Antiqua"/>
          <w:i/>
          <w:sz w:val="24"/>
          <w:szCs w:val="24"/>
        </w:rPr>
        <w:t>A Member State may require that a third-country firm intending to provide investment services or perform investment activities with or without any ancillary services to retail clients or to professional clients within the meaning of Section II of Annex II in its territory establish a branch in that Member State.</w:t>
      </w:r>
      <w:r w:rsidRPr="008C1882">
        <w:rPr>
          <w:rFonts w:ascii="Book Antiqua" w:hAnsi="Book Antiqua"/>
          <w:sz w:val="24"/>
          <w:szCs w:val="24"/>
        </w:rPr>
        <w:t>”</w:t>
      </w:r>
    </w:p>
    <w:p w14:paraId="06CD6884" w14:textId="5C7CA1B2" w:rsidR="00E832D6" w:rsidRPr="0097744E" w:rsidRDefault="00875E70" w:rsidP="0097744E">
      <w:pPr>
        <w:pStyle w:val="ListParagraph"/>
        <w:numPr>
          <w:ilvl w:val="0"/>
          <w:numId w:val="17"/>
        </w:numPr>
        <w:tabs>
          <w:tab w:val="left" w:pos="851"/>
        </w:tabs>
        <w:spacing w:line="360" w:lineRule="auto"/>
        <w:ind w:left="567" w:hanging="567"/>
        <w:contextualSpacing w:val="0"/>
        <w:jc w:val="both"/>
        <w:rPr>
          <w:rFonts w:ascii="Times New Roman" w:hAnsi="Times New Roman"/>
          <w:sz w:val="24"/>
          <w:szCs w:val="24"/>
        </w:rPr>
      </w:pPr>
      <w:r w:rsidRPr="008C1882">
        <w:rPr>
          <w:rFonts w:ascii="Book Antiqua" w:hAnsi="Book Antiqua"/>
          <w:sz w:val="24"/>
          <w:szCs w:val="24"/>
        </w:rPr>
        <w:t>The existence of a branch in a Member State may found jurisdiction in that Member State according to its laws, and mean disputes that would be heard in this jurisdiction b</w:t>
      </w:r>
      <w:r w:rsidRPr="008C1882">
        <w:rPr>
          <w:rFonts w:ascii="Times New Roman" w:hAnsi="Times New Roman"/>
          <w:sz w:val="24"/>
          <w:szCs w:val="24"/>
        </w:rPr>
        <w:t>eing heard elsewhere.</w:t>
      </w:r>
      <w:r w:rsidR="00E832D6" w:rsidRPr="0097744E">
        <w:rPr>
          <w:rFonts w:ascii="Book Antiqua" w:hAnsi="Book Antiqua"/>
          <w:sz w:val="24"/>
          <w:szCs w:val="24"/>
        </w:rPr>
        <w:br w:type="page"/>
      </w:r>
    </w:p>
    <w:p w14:paraId="75CB2810" w14:textId="77777777" w:rsidR="00E832D6" w:rsidRPr="008C1882" w:rsidRDefault="00E832D6" w:rsidP="00E832D6">
      <w:pPr>
        <w:spacing w:line="360" w:lineRule="auto"/>
        <w:rPr>
          <w:rFonts w:ascii="Book Antiqua" w:hAnsi="Book Antiqua"/>
          <w:b/>
          <w:sz w:val="24"/>
          <w:szCs w:val="24"/>
          <w:u w:val="single"/>
        </w:rPr>
      </w:pPr>
      <w:r w:rsidRPr="008C1882">
        <w:rPr>
          <w:rFonts w:ascii="Book Antiqua" w:hAnsi="Book Antiqua"/>
          <w:b/>
          <w:sz w:val="24"/>
          <w:szCs w:val="24"/>
          <w:u w:val="single"/>
        </w:rPr>
        <w:lastRenderedPageBreak/>
        <w:t>CHAPTER 3 - BREXIT AND THE INSURANCE INDUSTRY</w:t>
      </w:r>
    </w:p>
    <w:p w14:paraId="0DCCE241" w14:textId="77777777" w:rsidR="00E832D6" w:rsidRPr="008C1882" w:rsidRDefault="00E832D6" w:rsidP="00E832D6">
      <w:pPr>
        <w:spacing w:line="360" w:lineRule="auto"/>
        <w:rPr>
          <w:rFonts w:ascii="Book Antiqua" w:hAnsi="Book Antiqua"/>
          <w:b/>
          <w:sz w:val="24"/>
          <w:szCs w:val="24"/>
          <w:u w:val="single"/>
        </w:rPr>
      </w:pPr>
    </w:p>
    <w:p w14:paraId="08109595" w14:textId="77777777" w:rsidR="00E832D6" w:rsidRPr="008C1882" w:rsidRDefault="00E832D6" w:rsidP="00E832D6">
      <w:pPr>
        <w:spacing w:line="360" w:lineRule="auto"/>
        <w:rPr>
          <w:rFonts w:ascii="Book Antiqua" w:hAnsi="Book Antiqua"/>
          <w:b/>
          <w:sz w:val="24"/>
          <w:szCs w:val="24"/>
          <w:u w:val="single"/>
        </w:rPr>
      </w:pPr>
      <w:r w:rsidRPr="008C1882">
        <w:rPr>
          <w:rFonts w:ascii="Book Antiqua" w:hAnsi="Book Antiqua"/>
          <w:b/>
          <w:sz w:val="24"/>
          <w:szCs w:val="24"/>
          <w:u w:val="single"/>
        </w:rPr>
        <w:t>A.  Introduction</w:t>
      </w:r>
    </w:p>
    <w:p w14:paraId="7F4730EB" w14:textId="77777777" w:rsidR="00E832D6" w:rsidRPr="008C1882" w:rsidRDefault="00E832D6" w:rsidP="00E832D6">
      <w:pPr>
        <w:pStyle w:val="Level1"/>
        <w:spacing w:after="200"/>
        <w:rPr>
          <w:rFonts w:ascii="Book Antiqua" w:hAnsi="Book Antiqua"/>
          <w:szCs w:val="24"/>
        </w:rPr>
      </w:pPr>
      <w:bookmarkStart w:id="5" w:name="_Ref345535947"/>
      <w:r w:rsidRPr="008C1882">
        <w:rPr>
          <w:rFonts w:ascii="Book Antiqua" w:hAnsi="Book Antiqua"/>
          <w:szCs w:val="24"/>
        </w:rPr>
        <w:t xml:space="preserve">The domestic insurance industry faces real uncertainty as a consequence of </w:t>
      </w:r>
      <w:proofErr w:type="spellStart"/>
      <w:r w:rsidRPr="008C1882">
        <w:rPr>
          <w:rFonts w:ascii="Book Antiqua" w:hAnsi="Book Antiqua"/>
          <w:szCs w:val="24"/>
        </w:rPr>
        <w:t>Brexit</w:t>
      </w:r>
      <w:proofErr w:type="spellEnd"/>
      <w:r w:rsidRPr="008C1882">
        <w:rPr>
          <w:rFonts w:ascii="Book Antiqua" w:hAnsi="Book Antiqua"/>
          <w:szCs w:val="24"/>
        </w:rPr>
        <w:t xml:space="preserve">. This Chapter seeks to capture a snapshot of the UK insurance market, summarise its regulatory framework, explain the opportunities and difficulties that a ‘hard’ </w:t>
      </w:r>
      <w:proofErr w:type="spellStart"/>
      <w:r w:rsidRPr="008C1882">
        <w:rPr>
          <w:rFonts w:ascii="Book Antiqua" w:hAnsi="Book Antiqua"/>
          <w:szCs w:val="24"/>
        </w:rPr>
        <w:t>Brexit</w:t>
      </w:r>
      <w:proofErr w:type="spellEnd"/>
      <w:r w:rsidRPr="008C1882">
        <w:rPr>
          <w:rFonts w:ascii="Book Antiqua" w:hAnsi="Book Antiqua"/>
          <w:szCs w:val="24"/>
        </w:rPr>
        <w:t xml:space="preserve"> will generate, from both regulatory and market perspectives, and present options to mitigate the problems.</w:t>
      </w:r>
      <w:bookmarkEnd w:id="5"/>
    </w:p>
    <w:p w14:paraId="692CA5A0" w14:textId="77777777" w:rsidR="00E832D6" w:rsidRPr="008C1882" w:rsidRDefault="00E832D6" w:rsidP="00E832D6">
      <w:pPr>
        <w:pStyle w:val="Heading1"/>
        <w:spacing w:before="0" w:after="200"/>
        <w:rPr>
          <w:rFonts w:ascii="Book Antiqua" w:hAnsi="Book Antiqua"/>
          <w:color w:val="auto"/>
          <w:sz w:val="24"/>
          <w:szCs w:val="24"/>
        </w:rPr>
      </w:pPr>
    </w:p>
    <w:p w14:paraId="70DAC782" w14:textId="77777777" w:rsidR="00E832D6" w:rsidRPr="008C1882" w:rsidRDefault="00E832D6" w:rsidP="00E832D6">
      <w:pPr>
        <w:pStyle w:val="Heading1"/>
        <w:spacing w:before="0" w:after="200"/>
        <w:rPr>
          <w:rFonts w:ascii="Book Antiqua" w:hAnsi="Book Antiqua"/>
          <w:color w:val="auto"/>
          <w:sz w:val="24"/>
          <w:szCs w:val="24"/>
          <w:u w:val="single"/>
        </w:rPr>
      </w:pPr>
      <w:r w:rsidRPr="008C1882">
        <w:rPr>
          <w:rFonts w:ascii="Book Antiqua" w:hAnsi="Book Antiqua"/>
          <w:color w:val="auto"/>
          <w:sz w:val="24"/>
          <w:szCs w:val="24"/>
          <w:u w:val="single"/>
        </w:rPr>
        <w:t>B.  Nature of the Industry</w:t>
      </w:r>
    </w:p>
    <w:p w14:paraId="1424C502"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The modern British insurance market is complex and diverse in terms of the entities that operate in the </w:t>
      </w:r>
      <w:proofErr w:type="gramStart"/>
      <w:r w:rsidRPr="008C1882">
        <w:rPr>
          <w:rFonts w:ascii="Book Antiqua" w:hAnsi="Book Antiqua"/>
          <w:szCs w:val="24"/>
        </w:rPr>
        <w:t>sector,</w:t>
      </w:r>
      <w:proofErr w:type="gramEnd"/>
      <w:r w:rsidRPr="008C1882">
        <w:rPr>
          <w:rFonts w:ascii="Book Antiqua" w:hAnsi="Book Antiqua"/>
          <w:szCs w:val="24"/>
        </w:rPr>
        <w:t xml:space="preserve"> the methodologies and mechanisms used to price and allocate risk, and the range of insurance products available to parties seeking to protect themselves against risks.</w:t>
      </w:r>
    </w:p>
    <w:p w14:paraId="61A69E17"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Insurance providers and products are classified in various ways by different bodies and authorities. Some general classifications, however, are commonly distinguished: between direct insurers and reinsurance,</w:t>
      </w:r>
      <w:r w:rsidRPr="008C1882">
        <w:rPr>
          <w:rStyle w:val="FootnoteReference"/>
          <w:rFonts w:ascii="Book Antiqua" w:hAnsi="Book Antiqua"/>
          <w:szCs w:val="24"/>
        </w:rPr>
        <w:footnoteReference w:id="28"/>
      </w:r>
      <w:r w:rsidRPr="008C1882">
        <w:rPr>
          <w:rFonts w:ascii="Book Antiqua" w:hAnsi="Book Antiqua"/>
          <w:szCs w:val="24"/>
        </w:rPr>
        <w:t xml:space="preserve"> between insurers/reinsurers and intermediaries, and between life and non-life insurance. These practical distinctions, explored below, inform the approach of regulators to the insurance market.</w:t>
      </w:r>
    </w:p>
    <w:p w14:paraId="500BB351"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Many insurers sell insurance products to the end-user without the use of brokers or agents; rather, they typically sell online or by phone. Lloyd’s identifies around 60 kinds of insurance product sold directly, from aviation to employer’s liability, and from marine to professional indemnity insurance. An array of general insurance is made available to the retail market, including motor, home, and travel insurance. The relative simplicity of retail products makes them ideal for being sold directly. </w:t>
      </w:r>
    </w:p>
    <w:p w14:paraId="6BEB17E5"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lastRenderedPageBreak/>
        <w:t>Some forms of insurance are less likely to be sold directly, but are instead commonly sold by brokers or agents, known as insurance intermediaries.</w:t>
      </w:r>
      <w:r w:rsidRPr="008C1882">
        <w:rPr>
          <w:rFonts w:ascii="Book Antiqua" w:hAnsi="Book Antiqua"/>
          <w:szCs w:val="24"/>
          <w:vertAlign w:val="superscript"/>
        </w:rPr>
        <w:footnoteReference w:id="29"/>
      </w:r>
      <w:r w:rsidRPr="008C1882">
        <w:rPr>
          <w:rFonts w:ascii="Book Antiqua" w:hAnsi="Book Antiqua"/>
          <w:szCs w:val="24"/>
        </w:rPr>
        <w:t xml:space="preserve"> Brokers ordinarily work for the purchaser, offering and advising upon alternative products provided by a range of insurers, whereas agents commonly represent the insurer in a transaction. Intermediaries, with a broad knowledge of the insurance market and an understanding of the needs of specific purchasers, can improve the functioning of the insurance market, lowering search costs and helping purchasers to make informed decisions. </w:t>
      </w:r>
    </w:p>
    <w:p w14:paraId="3500947E"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Life insurance, a category of insurance contracts for which the benefit payment is based on the occurrence of death, disability, or critical illness of the insured within the specified coverage term, or on the life status of the insured at maturity, is a type of insurance often sold by intermediaries. Although the categorisation and classification of life insurance products falls outside the scope of this paper, term insurance, annuities and endowment policies are all properly considered forms of life insurance.</w:t>
      </w:r>
      <w:r w:rsidRPr="008C1882">
        <w:rPr>
          <w:rFonts w:ascii="Book Antiqua" w:hAnsi="Book Antiqua"/>
          <w:szCs w:val="24"/>
          <w:vertAlign w:val="superscript"/>
        </w:rPr>
        <w:footnoteReference w:id="30"/>
      </w:r>
    </w:p>
    <w:p w14:paraId="724D799E"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Life insurance contracts are agreements to pay a sum of money when the event insured against occurs, whereas non-life insurance contracts are usually agreements to indemnify the insured against loss if it is suffered and to the amount of the loss suffered.</w:t>
      </w:r>
      <w:r w:rsidRPr="008C1882">
        <w:rPr>
          <w:rFonts w:ascii="Book Antiqua" w:hAnsi="Book Antiqua"/>
          <w:szCs w:val="24"/>
          <w:vertAlign w:val="superscript"/>
        </w:rPr>
        <w:footnoteReference w:id="31"/>
      </w:r>
    </w:p>
    <w:p w14:paraId="213F860E"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Reinsurance is an insurance contract under which an insurer takes cover on its own risk.</w:t>
      </w:r>
      <w:r w:rsidRPr="008C1882">
        <w:rPr>
          <w:rFonts w:ascii="Book Antiqua" w:hAnsi="Book Antiqua"/>
          <w:szCs w:val="24"/>
          <w:vertAlign w:val="superscript"/>
        </w:rPr>
        <w:footnoteReference w:id="32"/>
      </w:r>
      <w:r w:rsidRPr="008C1882">
        <w:rPr>
          <w:rFonts w:ascii="Book Antiqua" w:hAnsi="Book Antiqua"/>
          <w:szCs w:val="24"/>
        </w:rPr>
        <w:t xml:space="preserve"> It protects insurers against very large claims and may permit a single insurer to insure risks that would otherwise be too burdensome. Insurers spread the cost of paying out on large risks by reinsuring part of their coverage. For example, if a particular country is especially vulnerable to natural disasters, and an insurer is heavily exposed in that country, its insurance may be </w:t>
      </w:r>
      <w:r w:rsidRPr="008C1882">
        <w:rPr>
          <w:rFonts w:ascii="Book Antiqua" w:hAnsi="Book Antiqua"/>
          <w:szCs w:val="24"/>
        </w:rPr>
        <w:lastRenderedPageBreak/>
        <w:t>reinsured to obtain an international spread of risk.</w:t>
      </w:r>
      <w:r w:rsidRPr="008C1882">
        <w:rPr>
          <w:rFonts w:ascii="Book Antiqua" w:hAnsi="Book Antiqua"/>
          <w:szCs w:val="24"/>
          <w:vertAlign w:val="superscript"/>
        </w:rPr>
        <w:footnoteReference w:id="33"/>
      </w:r>
      <w:r w:rsidRPr="008C1882">
        <w:rPr>
          <w:rFonts w:ascii="Book Antiqua" w:hAnsi="Book Antiqua"/>
          <w:szCs w:val="24"/>
        </w:rPr>
        <w:t xml:space="preserve"> Only a small proportion of life insurance is reinsured, as there is often a significant savings component associated with life insurance products, which obviates the need for risks to be spread amongst insurers.</w:t>
      </w:r>
    </w:p>
    <w:p w14:paraId="1D06910B"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Lloyd’s, based in the City of London, is the world’s leading insurance and reinsurance marketplace. </w:t>
      </w:r>
      <w:proofErr w:type="gramStart"/>
      <w:r w:rsidRPr="008C1882">
        <w:rPr>
          <w:rFonts w:ascii="Book Antiqua" w:hAnsi="Book Antiqua"/>
          <w:szCs w:val="24"/>
        </w:rPr>
        <w:t>Insurance and reinsurance business is underwritten by members joining together in syndicates to provide capital and accept insurance risks</w:t>
      </w:r>
      <w:proofErr w:type="gramEnd"/>
      <w:r w:rsidRPr="008C1882">
        <w:rPr>
          <w:rFonts w:ascii="Book Antiqua" w:hAnsi="Book Antiqua"/>
          <w:szCs w:val="24"/>
        </w:rPr>
        <w:t xml:space="preserve">. In general, each underwriter has unlimited several liability on the insurance contracts they enter into. </w:t>
      </w:r>
    </w:p>
    <w:p w14:paraId="1FF71130" w14:textId="77777777" w:rsidR="00E832D6" w:rsidRPr="008C1882" w:rsidRDefault="00E832D6" w:rsidP="00E832D6">
      <w:pPr>
        <w:pStyle w:val="Heading1"/>
        <w:spacing w:before="0" w:after="200"/>
        <w:rPr>
          <w:rFonts w:ascii="Book Antiqua" w:hAnsi="Book Antiqua"/>
          <w:color w:val="auto"/>
          <w:sz w:val="24"/>
          <w:szCs w:val="24"/>
          <w:u w:val="single"/>
        </w:rPr>
      </w:pPr>
    </w:p>
    <w:p w14:paraId="645B2F22" w14:textId="77777777" w:rsidR="00E832D6" w:rsidRPr="008C1882" w:rsidRDefault="00E832D6" w:rsidP="00E832D6">
      <w:pPr>
        <w:pStyle w:val="Heading1"/>
        <w:spacing w:before="0" w:after="200"/>
        <w:rPr>
          <w:rFonts w:ascii="Book Antiqua" w:hAnsi="Book Antiqua"/>
          <w:color w:val="auto"/>
          <w:sz w:val="24"/>
          <w:szCs w:val="24"/>
          <w:u w:val="single"/>
        </w:rPr>
      </w:pPr>
      <w:r w:rsidRPr="008C1882">
        <w:rPr>
          <w:rFonts w:ascii="Book Antiqua" w:hAnsi="Book Antiqua"/>
          <w:color w:val="auto"/>
          <w:sz w:val="24"/>
          <w:szCs w:val="24"/>
          <w:u w:val="single"/>
        </w:rPr>
        <w:t>C.  Size and Importance</w:t>
      </w:r>
    </w:p>
    <w:p w14:paraId="192C1D3F"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The European insurance market is the largest in the world, making up around 33% of global gross premiums written in 2012. Total European gross written premiums amounted to more than €1.1tn in 2012. The insurance sector has the largest pool of investments in the EU with almost €8.4tn invested in the global economy in 2012.</w:t>
      </w:r>
      <w:r w:rsidRPr="008C1882">
        <w:rPr>
          <w:rFonts w:ascii="Book Antiqua" w:hAnsi="Book Antiqua"/>
          <w:szCs w:val="24"/>
          <w:vertAlign w:val="superscript"/>
        </w:rPr>
        <w:footnoteReference w:id="34"/>
      </w:r>
      <w:r w:rsidRPr="008C1882">
        <w:rPr>
          <w:rFonts w:ascii="Book Antiqua" w:hAnsi="Book Antiqua"/>
          <w:szCs w:val="24"/>
        </w:rPr>
        <w:t xml:space="preserve"> </w:t>
      </w:r>
    </w:p>
    <w:p w14:paraId="4C6AB0F5"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The UK insurance market plays an important role in the national economy. It is the third largest insurance market in the world and the largest in Europe. The gross written premiums of UK-based insurers and reinsurers, including retail and life insurance, exceed £200bn annually, generating revenues of £39-42bn and employing 310,000-335,000 staff.</w:t>
      </w:r>
      <w:r w:rsidRPr="008C1882">
        <w:rPr>
          <w:rFonts w:ascii="Book Antiqua" w:hAnsi="Book Antiqua"/>
          <w:szCs w:val="24"/>
          <w:vertAlign w:val="superscript"/>
        </w:rPr>
        <w:footnoteReference w:id="35"/>
      </w:r>
      <w:r w:rsidRPr="008C1882">
        <w:rPr>
          <w:rFonts w:ascii="Book Antiqua" w:hAnsi="Book Antiqua"/>
          <w:szCs w:val="24"/>
        </w:rPr>
        <w:t xml:space="preserve"> UK insurers hold around £1.9tn of invested assets.</w:t>
      </w:r>
      <w:r w:rsidRPr="008C1882">
        <w:rPr>
          <w:rFonts w:ascii="Book Antiqua" w:hAnsi="Book Antiqua"/>
          <w:szCs w:val="24"/>
          <w:vertAlign w:val="superscript"/>
        </w:rPr>
        <w:footnoteReference w:id="36"/>
      </w:r>
      <w:r w:rsidRPr="008C1882">
        <w:rPr>
          <w:rFonts w:ascii="Book Antiqua" w:hAnsi="Book Antiqua"/>
          <w:szCs w:val="24"/>
        </w:rPr>
        <w:t xml:space="preserve"> The UK reinsurance market alone has revenues of between £2-4bn annually and employs around 5,000 of these staff.</w:t>
      </w:r>
      <w:r w:rsidRPr="008C1882">
        <w:rPr>
          <w:rFonts w:ascii="Book Antiqua" w:hAnsi="Book Antiqua"/>
          <w:szCs w:val="24"/>
          <w:vertAlign w:val="superscript"/>
        </w:rPr>
        <w:footnoteReference w:id="37"/>
      </w:r>
    </w:p>
    <w:p w14:paraId="34139440"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lastRenderedPageBreak/>
        <w:t>The retail insurance market is essential for consumers too. In 2013, 20.4m households in the UK had contents insurance, 20.1m had motor insurance, 5.7m had whole life insurance, and 1.9m had private medical insurance.</w:t>
      </w:r>
      <w:r w:rsidRPr="008C1882">
        <w:rPr>
          <w:rFonts w:ascii="Book Antiqua" w:hAnsi="Book Antiqua"/>
          <w:szCs w:val="24"/>
          <w:vertAlign w:val="superscript"/>
        </w:rPr>
        <w:footnoteReference w:id="38"/>
      </w:r>
    </w:p>
    <w:p w14:paraId="6E2B2EA5" w14:textId="77777777" w:rsidR="00E832D6" w:rsidRPr="008C1882" w:rsidRDefault="00E832D6" w:rsidP="00E832D6">
      <w:pPr>
        <w:pStyle w:val="Heading1"/>
        <w:spacing w:before="0" w:after="200"/>
        <w:rPr>
          <w:rFonts w:ascii="Book Antiqua" w:hAnsi="Book Antiqua"/>
          <w:color w:val="auto"/>
          <w:sz w:val="24"/>
          <w:szCs w:val="24"/>
        </w:rPr>
      </w:pPr>
    </w:p>
    <w:p w14:paraId="09A95027" w14:textId="77777777" w:rsidR="00E832D6" w:rsidRPr="008C1882" w:rsidRDefault="00E832D6" w:rsidP="00E832D6">
      <w:pPr>
        <w:pStyle w:val="Heading1"/>
        <w:spacing w:before="0" w:after="200"/>
        <w:rPr>
          <w:rFonts w:ascii="Book Antiqua" w:hAnsi="Book Antiqua"/>
          <w:color w:val="auto"/>
          <w:sz w:val="24"/>
          <w:szCs w:val="24"/>
        </w:rPr>
      </w:pPr>
      <w:r w:rsidRPr="008C1882">
        <w:rPr>
          <w:rFonts w:ascii="Book Antiqua" w:hAnsi="Book Antiqua"/>
          <w:color w:val="auto"/>
          <w:sz w:val="24"/>
          <w:szCs w:val="24"/>
          <w:u w:val="single"/>
        </w:rPr>
        <w:t>D.  Current Position in the EU Single Market</w:t>
      </w:r>
    </w:p>
    <w:p w14:paraId="3F74A456" w14:textId="77777777" w:rsidR="00E832D6" w:rsidRPr="008C1882" w:rsidRDefault="00E832D6" w:rsidP="00E832D6">
      <w:pPr>
        <w:pStyle w:val="Heading2"/>
        <w:spacing w:before="0" w:after="200"/>
        <w:rPr>
          <w:rFonts w:ascii="Book Antiqua" w:hAnsi="Book Antiqua"/>
          <w:i/>
          <w:color w:val="auto"/>
          <w:sz w:val="24"/>
          <w:szCs w:val="24"/>
        </w:rPr>
      </w:pPr>
      <w:r w:rsidRPr="008C1882">
        <w:rPr>
          <w:rFonts w:ascii="Book Antiqua" w:hAnsi="Book Antiqua"/>
          <w:i/>
          <w:color w:val="auto"/>
          <w:sz w:val="24"/>
          <w:szCs w:val="24"/>
        </w:rPr>
        <w:t>(1</w:t>
      </w:r>
      <w:proofErr w:type="gramStart"/>
      <w:r w:rsidRPr="008C1882">
        <w:rPr>
          <w:rFonts w:ascii="Book Antiqua" w:hAnsi="Book Antiqua"/>
          <w:i/>
          <w:color w:val="auto"/>
          <w:sz w:val="24"/>
          <w:szCs w:val="24"/>
        </w:rPr>
        <w:t>)  Insurers</w:t>
      </w:r>
      <w:proofErr w:type="gramEnd"/>
      <w:r w:rsidRPr="008C1882">
        <w:rPr>
          <w:rFonts w:ascii="Book Antiqua" w:hAnsi="Book Antiqua"/>
          <w:i/>
          <w:color w:val="auto"/>
          <w:sz w:val="24"/>
          <w:szCs w:val="24"/>
        </w:rPr>
        <w:t xml:space="preserve"> and reinsurers</w:t>
      </w:r>
    </w:p>
    <w:p w14:paraId="78D14B9C"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Freedom of movement for both (primary) insurers and reinsurers is provided for by Directive 2009/138/EC, (</w:t>
      </w:r>
      <w:r w:rsidRPr="008C1882">
        <w:rPr>
          <w:rFonts w:ascii="Book Antiqua" w:hAnsi="Book Antiqua"/>
          <w:b/>
          <w:szCs w:val="24"/>
        </w:rPr>
        <w:t>“Solvency II”)</w:t>
      </w:r>
      <w:r w:rsidRPr="008C1882">
        <w:rPr>
          <w:rFonts w:ascii="Book Antiqua" w:hAnsi="Book Antiqua"/>
          <w:szCs w:val="24"/>
        </w:rPr>
        <w:t xml:space="preserve">.  The freedom of movement provisions of Solvency II were required to be given effect in national laws by 1 January 2016. </w:t>
      </w:r>
    </w:p>
    <w:p w14:paraId="104E8DBF"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Following the same pattern as previous insurance Directives, Solvency II provides that:</w:t>
      </w:r>
    </w:p>
    <w:p w14:paraId="30A0856B" w14:textId="77777777" w:rsidR="00E832D6" w:rsidRPr="008C1882" w:rsidRDefault="00E832D6" w:rsidP="00E832D6">
      <w:pPr>
        <w:pStyle w:val="Level1"/>
        <w:numPr>
          <w:ilvl w:val="0"/>
          <w:numId w:val="20"/>
        </w:numPr>
        <w:spacing w:after="200"/>
        <w:ind w:left="1134" w:hanging="567"/>
        <w:rPr>
          <w:rFonts w:ascii="Book Antiqua" w:hAnsi="Book Antiqua"/>
          <w:szCs w:val="24"/>
        </w:rPr>
      </w:pPr>
      <w:proofErr w:type="gramStart"/>
      <w:r w:rsidRPr="008C1882">
        <w:rPr>
          <w:rFonts w:ascii="Book Antiqua" w:hAnsi="Book Antiqua"/>
          <w:szCs w:val="24"/>
        </w:rPr>
        <w:t>the</w:t>
      </w:r>
      <w:proofErr w:type="gramEnd"/>
      <w:r w:rsidRPr="008C1882">
        <w:rPr>
          <w:rFonts w:ascii="Book Antiqua" w:hAnsi="Book Antiqua"/>
          <w:szCs w:val="24"/>
        </w:rPr>
        <w:t xml:space="preserve"> taking-up of the business of direct insurance or reinsurance covered by the directive is subject to prior authorisation (Article 14(1)); and</w:t>
      </w:r>
    </w:p>
    <w:p w14:paraId="192B3A15" w14:textId="77777777" w:rsidR="00E832D6" w:rsidRPr="008C1882" w:rsidRDefault="00E832D6" w:rsidP="00E832D6">
      <w:pPr>
        <w:pStyle w:val="Level1"/>
        <w:numPr>
          <w:ilvl w:val="0"/>
          <w:numId w:val="20"/>
        </w:numPr>
        <w:spacing w:after="200"/>
        <w:ind w:left="1134" w:hanging="567"/>
        <w:rPr>
          <w:rFonts w:ascii="Book Antiqua" w:hAnsi="Book Antiqua"/>
          <w:szCs w:val="24"/>
        </w:rPr>
      </w:pPr>
      <w:proofErr w:type="gramStart"/>
      <w:r w:rsidRPr="008C1882">
        <w:rPr>
          <w:rFonts w:ascii="Book Antiqua" w:hAnsi="Book Antiqua"/>
          <w:szCs w:val="24"/>
        </w:rPr>
        <w:t>such</w:t>
      </w:r>
      <w:proofErr w:type="gramEnd"/>
      <w:r w:rsidRPr="008C1882">
        <w:rPr>
          <w:rFonts w:ascii="Book Antiqua" w:hAnsi="Book Antiqua"/>
          <w:szCs w:val="24"/>
        </w:rPr>
        <w:t xml:space="preserve"> authorisation “</w:t>
      </w:r>
      <w:r w:rsidRPr="008C1882">
        <w:rPr>
          <w:rFonts w:ascii="Book Antiqua" w:hAnsi="Book Antiqua"/>
          <w:i/>
          <w:szCs w:val="24"/>
        </w:rPr>
        <w:t>shall be valid for the entire Community. It shall permit insurance and reinsurance undertakings to pursue business there, that authorisation covering also the right of establishment and the freedom to provide services”</w:t>
      </w:r>
      <w:r w:rsidRPr="008C1882">
        <w:rPr>
          <w:rFonts w:ascii="Book Antiqua" w:hAnsi="Book Antiqua"/>
          <w:szCs w:val="24"/>
        </w:rPr>
        <w:t xml:space="preserve"> (Article 15(1)).</w:t>
      </w:r>
    </w:p>
    <w:p w14:paraId="2A5FF3CC"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Article 18 sets out the conditions of which a “</w:t>
      </w:r>
      <w:r w:rsidRPr="008C1882">
        <w:rPr>
          <w:rFonts w:ascii="Book Antiqua" w:hAnsi="Book Antiqua"/>
          <w:i/>
          <w:szCs w:val="24"/>
        </w:rPr>
        <w:t>home Member State</w:t>
      </w:r>
      <w:r w:rsidRPr="008C1882">
        <w:rPr>
          <w:rFonts w:ascii="Book Antiqua" w:hAnsi="Book Antiqua"/>
          <w:szCs w:val="24"/>
        </w:rPr>
        <w:t xml:space="preserve">” that authorises a insurance/reinsurance undertaking must be satisfied, including the undertaking having sufficient </w:t>
      </w:r>
      <w:r w:rsidRPr="008C1882">
        <w:rPr>
          <w:rFonts w:ascii="Book Antiqua" w:hAnsi="Book Antiqua"/>
          <w:i/>
          <w:szCs w:val="24"/>
        </w:rPr>
        <w:t>“own funds”</w:t>
      </w:r>
      <w:r w:rsidRPr="008C1882">
        <w:rPr>
          <w:rFonts w:ascii="Book Antiqua" w:hAnsi="Book Antiqua"/>
          <w:szCs w:val="24"/>
        </w:rPr>
        <w:t xml:space="preserve"> to cover the Minimum Capital Requirement and Solvency Capital Requirement laid down by the Directive.</w:t>
      </w:r>
    </w:p>
    <w:p w14:paraId="3E18AD7B"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More detailed provisions for the exercise of the right of establishment and freedom to provide services are set out in Title I Chapter VIII.  These require a direct insurance undertaking to notify and provide specific information to its home supervisory authorities, including details of the types of business it plans to carry out in the other Member State(s) and, in the case of a branch, its </w:t>
      </w:r>
      <w:r w:rsidRPr="008C1882">
        <w:rPr>
          <w:rFonts w:ascii="Book Antiqua" w:hAnsi="Book Antiqua"/>
          <w:szCs w:val="24"/>
        </w:rPr>
        <w:lastRenderedPageBreak/>
        <w:t>structural organisation (Articles 145 and 147).  The ensuing procedure depends whether the firm seeks to establish a branch another Member State or to do business there under the freedom to provide services.</w:t>
      </w:r>
    </w:p>
    <w:p w14:paraId="53C40F64"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In the case of a branch (Article 146):</w:t>
      </w:r>
    </w:p>
    <w:p w14:paraId="238F42A7" w14:textId="77777777" w:rsidR="00E832D6" w:rsidRPr="008C1882" w:rsidRDefault="00E832D6" w:rsidP="00E832D6">
      <w:pPr>
        <w:pStyle w:val="Level2"/>
        <w:numPr>
          <w:ilvl w:val="0"/>
          <w:numId w:val="21"/>
        </w:numPr>
        <w:spacing w:after="200"/>
        <w:ind w:left="1134" w:hanging="567"/>
        <w:rPr>
          <w:rFonts w:ascii="Book Antiqua" w:hAnsi="Book Antiqua"/>
          <w:szCs w:val="24"/>
        </w:rPr>
      </w:pPr>
      <w:r w:rsidRPr="008C1882">
        <w:rPr>
          <w:rFonts w:ascii="Book Antiqua" w:hAnsi="Book Antiqua"/>
          <w:szCs w:val="24"/>
        </w:rPr>
        <w:t>Unless the home regulator has reason to doubt the adequacy of the system of governance or the financial situation of the insurance undertaking (or the fitness and propriety of its authorised agent), it must within three months communicate to the regulator in the host Member State the information the firm has provided.</w:t>
      </w:r>
    </w:p>
    <w:p w14:paraId="49FCB38B" w14:textId="77777777" w:rsidR="00E832D6" w:rsidRPr="008C1882" w:rsidRDefault="00E832D6" w:rsidP="00E832D6">
      <w:pPr>
        <w:pStyle w:val="Level2"/>
        <w:numPr>
          <w:ilvl w:val="0"/>
          <w:numId w:val="21"/>
        </w:numPr>
        <w:spacing w:after="200"/>
        <w:ind w:left="1134" w:hanging="567"/>
        <w:rPr>
          <w:rFonts w:ascii="Book Antiqua" w:hAnsi="Book Antiqua"/>
          <w:szCs w:val="24"/>
        </w:rPr>
      </w:pPr>
      <w:r w:rsidRPr="008C1882">
        <w:rPr>
          <w:rFonts w:ascii="Book Antiqua" w:hAnsi="Book Antiqua"/>
          <w:szCs w:val="24"/>
        </w:rPr>
        <w:t>The home regulator must also attest that the insurance undertaking covers the Solvency Capital Requirement and the Minimum Capital Requirement.</w:t>
      </w:r>
    </w:p>
    <w:p w14:paraId="7E80C225" w14:textId="77777777" w:rsidR="00E832D6" w:rsidRPr="008C1882" w:rsidRDefault="00E832D6" w:rsidP="00E832D6">
      <w:pPr>
        <w:pStyle w:val="Level2"/>
        <w:numPr>
          <w:ilvl w:val="0"/>
          <w:numId w:val="21"/>
        </w:numPr>
        <w:spacing w:after="200"/>
        <w:ind w:left="1134" w:hanging="567"/>
        <w:rPr>
          <w:rFonts w:ascii="Book Antiqua" w:hAnsi="Book Antiqua"/>
          <w:szCs w:val="24"/>
        </w:rPr>
      </w:pPr>
      <w:r w:rsidRPr="008C1882">
        <w:rPr>
          <w:rFonts w:ascii="Book Antiqua" w:hAnsi="Book Antiqua"/>
          <w:szCs w:val="24"/>
        </w:rPr>
        <w:t>The host state regulator must then within two months inform the home regulator and firm of any conditions under which, in the interests of the general good, the business must be pursued in the host Member State.</w:t>
      </w:r>
    </w:p>
    <w:p w14:paraId="2CA4FFCD" w14:textId="77777777" w:rsidR="00E832D6" w:rsidRPr="008C1882" w:rsidRDefault="00E832D6" w:rsidP="00E832D6">
      <w:pPr>
        <w:pStyle w:val="Level2"/>
        <w:numPr>
          <w:ilvl w:val="0"/>
          <w:numId w:val="21"/>
        </w:numPr>
        <w:spacing w:after="200"/>
        <w:ind w:left="1134" w:hanging="567"/>
        <w:rPr>
          <w:rFonts w:ascii="Book Antiqua" w:hAnsi="Book Antiqua"/>
          <w:szCs w:val="24"/>
        </w:rPr>
      </w:pPr>
      <w:r w:rsidRPr="008C1882">
        <w:rPr>
          <w:rFonts w:ascii="Book Antiqua" w:hAnsi="Book Antiqua"/>
          <w:szCs w:val="24"/>
        </w:rPr>
        <w:t>The insurer can then establish the branch and start doing business.</w:t>
      </w:r>
    </w:p>
    <w:p w14:paraId="50F626C6"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In the case of non-branch operations (Article 148):</w:t>
      </w:r>
    </w:p>
    <w:p w14:paraId="0E3A68D4" w14:textId="77777777" w:rsidR="00E832D6" w:rsidRPr="008C1882" w:rsidRDefault="00E832D6" w:rsidP="00E832D6">
      <w:pPr>
        <w:pStyle w:val="Level2"/>
        <w:numPr>
          <w:ilvl w:val="0"/>
          <w:numId w:val="22"/>
        </w:numPr>
        <w:spacing w:after="200"/>
        <w:rPr>
          <w:rFonts w:ascii="Book Antiqua" w:hAnsi="Book Antiqua"/>
          <w:szCs w:val="24"/>
        </w:rPr>
      </w:pPr>
      <w:proofErr w:type="gramStart"/>
      <w:r w:rsidRPr="008C1882">
        <w:rPr>
          <w:rFonts w:ascii="Book Antiqua" w:hAnsi="Book Antiqua"/>
          <w:szCs w:val="24"/>
        </w:rPr>
        <w:t>the</w:t>
      </w:r>
      <w:proofErr w:type="gramEnd"/>
      <w:r w:rsidRPr="008C1882">
        <w:rPr>
          <w:rFonts w:ascii="Book Antiqua" w:hAnsi="Book Antiqua"/>
          <w:szCs w:val="24"/>
        </w:rPr>
        <w:t xml:space="preserve"> home regulator must within one month provide to the host Member State(s) specified information including a certificate attesting that the insurance undertaking covers the Solvency Capital Requirement and the Minimum Capital Requirement; then</w:t>
      </w:r>
    </w:p>
    <w:p w14:paraId="71D439E5" w14:textId="77777777" w:rsidR="00E832D6" w:rsidRPr="008C1882" w:rsidRDefault="00E832D6" w:rsidP="00E832D6">
      <w:pPr>
        <w:pStyle w:val="Level2"/>
        <w:numPr>
          <w:ilvl w:val="0"/>
          <w:numId w:val="22"/>
        </w:numPr>
        <w:spacing w:after="200"/>
        <w:rPr>
          <w:rFonts w:ascii="Book Antiqua" w:hAnsi="Book Antiqua"/>
          <w:szCs w:val="24"/>
        </w:rPr>
      </w:pPr>
      <w:proofErr w:type="gramStart"/>
      <w:r w:rsidRPr="008C1882">
        <w:rPr>
          <w:rFonts w:ascii="Book Antiqua" w:hAnsi="Book Antiqua"/>
          <w:szCs w:val="24"/>
        </w:rPr>
        <w:t>the</w:t>
      </w:r>
      <w:proofErr w:type="gramEnd"/>
      <w:r w:rsidRPr="008C1882">
        <w:rPr>
          <w:rFonts w:ascii="Book Antiqua" w:hAnsi="Book Antiqua"/>
          <w:szCs w:val="24"/>
        </w:rPr>
        <w:t xml:space="preserve"> host regulator can require specified further information in relation to motor insurance; and</w:t>
      </w:r>
    </w:p>
    <w:p w14:paraId="75BDFED3" w14:textId="77777777" w:rsidR="00E832D6" w:rsidRPr="008C1882" w:rsidRDefault="00E832D6" w:rsidP="00E832D6">
      <w:pPr>
        <w:pStyle w:val="Level2"/>
        <w:numPr>
          <w:ilvl w:val="0"/>
          <w:numId w:val="22"/>
        </w:numPr>
        <w:spacing w:after="200"/>
        <w:rPr>
          <w:rFonts w:ascii="Book Antiqua" w:hAnsi="Book Antiqua"/>
          <w:szCs w:val="24"/>
        </w:rPr>
      </w:pPr>
      <w:r w:rsidRPr="008C1882">
        <w:rPr>
          <w:rFonts w:ascii="Book Antiqua" w:hAnsi="Book Antiqua"/>
          <w:szCs w:val="24"/>
        </w:rPr>
        <w:t>The insurer can start doing business.</w:t>
      </w:r>
    </w:p>
    <w:p w14:paraId="14E5CF94" w14:textId="77777777" w:rsidR="00E832D6" w:rsidRPr="008C1882" w:rsidRDefault="00E832D6" w:rsidP="00E832D6">
      <w:pPr>
        <w:pStyle w:val="Heading2"/>
        <w:spacing w:before="0" w:after="200"/>
        <w:rPr>
          <w:rFonts w:ascii="Book Antiqua" w:hAnsi="Book Antiqua"/>
          <w:i/>
          <w:color w:val="auto"/>
          <w:sz w:val="24"/>
          <w:szCs w:val="24"/>
        </w:rPr>
      </w:pPr>
      <w:r w:rsidRPr="008C1882">
        <w:rPr>
          <w:rFonts w:ascii="Book Antiqua" w:hAnsi="Book Antiqua"/>
          <w:i/>
          <w:color w:val="auto"/>
          <w:sz w:val="24"/>
          <w:szCs w:val="24"/>
        </w:rPr>
        <w:lastRenderedPageBreak/>
        <w:t>(2) Intermediaries</w:t>
      </w:r>
    </w:p>
    <w:p w14:paraId="4F591C09" w14:textId="77777777" w:rsidR="00E832D6" w:rsidRPr="008C1882" w:rsidRDefault="00E832D6" w:rsidP="00E832D6">
      <w:pPr>
        <w:pStyle w:val="Heading3"/>
        <w:spacing w:before="0" w:after="200"/>
        <w:ind w:firstLine="567"/>
        <w:rPr>
          <w:rFonts w:ascii="Book Antiqua" w:hAnsi="Book Antiqua"/>
          <w:i/>
          <w:color w:val="auto"/>
          <w:sz w:val="24"/>
          <w:szCs w:val="24"/>
        </w:rPr>
      </w:pPr>
      <w:r w:rsidRPr="008C1882">
        <w:rPr>
          <w:rFonts w:ascii="Book Antiqua" w:hAnsi="Book Antiqua"/>
          <w:color w:val="auto"/>
          <w:sz w:val="24"/>
          <w:szCs w:val="24"/>
        </w:rPr>
        <w:t>(a</w:t>
      </w:r>
      <w:proofErr w:type="gramStart"/>
      <w:r w:rsidRPr="008C1882">
        <w:rPr>
          <w:rFonts w:ascii="Book Antiqua" w:hAnsi="Book Antiqua"/>
          <w:color w:val="auto"/>
          <w:sz w:val="24"/>
          <w:szCs w:val="24"/>
        </w:rPr>
        <w:t>)  Insurance</w:t>
      </w:r>
      <w:proofErr w:type="gramEnd"/>
      <w:r w:rsidRPr="008C1882">
        <w:rPr>
          <w:rFonts w:ascii="Book Antiqua" w:hAnsi="Book Antiqua"/>
          <w:color w:val="auto"/>
          <w:sz w:val="24"/>
          <w:szCs w:val="24"/>
        </w:rPr>
        <w:t xml:space="preserve"> Mediation Directive (Directive 2002/92/EC)</w:t>
      </w:r>
    </w:p>
    <w:p w14:paraId="289552BF" w14:textId="77777777" w:rsidR="00E832D6" w:rsidRPr="008C1882" w:rsidRDefault="00E832D6" w:rsidP="00E832D6">
      <w:pPr>
        <w:pStyle w:val="Level1"/>
        <w:spacing w:after="200"/>
        <w:rPr>
          <w:rFonts w:ascii="Book Antiqua" w:hAnsi="Book Antiqua"/>
          <w:szCs w:val="24"/>
        </w:rPr>
      </w:pPr>
      <w:proofErr w:type="gramStart"/>
      <w:r w:rsidRPr="008C1882">
        <w:rPr>
          <w:rFonts w:ascii="Book Antiqua" w:hAnsi="Book Antiqua"/>
          <w:szCs w:val="24"/>
        </w:rPr>
        <w:t>The Insurance Mediation Directive (“</w:t>
      </w:r>
      <w:r w:rsidRPr="008C1882">
        <w:rPr>
          <w:rFonts w:ascii="Book Antiqua" w:hAnsi="Book Antiqua"/>
          <w:b/>
          <w:szCs w:val="24"/>
        </w:rPr>
        <w:t>IMD</w:t>
      </w:r>
      <w:r w:rsidRPr="008C1882">
        <w:rPr>
          <w:rFonts w:ascii="Book Antiqua" w:hAnsi="Book Antiqua"/>
          <w:szCs w:val="24"/>
        </w:rPr>
        <w:t>”)</w:t>
      </w:r>
      <w:r w:rsidRPr="008C1882">
        <w:rPr>
          <w:rStyle w:val="FootnoteReference"/>
          <w:rFonts w:ascii="Book Antiqua" w:hAnsi="Book Antiqua"/>
          <w:szCs w:val="24"/>
        </w:rPr>
        <w:footnoteReference w:id="39"/>
      </w:r>
      <w:r w:rsidRPr="008C1882">
        <w:rPr>
          <w:rFonts w:ascii="Book Antiqua" w:hAnsi="Book Antiqua"/>
          <w:szCs w:val="24"/>
        </w:rPr>
        <w:t xml:space="preserve"> was adopted to address a perceived lack of transparency and poor sales practices by insurance and reinsurance intermediaries</w:t>
      </w:r>
      <w:proofErr w:type="gramEnd"/>
      <w:r w:rsidRPr="008C1882">
        <w:rPr>
          <w:rFonts w:ascii="Book Antiqua" w:hAnsi="Book Antiqua"/>
          <w:szCs w:val="24"/>
        </w:rPr>
        <w:t>. The Commission was concerned that purchasers did not understand the features, risks and costs of insurance products, and that intermediaries were subject to serious conflicts of interests, receiving undisclosed inducements for selling certain products. The Commission, in proposing the legislation, also hoped to help develop a single market for insurance, so that providers would offer – and consumers and businesses would be confident enough to purchase – insurance products cross-border.</w:t>
      </w:r>
      <w:r w:rsidRPr="008C1882">
        <w:rPr>
          <w:rStyle w:val="FootnoteReference"/>
          <w:rFonts w:ascii="Book Antiqua" w:hAnsi="Book Antiqua"/>
          <w:szCs w:val="24"/>
        </w:rPr>
        <w:footnoteReference w:id="40"/>
      </w:r>
      <w:r w:rsidRPr="008C1882">
        <w:rPr>
          <w:rFonts w:ascii="Book Antiqua" w:hAnsi="Book Antiqua"/>
          <w:szCs w:val="24"/>
        </w:rPr>
        <w:t xml:space="preserve"> </w:t>
      </w:r>
    </w:p>
    <w:p w14:paraId="03943C30"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IMD now regulates the taking-up and pursuit of the activities of insurance and reinsurance mediation by those persons who are established in a Member State or hope to become so, subject to some limited exceptions (Article 1), but IMD does not apply to the provision of insurance and reinsurance mediation services provided in relation to risks located outside the EU (Article 1(3)). </w:t>
      </w:r>
    </w:p>
    <w:p w14:paraId="68D5A5E6"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The Directive distinguishes between an intermediary’s ‘home’ Member State and the ‘host’ Member State. Article 3 prescribes that insurance and reinsurance intermediaries are to be registered with a competent authority in their home Member State. Article 3(5) permits registered insurance and reinsurance intermediaries to take up and pursue the activities of insurance and reinsurance mediation in host Member States, under the freedom to provide services or the freedom of establishment. Article 6 provides that they may do so without the need for specific authorisation in host Member States, provided they have notified the competent authorities of their home Member State in advance. Combined, these provisions create the IMD passport.</w:t>
      </w:r>
    </w:p>
    <w:p w14:paraId="674A45B0"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The sales requirements under Article 4 require certain intermediaries to possess the appropriate knowledge and ability to sell insurances products, and Articles </w:t>
      </w:r>
      <w:r w:rsidRPr="008C1882">
        <w:rPr>
          <w:rFonts w:ascii="Book Antiqua" w:hAnsi="Book Antiqua"/>
          <w:szCs w:val="24"/>
        </w:rPr>
        <w:lastRenderedPageBreak/>
        <w:t xml:space="preserve">12 and 13 seek to ensure that intermediaries provide certain information in a clear and accurate manner to the customer before concluding the insurance contract. </w:t>
      </w:r>
    </w:p>
    <w:p w14:paraId="276068AD"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This Directive has been criticised from several perspectives. Conceptually, IMD fails to recognise the diversity of national insurance markets, with some insurance products common in some Member States, and virtually unknown in others, and misjudges the scope for confusion for intermediaries and customers who seek to buy or sell insurance cross-border. Equally, in attempting to develop a single market for insurance mediation, IMD arguably overestimates the desire of, for example, Spanish intermediaries to sell life insurance to Croatian customers.</w:t>
      </w:r>
      <w:r w:rsidRPr="008C1882">
        <w:rPr>
          <w:rStyle w:val="FootnoteReference"/>
          <w:rFonts w:ascii="Book Antiqua" w:hAnsi="Book Antiqua"/>
          <w:szCs w:val="24"/>
        </w:rPr>
        <w:footnoteReference w:id="41"/>
      </w:r>
      <w:r w:rsidRPr="008C1882">
        <w:rPr>
          <w:rFonts w:ascii="Book Antiqua" w:hAnsi="Book Antiqua"/>
          <w:szCs w:val="24"/>
        </w:rPr>
        <w:t xml:space="preserve"> Implementation of IMD has also been uneven across Member States, linked to both the inaccurate drafting of the Directive itself, the minimum harmonisation nature of the Directive and the pre-existing fragmentation of national markets.</w:t>
      </w:r>
      <w:r w:rsidRPr="008C1882">
        <w:rPr>
          <w:rStyle w:val="FootnoteReference"/>
          <w:rFonts w:ascii="Book Antiqua" w:hAnsi="Book Antiqua"/>
          <w:szCs w:val="24"/>
        </w:rPr>
        <w:footnoteReference w:id="42"/>
      </w:r>
    </w:p>
    <w:p w14:paraId="389C725D" w14:textId="77777777" w:rsidR="00E832D6" w:rsidRPr="008C1882" w:rsidRDefault="00E832D6" w:rsidP="00E832D6">
      <w:pPr>
        <w:pStyle w:val="Heading3"/>
        <w:spacing w:before="0" w:after="200"/>
        <w:ind w:left="567"/>
        <w:rPr>
          <w:rFonts w:ascii="Book Antiqua" w:hAnsi="Book Antiqua"/>
          <w:i/>
          <w:color w:val="auto"/>
          <w:sz w:val="24"/>
          <w:szCs w:val="24"/>
        </w:rPr>
      </w:pPr>
      <w:r w:rsidRPr="008C1882">
        <w:rPr>
          <w:rFonts w:ascii="Book Antiqua" w:hAnsi="Book Antiqua"/>
          <w:color w:val="auto"/>
          <w:sz w:val="24"/>
          <w:szCs w:val="24"/>
        </w:rPr>
        <w:t>(b</w:t>
      </w:r>
      <w:proofErr w:type="gramStart"/>
      <w:r w:rsidRPr="008C1882">
        <w:rPr>
          <w:rFonts w:ascii="Book Antiqua" w:hAnsi="Book Antiqua"/>
          <w:color w:val="auto"/>
          <w:sz w:val="24"/>
          <w:szCs w:val="24"/>
        </w:rPr>
        <w:t>)  Insurance</w:t>
      </w:r>
      <w:proofErr w:type="gramEnd"/>
      <w:r w:rsidRPr="008C1882">
        <w:rPr>
          <w:rFonts w:ascii="Book Antiqua" w:hAnsi="Book Antiqua"/>
          <w:color w:val="auto"/>
          <w:sz w:val="24"/>
          <w:szCs w:val="24"/>
        </w:rPr>
        <w:t xml:space="preserve"> Distribution Directive (Directive 2016/97/EC) from February 2018)</w:t>
      </w:r>
    </w:p>
    <w:p w14:paraId="64DC387E"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Having regard to the limitations of IMD, the EU adopted a new legislative proposal, known as the Insurance Distribution Directive (“</w:t>
      </w:r>
      <w:r w:rsidRPr="008C1882">
        <w:rPr>
          <w:rFonts w:ascii="Book Antiqua" w:hAnsi="Book Antiqua"/>
          <w:b/>
          <w:szCs w:val="24"/>
        </w:rPr>
        <w:t>IDD</w:t>
      </w:r>
      <w:r w:rsidRPr="008C1882">
        <w:rPr>
          <w:rFonts w:ascii="Book Antiqua" w:hAnsi="Book Antiqua"/>
          <w:szCs w:val="24"/>
        </w:rPr>
        <w:t>”) or IMD2, which will supersede IMD when it is transposed by Member States.</w:t>
      </w:r>
      <w:r w:rsidRPr="008C1882">
        <w:rPr>
          <w:rStyle w:val="FootnoteReference"/>
          <w:rFonts w:ascii="Book Antiqua" w:hAnsi="Book Antiqua"/>
          <w:szCs w:val="24"/>
        </w:rPr>
        <w:footnoteReference w:id="43"/>
      </w:r>
      <w:r w:rsidRPr="008C1882">
        <w:rPr>
          <w:rFonts w:ascii="Book Antiqua" w:hAnsi="Book Antiqua"/>
          <w:szCs w:val="24"/>
        </w:rPr>
        <w:t xml:space="preserve"> </w:t>
      </w:r>
    </w:p>
    <w:p w14:paraId="6F702A63"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IDD makes a renewed attempt to improve sales standards and expand opportunities for cross-border insurance business. Its scope is broader than IMD, regulating the activities of direct insurers and ancillary insurance intermediaries, in an attempt to ensure equal levels of consumer protection across different distribution channels.</w:t>
      </w:r>
      <w:r w:rsidRPr="008C1882">
        <w:rPr>
          <w:rStyle w:val="FootnoteReference"/>
          <w:rFonts w:ascii="Book Antiqua" w:hAnsi="Book Antiqua"/>
          <w:szCs w:val="24"/>
        </w:rPr>
        <w:footnoteReference w:id="44"/>
      </w:r>
      <w:r w:rsidRPr="008C1882">
        <w:rPr>
          <w:rFonts w:ascii="Book Antiqua" w:hAnsi="Book Antiqua"/>
          <w:szCs w:val="24"/>
        </w:rPr>
        <w:t xml:space="preserve"> The UK, however, in transposing IMD, gold-plated key provisions by adopting a wide definition of “insurance intermediary”, so that transposition of IDD will have a relatively limited impact on direct insurance in the UK. </w:t>
      </w:r>
    </w:p>
    <w:p w14:paraId="3D171864"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lastRenderedPageBreak/>
        <w:t>With perhaps more relevance to the UK market, the new regime requires insurance distributors to act honestly, fairly and professionally in accordance with the best interests of their customers, and to give customers objective information about products (Article 17). The Insurance Product Information Document – a form of document taken from other financial services directives</w:t>
      </w:r>
      <w:r w:rsidRPr="008C1882">
        <w:rPr>
          <w:rStyle w:val="FootnoteReference"/>
          <w:rFonts w:ascii="Book Antiqua" w:hAnsi="Book Antiqua"/>
          <w:szCs w:val="24"/>
        </w:rPr>
        <w:footnoteReference w:id="45"/>
      </w:r>
      <w:r w:rsidRPr="008C1882">
        <w:rPr>
          <w:rFonts w:ascii="Book Antiqua" w:hAnsi="Book Antiqua"/>
          <w:szCs w:val="24"/>
        </w:rPr>
        <w:t xml:space="preserve"> – will give customers basic information about non-life insurance products in a standardised format to improve comparability, particularly cross-border (Article 20). Article 19 of IDD further specifies enhanced disclosure obligations on distributors in relation to inducements and other fees, and to be explicit about conflicts of interest. Finally, reflecting common themes of recent EU consumer policy, IDD discourages tying/bundling practices in Article 24.  </w:t>
      </w:r>
    </w:p>
    <w:p w14:paraId="3A0F9B0E"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To improve the functioning of the </w:t>
      </w:r>
      <w:proofErr w:type="spellStart"/>
      <w:r w:rsidRPr="008C1882">
        <w:rPr>
          <w:rFonts w:ascii="Book Antiqua" w:hAnsi="Book Antiqua"/>
          <w:szCs w:val="24"/>
        </w:rPr>
        <w:t>passporting</w:t>
      </w:r>
      <w:proofErr w:type="spellEnd"/>
      <w:r w:rsidRPr="008C1882">
        <w:rPr>
          <w:rFonts w:ascii="Book Antiqua" w:hAnsi="Book Antiqua"/>
          <w:szCs w:val="24"/>
        </w:rPr>
        <w:t xml:space="preserve"> system for insurance intermediaries, Articles 3-8 of IDD make some relatively technical adjustments to the notification procedure where an insurance intermediary (not direct insurers and reinsurers, to avoid duplicating the </w:t>
      </w:r>
      <w:proofErr w:type="spellStart"/>
      <w:r w:rsidRPr="008C1882">
        <w:rPr>
          <w:rFonts w:ascii="Book Antiqua" w:hAnsi="Book Antiqua"/>
          <w:szCs w:val="24"/>
        </w:rPr>
        <w:t>passporting</w:t>
      </w:r>
      <w:proofErr w:type="spellEnd"/>
      <w:r w:rsidRPr="008C1882">
        <w:rPr>
          <w:rFonts w:ascii="Book Antiqua" w:hAnsi="Book Antiqua"/>
          <w:szCs w:val="24"/>
        </w:rPr>
        <w:t xml:space="preserve"> regime under Solvency II) intends to exercise the freedom of establishment, and clarifies the division of competence between home and host Member States. Article 6, developing substantially the provisions under IMD, requires an insurance intermediary to communicate to the competent authority of its home Member State information including where it intends to establish a branch or permanent presence, the classes of insurance it intends to sell, and details about the individuals involved in management of the branch. Article 8 generally requires host Member States to refer the breach of an obligation under IDD by an insurance intermediary to the competent authority of the home Member State.</w:t>
      </w:r>
    </w:p>
    <w:p w14:paraId="03BC430E"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Under Article 9, and in respect of all insurance distribution, host Member States reserve the power to introduce ‘general good’ provisions, so that the competent authority of that host Member State can take steps to prevent an insurance distributor established in another Member State from providing services in the host Member State to preserve the proper functioning of insurance and reinsurance markets. </w:t>
      </w:r>
    </w:p>
    <w:p w14:paraId="686510D4" w14:textId="77777777" w:rsidR="00E832D6" w:rsidRPr="008C1882" w:rsidRDefault="00E832D6" w:rsidP="00E832D6">
      <w:pPr>
        <w:pStyle w:val="Heading2"/>
        <w:spacing w:before="0" w:after="200"/>
        <w:rPr>
          <w:rFonts w:ascii="Book Antiqua" w:hAnsi="Book Antiqua"/>
          <w:i/>
          <w:color w:val="auto"/>
          <w:sz w:val="24"/>
          <w:szCs w:val="24"/>
        </w:rPr>
      </w:pPr>
      <w:r w:rsidRPr="008C1882">
        <w:rPr>
          <w:rFonts w:ascii="Book Antiqua" w:hAnsi="Book Antiqua"/>
          <w:i/>
          <w:color w:val="auto"/>
          <w:sz w:val="24"/>
          <w:szCs w:val="24"/>
        </w:rPr>
        <w:lastRenderedPageBreak/>
        <w:t>(3</w:t>
      </w:r>
      <w:proofErr w:type="gramStart"/>
      <w:r w:rsidRPr="008C1882">
        <w:rPr>
          <w:rFonts w:ascii="Book Antiqua" w:hAnsi="Book Antiqua"/>
          <w:i/>
          <w:color w:val="auto"/>
          <w:sz w:val="24"/>
          <w:szCs w:val="24"/>
        </w:rPr>
        <w:t>)  Extent</w:t>
      </w:r>
      <w:proofErr w:type="gramEnd"/>
      <w:r w:rsidRPr="008C1882">
        <w:rPr>
          <w:rFonts w:ascii="Book Antiqua" w:hAnsi="Book Antiqua"/>
          <w:i/>
          <w:color w:val="auto"/>
          <w:sz w:val="24"/>
          <w:szCs w:val="24"/>
        </w:rPr>
        <w:t xml:space="preserve"> of current use of </w:t>
      </w:r>
      <w:proofErr w:type="spellStart"/>
      <w:r w:rsidRPr="008C1882">
        <w:rPr>
          <w:rFonts w:ascii="Book Antiqua" w:hAnsi="Book Antiqua"/>
          <w:i/>
          <w:color w:val="auto"/>
          <w:sz w:val="24"/>
          <w:szCs w:val="24"/>
        </w:rPr>
        <w:t>passporting</w:t>
      </w:r>
      <w:proofErr w:type="spellEnd"/>
    </w:p>
    <w:p w14:paraId="08437D52"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The </w:t>
      </w:r>
      <w:proofErr w:type="spellStart"/>
      <w:r w:rsidRPr="008C1882">
        <w:rPr>
          <w:rFonts w:ascii="Book Antiqua" w:hAnsi="Book Antiqua"/>
          <w:szCs w:val="24"/>
        </w:rPr>
        <w:t>passporting</w:t>
      </w:r>
      <w:proofErr w:type="spellEnd"/>
      <w:r w:rsidRPr="008C1882">
        <w:rPr>
          <w:rFonts w:ascii="Book Antiqua" w:hAnsi="Book Antiqua"/>
          <w:szCs w:val="24"/>
        </w:rPr>
        <w:t xml:space="preserve"> regimes available under IMD and Solvency II (as well as under </w:t>
      </w:r>
      <w:proofErr w:type="spellStart"/>
      <w:r w:rsidRPr="008C1882">
        <w:rPr>
          <w:rFonts w:ascii="Book Antiqua" w:hAnsi="Book Antiqua"/>
          <w:szCs w:val="24"/>
        </w:rPr>
        <w:t>MiFID</w:t>
      </w:r>
      <w:proofErr w:type="spellEnd"/>
      <w:r w:rsidRPr="008C1882">
        <w:rPr>
          <w:rFonts w:ascii="Book Antiqua" w:hAnsi="Book Antiqua"/>
          <w:szCs w:val="24"/>
        </w:rPr>
        <w:t xml:space="preserve"> and other financial services legislation) have proven extremely popular. Firms can hold multiple passports under one Directive, and may hold passports under several Directives, enabling them to offer linked services in other Member States. For example, a UK firm may use its passport under IMD1 to offer its overseas clients life insurance products, and its </w:t>
      </w:r>
      <w:proofErr w:type="spellStart"/>
      <w:r w:rsidRPr="008C1882">
        <w:rPr>
          <w:rFonts w:ascii="Book Antiqua" w:hAnsi="Book Antiqua"/>
          <w:szCs w:val="24"/>
        </w:rPr>
        <w:t>MiFID</w:t>
      </w:r>
      <w:proofErr w:type="spellEnd"/>
      <w:r w:rsidRPr="008C1882">
        <w:rPr>
          <w:rFonts w:ascii="Book Antiqua" w:hAnsi="Book Antiqua"/>
          <w:szCs w:val="24"/>
        </w:rPr>
        <w:t xml:space="preserve"> passport to give clients advice on related investment products.</w:t>
      </w:r>
    </w:p>
    <w:p w14:paraId="202B6046"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The FCA’s letter of 17 August 2016 to the House of Commons Treasury Committee indicates that there are 220 firms with at least one ‘outbound’ passport under Solvency II and 726 firms with at least one ‘inbound’ passport under the Directive.  2,758 firms have outbound IMD1 passports and 5,727 firms have inbound IMD1 passports. </w:t>
      </w:r>
    </w:p>
    <w:p w14:paraId="3B191AB9" w14:textId="77777777" w:rsidR="00E832D6" w:rsidRPr="008C1882" w:rsidRDefault="00E832D6" w:rsidP="00E832D6">
      <w:pPr>
        <w:pStyle w:val="Heading1"/>
        <w:spacing w:before="0" w:after="200"/>
        <w:rPr>
          <w:rFonts w:ascii="Book Antiqua" w:hAnsi="Book Antiqua"/>
          <w:color w:val="auto"/>
          <w:sz w:val="24"/>
          <w:szCs w:val="24"/>
        </w:rPr>
      </w:pPr>
    </w:p>
    <w:p w14:paraId="4D22F503" w14:textId="77777777" w:rsidR="00E832D6" w:rsidRPr="008C1882" w:rsidRDefault="00E832D6" w:rsidP="00E832D6">
      <w:pPr>
        <w:pStyle w:val="Heading1"/>
        <w:spacing w:before="0" w:after="200"/>
        <w:rPr>
          <w:rFonts w:ascii="Book Antiqua" w:hAnsi="Book Antiqua"/>
          <w:color w:val="auto"/>
          <w:sz w:val="24"/>
          <w:szCs w:val="24"/>
          <w:u w:val="single"/>
        </w:rPr>
      </w:pPr>
      <w:r w:rsidRPr="008C1882">
        <w:rPr>
          <w:rFonts w:ascii="Book Antiqua" w:hAnsi="Book Antiqua"/>
          <w:color w:val="auto"/>
          <w:sz w:val="24"/>
          <w:szCs w:val="24"/>
          <w:u w:val="single"/>
        </w:rPr>
        <w:t>E.  Position in a “Hard” BREXIT</w:t>
      </w:r>
    </w:p>
    <w:p w14:paraId="511E4AB5" w14:textId="77777777" w:rsidR="00E832D6" w:rsidRPr="008C1882" w:rsidRDefault="00E832D6" w:rsidP="00E832D6">
      <w:pPr>
        <w:pStyle w:val="Heading2"/>
        <w:spacing w:before="0" w:after="200"/>
        <w:rPr>
          <w:rFonts w:ascii="Book Antiqua" w:hAnsi="Book Antiqua"/>
          <w:i/>
          <w:color w:val="auto"/>
          <w:sz w:val="24"/>
          <w:szCs w:val="24"/>
        </w:rPr>
      </w:pPr>
      <w:r w:rsidRPr="008C1882">
        <w:rPr>
          <w:rFonts w:ascii="Book Antiqua" w:hAnsi="Book Antiqua"/>
          <w:i/>
          <w:color w:val="auto"/>
          <w:sz w:val="24"/>
          <w:szCs w:val="24"/>
        </w:rPr>
        <w:t>(1</w:t>
      </w:r>
      <w:proofErr w:type="gramStart"/>
      <w:r w:rsidRPr="008C1882">
        <w:rPr>
          <w:rFonts w:ascii="Book Antiqua" w:hAnsi="Book Antiqua"/>
          <w:i/>
          <w:color w:val="auto"/>
          <w:sz w:val="24"/>
          <w:szCs w:val="24"/>
        </w:rPr>
        <w:t>)  Direct</w:t>
      </w:r>
      <w:proofErr w:type="gramEnd"/>
      <w:r w:rsidRPr="008C1882">
        <w:rPr>
          <w:rFonts w:ascii="Book Antiqua" w:hAnsi="Book Antiqua"/>
          <w:i/>
          <w:color w:val="auto"/>
          <w:sz w:val="24"/>
          <w:szCs w:val="24"/>
        </w:rPr>
        <w:t xml:space="preserve"> (primary) insurance</w:t>
      </w:r>
    </w:p>
    <w:p w14:paraId="1224DAB2"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Following a ‘hard’ </w:t>
      </w:r>
      <w:proofErr w:type="spellStart"/>
      <w:r w:rsidRPr="008C1882">
        <w:rPr>
          <w:rFonts w:ascii="Book Antiqua" w:hAnsi="Book Antiqua"/>
          <w:szCs w:val="24"/>
        </w:rPr>
        <w:t>Brexit</w:t>
      </w:r>
      <w:proofErr w:type="spellEnd"/>
      <w:r w:rsidRPr="008C1882">
        <w:rPr>
          <w:rFonts w:ascii="Book Antiqua" w:hAnsi="Book Antiqua"/>
          <w:szCs w:val="24"/>
        </w:rPr>
        <w:t xml:space="preserve"> in which the UK does not join the EEA, it will be regarded as a “</w:t>
      </w:r>
      <w:r w:rsidRPr="008C1882">
        <w:rPr>
          <w:rFonts w:ascii="Book Antiqua" w:hAnsi="Book Antiqua"/>
          <w:i/>
          <w:szCs w:val="24"/>
        </w:rPr>
        <w:t>third country</w:t>
      </w:r>
      <w:r w:rsidRPr="008C1882">
        <w:rPr>
          <w:rFonts w:ascii="Book Antiqua" w:hAnsi="Book Antiqua"/>
          <w:szCs w:val="24"/>
        </w:rPr>
        <w:t>” for Solvency II purposes.</w:t>
      </w:r>
    </w:p>
    <w:p w14:paraId="2AE6A972"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An authorisation under Article 14 of Solvency II to do business throughout the EU can be granted only to an undertaking with its head office in a Member State.</w:t>
      </w:r>
    </w:p>
    <w:p w14:paraId="6DFF3887" w14:textId="77777777" w:rsidR="00E832D6" w:rsidRPr="008C1882" w:rsidRDefault="00E832D6" w:rsidP="00E832D6">
      <w:pPr>
        <w:pStyle w:val="Level1"/>
        <w:spacing w:after="200"/>
        <w:rPr>
          <w:rFonts w:ascii="Book Antiqua" w:hAnsi="Book Antiqua"/>
          <w:szCs w:val="24"/>
        </w:rPr>
      </w:pPr>
      <w:proofErr w:type="gramStart"/>
      <w:r w:rsidRPr="008C1882">
        <w:rPr>
          <w:rFonts w:ascii="Book Antiqua" w:hAnsi="Book Antiqua"/>
          <w:szCs w:val="24"/>
        </w:rPr>
        <w:t>Branches within the EU of firms with head offices outside the EU are covered by Title I Chapter IX of Solvency II</w:t>
      </w:r>
      <w:proofErr w:type="gramEnd"/>
      <w:r w:rsidRPr="008C1882">
        <w:rPr>
          <w:rFonts w:ascii="Book Antiqua" w:hAnsi="Book Antiqua"/>
          <w:szCs w:val="24"/>
        </w:rPr>
        <w:t xml:space="preserve">.  Article 162 requires Member States to make access to </w:t>
      </w:r>
      <w:r w:rsidRPr="008C1882">
        <w:rPr>
          <w:rFonts w:ascii="Book Antiqua" w:hAnsi="Book Antiqua"/>
          <w:i/>
          <w:szCs w:val="24"/>
        </w:rPr>
        <w:t>“the business referred to in the first subparagraph of Article 2(1)”</w:t>
      </w:r>
      <w:r w:rsidRPr="008C1882">
        <w:rPr>
          <w:rStyle w:val="FootnoteReference"/>
          <w:rFonts w:ascii="Book Antiqua" w:hAnsi="Book Antiqua"/>
          <w:i/>
          <w:szCs w:val="24"/>
        </w:rPr>
        <w:footnoteReference w:id="46"/>
      </w:r>
      <w:r w:rsidRPr="008C1882">
        <w:rPr>
          <w:rFonts w:ascii="Book Antiqua" w:hAnsi="Book Antiqua"/>
          <w:szCs w:val="24"/>
        </w:rPr>
        <w:t xml:space="preserve"> by any undertaking with a head office outside the Community subject to an authorisation.  It provides that a Member State </w:t>
      </w:r>
      <w:r w:rsidRPr="008C1882">
        <w:rPr>
          <w:rFonts w:ascii="Book Antiqua" w:hAnsi="Book Antiqua"/>
          <w:szCs w:val="24"/>
          <w:u w:val="single"/>
        </w:rPr>
        <w:t>may</w:t>
      </w:r>
      <w:r w:rsidRPr="008C1882">
        <w:rPr>
          <w:rFonts w:ascii="Book Antiqua" w:hAnsi="Book Antiqua"/>
          <w:szCs w:val="24"/>
        </w:rPr>
        <w:t xml:space="preserve"> grant such an authorisation </w:t>
      </w:r>
      <w:r w:rsidRPr="008C1882">
        <w:rPr>
          <w:rFonts w:ascii="Book Antiqua" w:hAnsi="Book Antiqua"/>
          <w:szCs w:val="24"/>
        </w:rPr>
        <w:lastRenderedPageBreak/>
        <w:t xml:space="preserve">where the undertaking fulfils </w:t>
      </w:r>
      <w:r w:rsidRPr="008C1882">
        <w:rPr>
          <w:rFonts w:ascii="Book Antiqua" w:hAnsi="Book Antiqua"/>
          <w:szCs w:val="24"/>
          <w:u w:val="single"/>
        </w:rPr>
        <w:t xml:space="preserve">at least </w:t>
      </w:r>
      <w:r w:rsidRPr="008C1882">
        <w:rPr>
          <w:rFonts w:ascii="Book Antiqua" w:hAnsi="Book Antiqua"/>
          <w:szCs w:val="24"/>
        </w:rPr>
        <w:t>certain specified conditions, including that:</w:t>
      </w:r>
    </w:p>
    <w:p w14:paraId="73288322" w14:textId="77777777" w:rsidR="00E832D6" w:rsidRPr="008C1882" w:rsidRDefault="00E832D6" w:rsidP="00E832D6">
      <w:pPr>
        <w:pStyle w:val="Level2"/>
        <w:numPr>
          <w:ilvl w:val="0"/>
          <w:numId w:val="23"/>
        </w:numPr>
        <w:spacing w:after="200"/>
        <w:rPr>
          <w:rFonts w:ascii="Book Antiqua" w:hAnsi="Book Antiqua"/>
          <w:szCs w:val="24"/>
        </w:rPr>
      </w:pPr>
      <w:proofErr w:type="gramStart"/>
      <w:r w:rsidRPr="008C1882">
        <w:rPr>
          <w:rFonts w:ascii="Book Antiqua" w:hAnsi="Book Antiqua"/>
          <w:szCs w:val="24"/>
        </w:rPr>
        <w:t>it</w:t>
      </w:r>
      <w:proofErr w:type="gramEnd"/>
      <w:r w:rsidRPr="008C1882">
        <w:rPr>
          <w:rFonts w:ascii="Book Antiqua" w:hAnsi="Book Antiqua"/>
          <w:szCs w:val="24"/>
        </w:rPr>
        <w:t xml:space="preserve"> establishes a branch in the Member State in question i.e. a </w:t>
      </w:r>
      <w:r w:rsidRPr="008C1882">
        <w:rPr>
          <w:rFonts w:ascii="Book Antiqua" w:hAnsi="Book Antiqua"/>
          <w:i/>
          <w:szCs w:val="24"/>
        </w:rPr>
        <w:t>“permanent presence … which receives authorisation in that Member State and which pursues insurance business”</w:t>
      </w:r>
      <w:r w:rsidRPr="008C1882">
        <w:rPr>
          <w:rFonts w:ascii="Book Antiqua" w:hAnsi="Book Antiqua"/>
          <w:szCs w:val="24"/>
        </w:rPr>
        <w:t>;</w:t>
      </w:r>
    </w:p>
    <w:p w14:paraId="743BA55C" w14:textId="77777777" w:rsidR="00E832D6" w:rsidRPr="008C1882" w:rsidRDefault="00E832D6" w:rsidP="00E832D6">
      <w:pPr>
        <w:pStyle w:val="Level2"/>
        <w:numPr>
          <w:ilvl w:val="0"/>
          <w:numId w:val="23"/>
        </w:numPr>
        <w:spacing w:after="200"/>
        <w:rPr>
          <w:rFonts w:ascii="Book Antiqua" w:hAnsi="Book Antiqua"/>
          <w:szCs w:val="24"/>
        </w:rPr>
      </w:pPr>
      <w:proofErr w:type="gramStart"/>
      <w:r w:rsidRPr="008C1882">
        <w:rPr>
          <w:rFonts w:ascii="Book Antiqua" w:hAnsi="Book Antiqua"/>
          <w:szCs w:val="24"/>
        </w:rPr>
        <w:t>it</w:t>
      </w:r>
      <w:proofErr w:type="gramEnd"/>
      <w:r w:rsidRPr="008C1882">
        <w:rPr>
          <w:rFonts w:ascii="Book Antiqua" w:hAnsi="Book Antiqua"/>
          <w:szCs w:val="24"/>
        </w:rPr>
        <w:t xml:space="preserve"> undertakes to set up at the place of management of the branch accounts specific to the business which it pursues there, and to keep there all the records relating to the business transacted;</w:t>
      </w:r>
    </w:p>
    <w:p w14:paraId="2F43BDEC" w14:textId="77777777" w:rsidR="00E832D6" w:rsidRPr="008C1882" w:rsidRDefault="00E832D6" w:rsidP="00E832D6">
      <w:pPr>
        <w:pStyle w:val="Level2"/>
        <w:numPr>
          <w:ilvl w:val="0"/>
          <w:numId w:val="23"/>
        </w:numPr>
        <w:spacing w:after="200"/>
        <w:rPr>
          <w:rFonts w:ascii="Book Antiqua" w:hAnsi="Book Antiqua"/>
          <w:szCs w:val="24"/>
        </w:rPr>
      </w:pPr>
      <w:proofErr w:type="gramStart"/>
      <w:r w:rsidRPr="008C1882">
        <w:rPr>
          <w:rFonts w:ascii="Book Antiqua" w:hAnsi="Book Antiqua"/>
          <w:szCs w:val="24"/>
        </w:rPr>
        <w:t>it</w:t>
      </w:r>
      <w:proofErr w:type="gramEnd"/>
      <w:r w:rsidRPr="008C1882">
        <w:rPr>
          <w:rFonts w:ascii="Book Antiqua" w:hAnsi="Book Antiqua"/>
          <w:szCs w:val="24"/>
        </w:rPr>
        <w:t xml:space="preserve"> possesses in the Member State in which authorisation is sought assets of an amount equal to at least one half of the absolute floor prescribed in Article 129(1)(d) in respect of the Minimum Capital Requirement and deposits one fourth of that absolute floor as security;</w:t>
      </w:r>
    </w:p>
    <w:p w14:paraId="54D9D82E" w14:textId="77777777" w:rsidR="00E832D6" w:rsidRPr="008C1882" w:rsidRDefault="00E832D6" w:rsidP="00E832D6">
      <w:pPr>
        <w:pStyle w:val="Level2"/>
        <w:numPr>
          <w:ilvl w:val="0"/>
          <w:numId w:val="23"/>
        </w:numPr>
        <w:spacing w:after="200"/>
        <w:rPr>
          <w:rFonts w:ascii="Book Antiqua" w:hAnsi="Book Antiqua"/>
          <w:szCs w:val="24"/>
        </w:rPr>
      </w:pPr>
      <w:proofErr w:type="gramStart"/>
      <w:r w:rsidRPr="008C1882">
        <w:rPr>
          <w:rFonts w:ascii="Book Antiqua" w:hAnsi="Book Antiqua"/>
          <w:szCs w:val="24"/>
        </w:rPr>
        <w:t>it</w:t>
      </w:r>
      <w:proofErr w:type="gramEnd"/>
      <w:r w:rsidRPr="008C1882">
        <w:rPr>
          <w:rFonts w:ascii="Book Antiqua" w:hAnsi="Book Antiqua"/>
          <w:szCs w:val="24"/>
        </w:rPr>
        <w:t xml:space="preserve"> undertakes to cover the Solvency Capital Requirement and the Minimum Capital Requirement in accordance with the requirements referred to in Articles 100 and 128;</w:t>
      </w:r>
    </w:p>
    <w:p w14:paraId="4447478F" w14:textId="77777777" w:rsidR="00E832D6" w:rsidRPr="008C1882" w:rsidRDefault="00E832D6" w:rsidP="00E832D6">
      <w:pPr>
        <w:pStyle w:val="Level2"/>
        <w:numPr>
          <w:ilvl w:val="0"/>
          <w:numId w:val="23"/>
        </w:numPr>
        <w:spacing w:after="200"/>
        <w:rPr>
          <w:rFonts w:ascii="Book Antiqua" w:hAnsi="Book Antiqua"/>
          <w:szCs w:val="24"/>
        </w:rPr>
      </w:pPr>
      <w:proofErr w:type="gramStart"/>
      <w:r w:rsidRPr="008C1882">
        <w:rPr>
          <w:rFonts w:ascii="Book Antiqua" w:hAnsi="Book Antiqua"/>
          <w:szCs w:val="24"/>
        </w:rPr>
        <w:t>it</w:t>
      </w:r>
      <w:proofErr w:type="gramEnd"/>
      <w:r w:rsidRPr="008C1882">
        <w:rPr>
          <w:rFonts w:ascii="Book Antiqua" w:hAnsi="Book Antiqua"/>
          <w:szCs w:val="24"/>
        </w:rPr>
        <w:t xml:space="preserve"> submits a scheme of operations in accordance with the provisions in Article 163; and</w:t>
      </w:r>
    </w:p>
    <w:p w14:paraId="7D911389" w14:textId="77777777" w:rsidR="00E832D6" w:rsidRPr="008C1882" w:rsidRDefault="00E832D6" w:rsidP="00E832D6">
      <w:pPr>
        <w:pStyle w:val="Level2"/>
        <w:numPr>
          <w:ilvl w:val="0"/>
          <w:numId w:val="23"/>
        </w:numPr>
        <w:spacing w:after="200"/>
        <w:rPr>
          <w:rFonts w:ascii="Book Antiqua" w:hAnsi="Book Antiqua"/>
          <w:szCs w:val="24"/>
        </w:rPr>
      </w:pPr>
      <w:proofErr w:type="gramStart"/>
      <w:r w:rsidRPr="008C1882">
        <w:rPr>
          <w:rFonts w:ascii="Book Antiqua" w:hAnsi="Book Antiqua"/>
          <w:szCs w:val="24"/>
        </w:rPr>
        <w:t>it</w:t>
      </w:r>
      <w:proofErr w:type="gramEnd"/>
      <w:r w:rsidRPr="008C1882">
        <w:rPr>
          <w:rFonts w:ascii="Book Antiqua" w:hAnsi="Book Antiqua"/>
          <w:szCs w:val="24"/>
        </w:rPr>
        <w:t xml:space="preserve"> fulfils the governance requirements laid down in Chapter IV, Section 2.</w:t>
      </w:r>
    </w:p>
    <w:p w14:paraId="41A75FC3"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These are stated to be </w:t>
      </w:r>
      <w:r w:rsidRPr="008C1882">
        <w:rPr>
          <w:rFonts w:ascii="Book Antiqua" w:hAnsi="Book Antiqua"/>
          <w:szCs w:val="24"/>
          <w:u w:val="single"/>
        </w:rPr>
        <w:t>minimum</w:t>
      </w:r>
      <w:r w:rsidRPr="008C1882">
        <w:rPr>
          <w:rFonts w:ascii="Book Antiqua" w:hAnsi="Book Antiqua"/>
          <w:szCs w:val="24"/>
        </w:rPr>
        <w:t xml:space="preserve"> requirements, and any grant of authorisation is at the discretion of the Member State in question.</w:t>
      </w:r>
    </w:p>
    <w:p w14:paraId="4D119262"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Even if granted, an authorisation does not entitle the firm to do business in </w:t>
      </w:r>
      <w:r w:rsidRPr="008C1882">
        <w:rPr>
          <w:rFonts w:ascii="Book Antiqua" w:hAnsi="Book Antiqua"/>
          <w:szCs w:val="24"/>
          <w:u w:val="single"/>
        </w:rPr>
        <w:t>other</w:t>
      </w:r>
      <w:r w:rsidRPr="008C1882">
        <w:rPr>
          <w:rFonts w:ascii="Book Antiqua" w:hAnsi="Book Antiqua"/>
          <w:szCs w:val="24"/>
        </w:rPr>
        <w:t xml:space="preserve"> Member States: a separate branch and separate authorisation is required for each.</w:t>
      </w:r>
    </w:p>
    <w:p w14:paraId="36298B93"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Article 167 provides that such a firm with authorisation for branches in more than one Member State can apply for certain “</w:t>
      </w:r>
      <w:r w:rsidRPr="008C1882">
        <w:rPr>
          <w:rFonts w:ascii="Book Antiqua" w:hAnsi="Book Antiqua"/>
          <w:i/>
          <w:szCs w:val="24"/>
        </w:rPr>
        <w:t>advantages</w:t>
      </w:r>
      <w:r w:rsidRPr="008C1882">
        <w:rPr>
          <w:rFonts w:ascii="Book Antiqua" w:hAnsi="Book Antiqua"/>
          <w:szCs w:val="24"/>
        </w:rPr>
        <w:t>”:</w:t>
      </w:r>
    </w:p>
    <w:p w14:paraId="72DC554D" w14:textId="77777777" w:rsidR="00E832D6" w:rsidRPr="008C1882" w:rsidRDefault="00E832D6" w:rsidP="00E832D6">
      <w:pPr>
        <w:pStyle w:val="Level2"/>
        <w:numPr>
          <w:ilvl w:val="0"/>
          <w:numId w:val="24"/>
        </w:numPr>
        <w:spacing w:after="200"/>
        <w:rPr>
          <w:rFonts w:ascii="Book Antiqua" w:hAnsi="Book Antiqua"/>
          <w:szCs w:val="24"/>
        </w:rPr>
      </w:pPr>
      <w:proofErr w:type="gramStart"/>
      <w:r w:rsidRPr="008C1882">
        <w:rPr>
          <w:rFonts w:ascii="Book Antiqua" w:hAnsi="Book Antiqua"/>
          <w:szCs w:val="24"/>
        </w:rPr>
        <w:lastRenderedPageBreak/>
        <w:t>the</w:t>
      </w:r>
      <w:proofErr w:type="gramEnd"/>
      <w:r w:rsidRPr="008C1882">
        <w:rPr>
          <w:rFonts w:ascii="Book Antiqua" w:hAnsi="Book Antiqua"/>
          <w:szCs w:val="24"/>
        </w:rPr>
        <w:t xml:space="preserve"> Solvency Capital Requirement being calculated in relation to the entire business which it pursues within the EU;</w:t>
      </w:r>
    </w:p>
    <w:p w14:paraId="09C14F15" w14:textId="77777777" w:rsidR="00E832D6" w:rsidRPr="008C1882" w:rsidRDefault="00E832D6" w:rsidP="00E832D6">
      <w:pPr>
        <w:pStyle w:val="Level2"/>
        <w:numPr>
          <w:ilvl w:val="0"/>
          <w:numId w:val="24"/>
        </w:numPr>
        <w:spacing w:after="200"/>
        <w:rPr>
          <w:rFonts w:ascii="Book Antiqua" w:hAnsi="Book Antiqua"/>
          <w:szCs w:val="24"/>
        </w:rPr>
      </w:pPr>
      <w:proofErr w:type="gramStart"/>
      <w:r w:rsidRPr="008C1882">
        <w:rPr>
          <w:rFonts w:ascii="Book Antiqua" w:hAnsi="Book Antiqua"/>
          <w:szCs w:val="24"/>
        </w:rPr>
        <w:t>the</w:t>
      </w:r>
      <w:proofErr w:type="gramEnd"/>
      <w:r w:rsidRPr="008C1882">
        <w:rPr>
          <w:rFonts w:ascii="Book Antiqua" w:hAnsi="Book Antiqua"/>
          <w:szCs w:val="24"/>
        </w:rPr>
        <w:t xml:space="preserve"> required deposit having to be lodged in only one of the Member States in which the business pursues its activities; and</w:t>
      </w:r>
    </w:p>
    <w:p w14:paraId="58037F84" w14:textId="77777777" w:rsidR="00E832D6" w:rsidRPr="008C1882" w:rsidRDefault="00E832D6" w:rsidP="00E832D6">
      <w:pPr>
        <w:pStyle w:val="Level2"/>
        <w:numPr>
          <w:ilvl w:val="0"/>
          <w:numId w:val="24"/>
        </w:numPr>
        <w:spacing w:after="200"/>
        <w:rPr>
          <w:rFonts w:ascii="Book Antiqua" w:hAnsi="Book Antiqua"/>
          <w:szCs w:val="24"/>
        </w:rPr>
      </w:pPr>
      <w:proofErr w:type="gramStart"/>
      <w:r w:rsidRPr="008C1882">
        <w:rPr>
          <w:rFonts w:ascii="Book Antiqua" w:hAnsi="Book Antiqua"/>
          <w:szCs w:val="24"/>
        </w:rPr>
        <w:t>the</w:t>
      </w:r>
      <w:proofErr w:type="gramEnd"/>
      <w:r w:rsidRPr="008C1882">
        <w:rPr>
          <w:rFonts w:ascii="Book Antiqua" w:hAnsi="Book Antiqua"/>
          <w:szCs w:val="24"/>
        </w:rPr>
        <w:t xml:space="preserve"> assets representing the Minimum Capital Requirement being localised in any one of those Member States.</w:t>
      </w:r>
    </w:p>
    <w:p w14:paraId="193FCF36"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However, this is entirely discretionary: these “</w:t>
      </w:r>
      <w:r w:rsidRPr="008C1882">
        <w:rPr>
          <w:rFonts w:ascii="Book Antiqua" w:hAnsi="Book Antiqua"/>
          <w:i/>
          <w:szCs w:val="24"/>
        </w:rPr>
        <w:t>advantages</w:t>
      </w:r>
      <w:r w:rsidRPr="008C1882">
        <w:rPr>
          <w:rFonts w:ascii="Book Antiqua" w:hAnsi="Book Antiqua"/>
          <w:szCs w:val="24"/>
        </w:rPr>
        <w:t>” “</w:t>
      </w:r>
      <w:r w:rsidRPr="008C1882">
        <w:rPr>
          <w:rFonts w:ascii="Book Antiqua" w:hAnsi="Book Antiqua"/>
          <w:i/>
          <w:szCs w:val="24"/>
        </w:rPr>
        <w:t>may be granted only where the supervisory authorities of all Member States in which an application has been made agree to them</w:t>
      </w:r>
      <w:r w:rsidRPr="008C1882">
        <w:rPr>
          <w:rFonts w:ascii="Book Antiqua" w:hAnsi="Book Antiqua"/>
          <w:szCs w:val="24"/>
        </w:rPr>
        <w:t>” (Article 167(3), and “</w:t>
      </w:r>
      <w:r w:rsidRPr="008C1882">
        <w:rPr>
          <w:rFonts w:ascii="Book Antiqua" w:hAnsi="Book Antiqua"/>
          <w:i/>
          <w:szCs w:val="24"/>
        </w:rPr>
        <w:t>At the request of one or more of the Member States concerned, the advantages … shall be withdrawn simultaneously by all Member States concerned</w:t>
      </w:r>
      <w:r w:rsidRPr="008C1882">
        <w:rPr>
          <w:rFonts w:ascii="Book Antiqua" w:hAnsi="Book Antiqua"/>
          <w:szCs w:val="24"/>
        </w:rPr>
        <w:t>” (Article 167(4)).</w:t>
      </w:r>
    </w:p>
    <w:p w14:paraId="3FFCFF71"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Article 171 provides that</w:t>
      </w:r>
      <w:proofErr w:type="gramStart"/>
      <w:r w:rsidRPr="008C1882">
        <w:rPr>
          <w:rFonts w:ascii="Book Antiqua" w:hAnsi="Book Antiqua"/>
          <w:szCs w:val="24"/>
        </w:rPr>
        <w:t>:-</w:t>
      </w:r>
      <w:proofErr w:type="gramEnd"/>
    </w:p>
    <w:p w14:paraId="67E06E10" w14:textId="77777777" w:rsidR="00E832D6" w:rsidRPr="008C1882" w:rsidRDefault="00E832D6" w:rsidP="00E832D6">
      <w:pPr>
        <w:pStyle w:val="Quote"/>
        <w:spacing w:line="360" w:lineRule="auto"/>
        <w:ind w:left="851"/>
        <w:rPr>
          <w:rFonts w:ascii="Book Antiqua" w:hAnsi="Book Antiqua"/>
          <w:color w:val="auto"/>
          <w:szCs w:val="24"/>
        </w:rPr>
      </w:pPr>
      <w:r w:rsidRPr="008C1882">
        <w:rPr>
          <w:rFonts w:ascii="Book Antiqua" w:hAnsi="Book Antiqua"/>
          <w:color w:val="auto"/>
          <w:szCs w:val="24"/>
        </w:rPr>
        <w:t>“</w:t>
      </w:r>
      <w:r w:rsidRPr="008C1882">
        <w:rPr>
          <w:rFonts w:ascii="Book Antiqua" w:hAnsi="Book Antiqua"/>
          <w:i/>
          <w:color w:val="auto"/>
          <w:szCs w:val="24"/>
        </w:rPr>
        <w:t>The Community may, by means of agreements concluded pursuant to the Treaty with one or more third countries, agree to the application of provisions different to those provided for in this Section, for the purpose of ensuring, under conditions of reciprocity, adequate protection for policy holders and insured persons in the Member States.</w:t>
      </w:r>
      <w:r w:rsidRPr="008C1882">
        <w:rPr>
          <w:rFonts w:ascii="Book Antiqua" w:hAnsi="Book Antiqua"/>
          <w:color w:val="auto"/>
          <w:szCs w:val="24"/>
        </w:rPr>
        <w:t>”</w:t>
      </w:r>
    </w:p>
    <w:p w14:paraId="27EB37C0"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It seems inevitable that such an agreement would be needed in order to make it practicable for UK headquartered firms to continue carrying on direct insurance business within the EU, at least via branches.  We are not aware of any precedent for such an agreement being concluded, </w:t>
      </w:r>
      <w:proofErr w:type="gramStart"/>
      <w:r w:rsidRPr="008C1882">
        <w:rPr>
          <w:rFonts w:ascii="Book Antiqua" w:hAnsi="Book Antiqua"/>
          <w:szCs w:val="24"/>
        </w:rPr>
        <w:t>nor</w:t>
      </w:r>
      <w:proofErr w:type="gramEnd"/>
      <w:r w:rsidRPr="008C1882">
        <w:rPr>
          <w:rFonts w:ascii="Book Antiqua" w:hAnsi="Book Antiqua"/>
          <w:szCs w:val="24"/>
        </w:rPr>
        <w:t xml:space="preserve"> any guidance as to when and on what terms any such agreement might be made.</w:t>
      </w:r>
    </w:p>
    <w:p w14:paraId="05C695B9"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As noted earlier, Article 162 applies to </w:t>
      </w:r>
      <w:r w:rsidRPr="008C1882">
        <w:rPr>
          <w:rFonts w:ascii="Book Antiqua" w:hAnsi="Book Antiqua"/>
          <w:i/>
          <w:szCs w:val="24"/>
        </w:rPr>
        <w:t>“the business referred to in the first subparagraph of Article 2(1)”</w:t>
      </w:r>
      <w:r w:rsidRPr="008C1882">
        <w:rPr>
          <w:rFonts w:ascii="Book Antiqua" w:hAnsi="Book Antiqua"/>
          <w:szCs w:val="24"/>
        </w:rPr>
        <w:t xml:space="preserve">, which in turn refers to </w:t>
      </w:r>
      <w:r w:rsidRPr="008C1882">
        <w:rPr>
          <w:rFonts w:ascii="Book Antiqua" w:hAnsi="Book Antiqua"/>
          <w:i/>
          <w:szCs w:val="24"/>
        </w:rPr>
        <w:t>“direct life and non-life insurance undertakings which are established in the territory of a Member State or which wish to become established there”</w:t>
      </w:r>
      <w:r w:rsidRPr="008C1882">
        <w:rPr>
          <w:rFonts w:ascii="Book Antiqua" w:hAnsi="Book Antiqua"/>
          <w:szCs w:val="24"/>
        </w:rPr>
        <w:t xml:space="preserve">.  It has been argued that Solvency II does not prevent an insurer or reinsurer from carrying on business in the EU </w:t>
      </w:r>
      <w:r w:rsidRPr="008C1882">
        <w:rPr>
          <w:rFonts w:ascii="Book Antiqua" w:hAnsi="Book Antiqua"/>
          <w:szCs w:val="24"/>
          <w:u w:val="single"/>
        </w:rPr>
        <w:t>without</w:t>
      </w:r>
      <w:r w:rsidRPr="008C1882">
        <w:rPr>
          <w:rFonts w:ascii="Book Antiqua" w:hAnsi="Book Antiqua"/>
          <w:szCs w:val="24"/>
        </w:rPr>
        <w:t xml:space="preserve"> establishing a branch.  We understand that the UK, for example, has taken the view that third country insurers require authorisation only if they are </w:t>
      </w:r>
      <w:r w:rsidRPr="008C1882">
        <w:rPr>
          <w:rFonts w:ascii="Book Antiqua" w:hAnsi="Book Antiqua"/>
          <w:szCs w:val="24"/>
        </w:rPr>
        <w:lastRenderedPageBreak/>
        <w:t>effecting or carrying out contracts of insurance in the UK, with the firm or its agent having some kind of presence in the UK.</w:t>
      </w:r>
    </w:p>
    <w:p w14:paraId="2E6A8CEF"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However, it appears that this approach may well not assist firms following a hard </w:t>
      </w:r>
      <w:proofErr w:type="spellStart"/>
      <w:r w:rsidRPr="008C1882">
        <w:rPr>
          <w:rFonts w:ascii="Book Antiqua" w:hAnsi="Book Antiqua"/>
          <w:szCs w:val="24"/>
        </w:rPr>
        <w:t>Brexit</w:t>
      </w:r>
      <w:proofErr w:type="spellEnd"/>
      <w:r w:rsidRPr="008C1882">
        <w:rPr>
          <w:rFonts w:ascii="Book Antiqua" w:hAnsi="Book Antiqua"/>
          <w:szCs w:val="24"/>
        </w:rPr>
        <w:t>, for two reasons.</w:t>
      </w:r>
    </w:p>
    <w:p w14:paraId="48AD858A"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First, the EU Commission’s view appears to be that Article 162 </w:t>
      </w:r>
      <w:proofErr w:type="gramStart"/>
      <w:r w:rsidRPr="008C1882">
        <w:rPr>
          <w:rFonts w:ascii="Book Antiqua" w:hAnsi="Book Antiqua"/>
          <w:szCs w:val="24"/>
        </w:rPr>
        <w:t>means</w:t>
      </w:r>
      <w:proofErr w:type="gramEnd"/>
      <w:r w:rsidRPr="008C1882">
        <w:rPr>
          <w:rFonts w:ascii="Book Antiqua" w:hAnsi="Book Antiqua"/>
          <w:szCs w:val="24"/>
        </w:rPr>
        <w:t xml:space="preserve"> </w:t>
      </w:r>
      <w:r w:rsidRPr="008C1882">
        <w:rPr>
          <w:rFonts w:ascii="Book Antiqua" w:hAnsi="Book Antiqua"/>
          <w:i/>
          <w:szCs w:val="24"/>
        </w:rPr>
        <w:t>“a third-country insurance undertaking may insure risks located in a Member State through a branch authorised by the competent supervisory authority of that Member State”</w:t>
      </w:r>
      <w:r w:rsidRPr="008C1882">
        <w:rPr>
          <w:rFonts w:ascii="Book Antiqua" w:hAnsi="Book Antiqua"/>
          <w:szCs w:val="24"/>
        </w:rPr>
        <w:t>.</w:t>
      </w:r>
      <w:r w:rsidRPr="008C1882">
        <w:rPr>
          <w:rStyle w:val="FootnoteReference"/>
          <w:rFonts w:ascii="Book Antiqua" w:hAnsi="Book Antiqua"/>
          <w:szCs w:val="24"/>
        </w:rPr>
        <w:footnoteReference w:id="47"/>
      </w:r>
      <w:r w:rsidRPr="008C1882">
        <w:rPr>
          <w:rFonts w:ascii="Book Antiqua" w:hAnsi="Book Antiqua"/>
          <w:szCs w:val="24"/>
        </w:rPr>
        <w:t xml:space="preserve">  That statement may go too far.  For example, Article 172 relating to equivalence of reinsurance (discussed below) presupposes that reinsurance may be provided by a third country reinsurer to an EU insurer, without imposing any requirement that the reinsurer establish a branch in the Member State in question.  </w:t>
      </w:r>
    </w:p>
    <w:p w14:paraId="43E8DB5F"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Secondly, however, even if (contrary to the Commission’s view) Solvency II is silent on the issue, that does not mean a third country insurer/reinsurer has a right to provide services in the EU.  Instead, it means that its ability to do so depends on the laws of the relevant Member State.  We understand that the laws of many EEA states provide (in contrast to UK law) that a local risk may be underwritten only by an EEA authorised insurer or an insurer with the benefit of </w:t>
      </w:r>
      <w:proofErr w:type="gramStart"/>
      <w:r w:rsidRPr="008C1882">
        <w:rPr>
          <w:rFonts w:ascii="Book Antiqua" w:hAnsi="Book Antiqua"/>
          <w:szCs w:val="24"/>
        </w:rPr>
        <w:t>an</w:t>
      </w:r>
      <w:proofErr w:type="gramEnd"/>
      <w:r w:rsidRPr="008C1882">
        <w:rPr>
          <w:rFonts w:ascii="Book Antiqua" w:hAnsi="Book Antiqua"/>
          <w:szCs w:val="24"/>
        </w:rPr>
        <w:t xml:space="preserve"> EU passport.</w:t>
      </w:r>
      <w:r w:rsidRPr="008C1882">
        <w:rPr>
          <w:rStyle w:val="FootnoteReference"/>
          <w:rFonts w:ascii="Book Antiqua" w:hAnsi="Book Antiqua"/>
          <w:szCs w:val="24"/>
        </w:rPr>
        <w:footnoteReference w:id="48"/>
      </w:r>
    </w:p>
    <w:p w14:paraId="573495FD" w14:textId="77777777" w:rsidR="00E832D6" w:rsidRPr="008C1882" w:rsidRDefault="00E832D6" w:rsidP="00E832D6">
      <w:pPr>
        <w:pStyle w:val="Heading2"/>
        <w:spacing w:before="0" w:after="200"/>
        <w:rPr>
          <w:rFonts w:ascii="Book Antiqua" w:hAnsi="Book Antiqua"/>
          <w:i/>
          <w:color w:val="auto"/>
          <w:sz w:val="24"/>
          <w:szCs w:val="24"/>
        </w:rPr>
      </w:pPr>
      <w:r w:rsidRPr="008C1882">
        <w:rPr>
          <w:rFonts w:ascii="Book Antiqua" w:hAnsi="Book Antiqua"/>
          <w:i/>
          <w:color w:val="auto"/>
          <w:sz w:val="24"/>
          <w:szCs w:val="24"/>
        </w:rPr>
        <w:t>(2</w:t>
      </w:r>
      <w:proofErr w:type="gramStart"/>
      <w:r w:rsidRPr="008C1882">
        <w:rPr>
          <w:rFonts w:ascii="Book Antiqua" w:hAnsi="Book Antiqua"/>
          <w:i/>
          <w:color w:val="auto"/>
          <w:sz w:val="24"/>
          <w:szCs w:val="24"/>
        </w:rPr>
        <w:t>)  Reinsurance</w:t>
      </w:r>
      <w:proofErr w:type="gramEnd"/>
    </w:p>
    <w:p w14:paraId="176AF9E2"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The position for pure reinsurers is slightly better than for direct insurers because certain provision is made for equivalence assessments.  However, it is </w:t>
      </w:r>
      <w:r w:rsidRPr="008C1882">
        <w:rPr>
          <w:rFonts w:ascii="Book Antiqua" w:hAnsi="Book Antiqua"/>
          <w:szCs w:val="24"/>
        </w:rPr>
        <w:lastRenderedPageBreak/>
        <w:t>important to note that, unlike in other internal market legislation, these equivalence provisions do not equate to a passport entitling reinsurers to carry on business in the EU.</w:t>
      </w:r>
    </w:p>
    <w:p w14:paraId="7E0106F3"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Article 172(1) and (2) provide that:</w:t>
      </w:r>
    </w:p>
    <w:p w14:paraId="08748CCB" w14:textId="77777777" w:rsidR="00E832D6" w:rsidRPr="008C1882" w:rsidRDefault="00E832D6" w:rsidP="00E832D6">
      <w:pPr>
        <w:pStyle w:val="Quote"/>
        <w:spacing w:line="360" w:lineRule="auto"/>
        <w:ind w:left="851"/>
        <w:rPr>
          <w:rFonts w:ascii="Book Antiqua" w:hAnsi="Book Antiqua"/>
          <w:i/>
          <w:color w:val="auto"/>
          <w:szCs w:val="24"/>
        </w:rPr>
      </w:pPr>
      <w:r w:rsidRPr="008C1882">
        <w:rPr>
          <w:rFonts w:ascii="Book Antiqua" w:hAnsi="Book Antiqua"/>
          <w:i/>
          <w:color w:val="auto"/>
          <w:szCs w:val="24"/>
        </w:rPr>
        <w:t>“(1</w:t>
      </w:r>
      <w:proofErr w:type="gramStart"/>
      <w:r w:rsidRPr="008C1882">
        <w:rPr>
          <w:rFonts w:ascii="Book Antiqua" w:hAnsi="Book Antiqua"/>
          <w:i/>
          <w:color w:val="auto"/>
          <w:szCs w:val="24"/>
        </w:rPr>
        <w:t>)  The</w:t>
      </w:r>
      <w:proofErr w:type="gramEnd"/>
      <w:r w:rsidRPr="008C1882">
        <w:rPr>
          <w:rFonts w:ascii="Book Antiqua" w:hAnsi="Book Antiqua"/>
          <w:i/>
          <w:color w:val="auto"/>
          <w:szCs w:val="24"/>
        </w:rPr>
        <w:t xml:space="preserve"> Commission shall adopt delegated acts in accordance with Article 301a specifying the criteria for assessing whether the solvency regime of a third country that applies to reinsurance activities of undertakings with their head office in that third country is equivalent to that laid down in Title I.</w:t>
      </w:r>
    </w:p>
    <w:p w14:paraId="7A4A0C9A" w14:textId="77777777" w:rsidR="00E832D6" w:rsidRPr="008C1882" w:rsidRDefault="00E832D6" w:rsidP="00E832D6">
      <w:pPr>
        <w:pStyle w:val="Quote"/>
        <w:spacing w:line="360" w:lineRule="auto"/>
        <w:ind w:left="851"/>
        <w:rPr>
          <w:rFonts w:ascii="Book Antiqua" w:hAnsi="Book Antiqua"/>
          <w:color w:val="auto"/>
          <w:szCs w:val="24"/>
        </w:rPr>
      </w:pPr>
      <w:r w:rsidRPr="008C1882">
        <w:rPr>
          <w:rFonts w:ascii="Book Antiqua" w:hAnsi="Book Antiqua"/>
          <w:i/>
          <w:color w:val="auto"/>
          <w:szCs w:val="24"/>
        </w:rPr>
        <w:t>“(2</w:t>
      </w:r>
      <w:proofErr w:type="gramStart"/>
      <w:r w:rsidRPr="008C1882">
        <w:rPr>
          <w:rFonts w:ascii="Book Antiqua" w:hAnsi="Book Antiqua"/>
          <w:i/>
          <w:color w:val="auto"/>
          <w:szCs w:val="24"/>
        </w:rPr>
        <w:t>)  If</w:t>
      </w:r>
      <w:proofErr w:type="gramEnd"/>
      <w:r w:rsidRPr="008C1882">
        <w:rPr>
          <w:rFonts w:ascii="Book Antiqua" w:hAnsi="Book Antiqua"/>
          <w:i/>
          <w:color w:val="auto"/>
          <w:szCs w:val="24"/>
        </w:rPr>
        <w:t xml:space="preserve"> the criteria adopted in accordance with paragraph 1 have been fulfilled by a third country, the Commission may, in accordance with Article 301a, and assisted by EIOPA in accordance with Article 33(2) of Regulation (EU) No 1094/2010, adopt delegated acts determining that the solvency regime of that third country that applies to reinsurance activities of undertakings with the head office in that third country is equivalent to that laid down in Title I of this Directive.</w:t>
      </w:r>
      <w:r w:rsidRPr="008C1882">
        <w:rPr>
          <w:rFonts w:ascii="Book Antiqua" w:hAnsi="Book Antiqua"/>
          <w:color w:val="auto"/>
          <w:szCs w:val="24"/>
        </w:rPr>
        <w:t>”</w:t>
      </w:r>
      <w:r w:rsidRPr="008C1882">
        <w:rPr>
          <w:rStyle w:val="FootnoteReference"/>
          <w:rFonts w:ascii="Book Antiqua" w:hAnsi="Book Antiqua"/>
          <w:color w:val="auto"/>
          <w:szCs w:val="24"/>
        </w:rPr>
        <w:footnoteReference w:id="49"/>
      </w:r>
    </w:p>
    <w:p w14:paraId="05D26D61"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Any such delegated acts require the non-opposition of the European Parliament and Council and can be withdrawn by either at any time (Article 301a(3) and (5)).</w:t>
      </w:r>
    </w:p>
    <w:p w14:paraId="74BAD869"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These types of delegated act do not provide for access to the single market as such: they have the effect that “</w:t>
      </w:r>
      <w:r w:rsidRPr="008C1882">
        <w:rPr>
          <w:rFonts w:ascii="Book Antiqua" w:hAnsi="Book Antiqua"/>
          <w:i/>
          <w:szCs w:val="24"/>
        </w:rPr>
        <w:t>reinsurance contracts concluded with undertakings having their head office in that third country shall be treated in the same manner as reinsurance contracts concluded with undertakings authorised in accordance with this Directive</w:t>
      </w:r>
      <w:r w:rsidRPr="008C1882">
        <w:rPr>
          <w:rFonts w:ascii="Book Antiqua" w:hAnsi="Book Antiqua"/>
          <w:szCs w:val="24"/>
        </w:rPr>
        <w:t>”.   Member States may not then require pledging of assets to cover unearned premiums and outstanding clams provisions in relation to such reinsurance contracts.</w:t>
      </w:r>
    </w:p>
    <w:p w14:paraId="3F0D1A7F"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This type of equivalence can facilitate reliance by an EEA insurance company on reinsurance provided by a third country reinsurer when that insurer is seeking to satisfy the Solvency Capital Requirement.  That in turn may make it </w:t>
      </w:r>
      <w:r w:rsidRPr="008C1882">
        <w:rPr>
          <w:rFonts w:ascii="Book Antiqua" w:hAnsi="Book Antiqua"/>
          <w:szCs w:val="24"/>
        </w:rPr>
        <w:lastRenderedPageBreak/>
        <w:t>more attractive to EEA insurers to place reinsurance with reinsurers based in countries whose regimes have been recognised as equivalent under Article 172.</w:t>
      </w:r>
    </w:p>
    <w:p w14:paraId="74BE58C5"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The Commission has made Article 172 equivalence determinations in relation to Switzerland, Bermuda</w:t>
      </w:r>
      <w:r w:rsidRPr="008C1882">
        <w:rPr>
          <w:rStyle w:val="FootnoteReference"/>
          <w:rFonts w:ascii="Book Antiqua" w:hAnsi="Book Antiqua"/>
          <w:szCs w:val="24"/>
        </w:rPr>
        <w:footnoteReference w:id="50"/>
      </w:r>
      <w:r w:rsidRPr="008C1882">
        <w:rPr>
          <w:rFonts w:ascii="Book Antiqua" w:hAnsi="Book Antiqua"/>
          <w:szCs w:val="24"/>
        </w:rPr>
        <w:t xml:space="preserve"> and (on a temporary basis until 2020) Japan.</w:t>
      </w:r>
    </w:p>
    <w:p w14:paraId="45606737"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In order for third country reinsurers to be able actually to carry on reinsurance business in the EU, it is necessary for a specific agreement to be made.  Article 175 (“</w:t>
      </w:r>
      <w:r w:rsidRPr="008C1882">
        <w:rPr>
          <w:rFonts w:ascii="Book Antiqua" w:hAnsi="Book Antiqua"/>
          <w:i/>
          <w:szCs w:val="24"/>
        </w:rPr>
        <w:t>agreements with third countries</w:t>
      </w:r>
      <w:r w:rsidRPr="008C1882">
        <w:rPr>
          <w:rFonts w:ascii="Book Antiqua" w:hAnsi="Book Antiqua"/>
          <w:szCs w:val="24"/>
        </w:rPr>
        <w:t>”) provides that:</w:t>
      </w:r>
    </w:p>
    <w:p w14:paraId="1E648751" w14:textId="77777777" w:rsidR="00E832D6" w:rsidRPr="008C1882" w:rsidRDefault="00E832D6" w:rsidP="00E832D6">
      <w:pPr>
        <w:pStyle w:val="Quote"/>
        <w:spacing w:line="360" w:lineRule="auto"/>
        <w:ind w:left="851"/>
        <w:rPr>
          <w:rFonts w:ascii="Book Antiqua" w:hAnsi="Book Antiqua"/>
          <w:i/>
          <w:color w:val="auto"/>
          <w:szCs w:val="24"/>
        </w:rPr>
      </w:pPr>
      <w:r w:rsidRPr="008C1882">
        <w:rPr>
          <w:rFonts w:ascii="Book Antiqua" w:hAnsi="Book Antiqua"/>
          <w:i/>
          <w:color w:val="auto"/>
          <w:szCs w:val="24"/>
        </w:rPr>
        <w:t>“(1) The Commission may submit proposals to the Council for the negotiation of agreements with one or more third countries regarding the means of exercising supervision over the following:</w:t>
      </w:r>
    </w:p>
    <w:p w14:paraId="11A7FC34" w14:textId="77777777" w:rsidR="00E832D6" w:rsidRPr="008C1882" w:rsidRDefault="00E832D6" w:rsidP="00E832D6">
      <w:pPr>
        <w:pStyle w:val="Quote"/>
        <w:spacing w:line="360" w:lineRule="auto"/>
        <w:ind w:left="851"/>
        <w:rPr>
          <w:rFonts w:ascii="Book Antiqua" w:hAnsi="Book Antiqua"/>
          <w:i/>
          <w:color w:val="auto"/>
          <w:szCs w:val="24"/>
        </w:rPr>
      </w:pPr>
      <w:r w:rsidRPr="008C1882">
        <w:rPr>
          <w:rFonts w:ascii="Book Antiqua" w:hAnsi="Book Antiqua"/>
          <w:i/>
          <w:color w:val="auto"/>
          <w:szCs w:val="24"/>
        </w:rPr>
        <w:t xml:space="preserve">(a) </w:t>
      </w:r>
      <w:proofErr w:type="gramStart"/>
      <w:r w:rsidRPr="008C1882">
        <w:rPr>
          <w:rFonts w:ascii="Book Antiqua" w:hAnsi="Book Antiqua"/>
          <w:i/>
          <w:color w:val="auto"/>
          <w:szCs w:val="24"/>
        </w:rPr>
        <w:t>third</w:t>
      </w:r>
      <w:proofErr w:type="gramEnd"/>
      <w:r w:rsidRPr="008C1882">
        <w:rPr>
          <w:rFonts w:ascii="Book Antiqua" w:hAnsi="Book Antiqua"/>
          <w:i/>
          <w:color w:val="auto"/>
          <w:szCs w:val="24"/>
        </w:rPr>
        <w:t>-country reinsurance undertakings which conduct reinsurance business in the Community;</w:t>
      </w:r>
    </w:p>
    <w:p w14:paraId="74831F32" w14:textId="77777777" w:rsidR="00E832D6" w:rsidRPr="008C1882" w:rsidRDefault="00E832D6" w:rsidP="00E832D6">
      <w:pPr>
        <w:pStyle w:val="Quote"/>
        <w:spacing w:line="360" w:lineRule="auto"/>
        <w:ind w:left="851"/>
        <w:rPr>
          <w:rFonts w:ascii="Book Antiqua" w:hAnsi="Book Antiqua"/>
          <w:i/>
          <w:color w:val="auto"/>
          <w:szCs w:val="24"/>
        </w:rPr>
      </w:pPr>
      <w:r w:rsidRPr="008C1882">
        <w:rPr>
          <w:rFonts w:ascii="Book Antiqua" w:hAnsi="Book Antiqua"/>
          <w:i/>
          <w:color w:val="auto"/>
          <w:szCs w:val="24"/>
        </w:rPr>
        <w:t xml:space="preserve">(b) Community reinsurance </w:t>
      </w:r>
      <w:proofErr w:type="gramStart"/>
      <w:r w:rsidRPr="008C1882">
        <w:rPr>
          <w:rFonts w:ascii="Book Antiqua" w:hAnsi="Book Antiqua"/>
          <w:i/>
          <w:color w:val="auto"/>
          <w:szCs w:val="24"/>
        </w:rPr>
        <w:t>undertakings which</w:t>
      </w:r>
      <w:proofErr w:type="gramEnd"/>
      <w:r w:rsidRPr="008C1882">
        <w:rPr>
          <w:rFonts w:ascii="Book Antiqua" w:hAnsi="Book Antiqua"/>
          <w:i/>
          <w:color w:val="auto"/>
          <w:szCs w:val="24"/>
        </w:rPr>
        <w:t xml:space="preserve"> conduct reinsurance business in the territory of a third country.</w:t>
      </w:r>
    </w:p>
    <w:p w14:paraId="6550A5DE" w14:textId="77777777" w:rsidR="00E832D6" w:rsidRPr="008C1882" w:rsidRDefault="00E832D6" w:rsidP="00E832D6">
      <w:pPr>
        <w:pStyle w:val="Quote"/>
        <w:spacing w:line="360" w:lineRule="auto"/>
        <w:ind w:left="851"/>
        <w:rPr>
          <w:rFonts w:ascii="Book Antiqua" w:hAnsi="Book Antiqua"/>
          <w:i/>
          <w:color w:val="auto"/>
          <w:szCs w:val="24"/>
        </w:rPr>
      </w:pPr>
      <w:r w:rsidRPr="008C1882">
        <w:rPr>
          <w:rFonts w:ascii="Book Antiqua" w:hAnsi="Book Antiqua"/>
          <w:i/>
          <w:color w:val="auto"/>
          <w:szCs w:val="24"/>
        </w:rPr>
        <w:t>(2</w:t>
      </w:r>
      <w:proofErr w:type="gramStart"/>
      <w:r w:rsidRPr="008C1882">
        <w:rPr>
          <w:rFonts w:ascii="Book Antiqua" w:hAnsi="Book Antiqua"/>
          <w:i/>
          <w:color w:val="auto"/>
          <w:szCs w:val="24"/>
        </w:rPr>
        <w:t>)  The</w:t>
      </w:r>
      <w:proofErr w:type="gramEnd"/>
      <w:r w:rsidRPr="008C1882">
        <w:rPr>
          <w:rFonts w:ascii="Book Antiqua" w:hAnsi="Book Antiqua"/>
          <w:i/>
          <w:color w:val="auto"/>
          <w:szCs w:val="24"/>
        </w:rPr>
        <w:t xml:space="preserve"> agreements referred to in paragraph 1 shall in particular seek to ensure, under conditions of equivalence of prudential regulation, effective market access for reinsurance undertakings in the territory of each contracting party and provide for mutual recognition of supervisory rules and practices on reinsurance. They shall also seek to ensure the following:</w:t>
      </w:r>
    </w:p>
    <w:p w14:paraId="61F81448" w14:textId="77777777" w:rsidR="00E832D6" w:rsidRPr="008C1882" w:rsidRDefault="00E832D6" w:rsidP="00E832D6">
      <w:pPr>
        <w:pStyle w:val="Quote"/>
        <w:spacing w:line="360" w:lineRule="auto"/>
        <w:ind w:left="851"/>
        <w:rPr>
          <w:rFonts w:ascii="Book Antiqua" w:hAnsi="Book Antiqua"/>
          <w:i/>
          <w:color w:val="auto"/>
          <w:szCs w:val="24"/>
        </w:rPr>
      </w:pPr>
      <w:r w:rsidRPr="008C1882">
        <w:rPr>
          <w:rFonts w:ascii="Book Antiqua" w:hAnsi="Book Antiqua"/>
          <w:i/>
          <w:color w:val="auto"/>
          <w:szCs w:val="24"/>
        </w:rPr>
        <w:t xml:space="preserve">(a) </w:t>
      </w:r>
      <w:proofErr w:type="gramStart"/>
      <w:r w:rsidRPr="008C1882">
        <w:rPr>
          <w:rFonts w:ascii="Book Antiqua" w:hAnsi="Book Antiqua"/>
          <w:i/>
          <w:color w:val="auto"/>
          <w:szCs w:val="24"/>
        </w:rPr>
        <w:t>that</w:t>
      </w:r>
      <w:proofErr w:type="gramEnd"/>
      <w:r w:rsidRPr="008C1882">
        <w:rPr>
          <w:rFonts w:ascii="Book Antiqua" w:hAnsi="Book Antiqua"/>
          <w:i/>
          <w:color w:val="auto"/>
          <w:szCs w:val="24"/>
        </w:rPr>
        <w:t xml:space="preserve"> the supervisory authorities of the Member States are able to obtain the information necessary for the supervision of reinsurance undertakings which have their head offices situated in the Community and conduct business in the territory of third countries concerned;</w:t>
      </w:r>
    </w:p>
    <w:p w14:paraId="052EF7CF" w14:textId="77777777" w:rsidR="00E832D6" w:rsidRPr="008C1882" w:rsidRDefault="00E832D6" w:rsidP="00E832D6">
      <w:pPr>
        <w:pStyle w:val="Quote"/>
        <w:spacing w:line="360" w:lineRule="auto"/>
        <w:ind w:left="851"/>
        <w:rPr>
          <w:rFonts w:ascii="Book Antiqua" w:hAnsi="Book Antiqua"/>
          <w:color w:val="auto"/>
          <w:szCs w:val="24"/>
        </w:rPr>
      </w:pPr>
      <w:r w:rsidRPr="008C1882">
        <w:rPr>
          <w:rFonts w:ascii="Book Antiqua" w:hAnsi="Book Antiqua"/>
          <w:i/>
          <w:color w:val="auto"/>
          <w:szCs w:val="24"/>
        </w:rPr>
        <w:t xml:space="preserve">(b) </w:t>
      </w:r>
      <w:proofErr w:type="gramStart"/>
      <w:r w:rsidRPr="008C1882">
        <w:rPr>
          <w:rFonts w:ascii="Book Antiqua" w:hAnsi="Book Antiqua"/>
          <w:i/>
          <w:color w:val="auto"/>
          <w:szCs w:val="24"/>
        </w:rPr>
        <w:t>that</w:t>
      </w:r>
      <w:proofErr w:type="gramEnd"/>
      <w:r w:rsidRPr="008C1882">
        <w:rPr>
          <w:rFonts w:ascii="Book Antiqua" w:hAnsi="Book Antiqua"/>
          <w:i/>
          <w:color w:val="auto"/>
          <w:szCs w:val="24"/>
        </w:rPr>
        <w:t xml:space="preserve"> the supervisory authorities of third countries are able to obtain the information necessary for the supervision of reinsurance undertakings which have their head offices situated within their territories and conduct business in the Community.</w:t>
      </w:r>
      <w:r w:rsidRPr="008C1882">
        <w:rPr>
          <w:rFonts w:ascii="Book Antiqua" w:hAnsi="Book Antiqua"/>
          <w:color w:val="auto"/>
          <w:szCs w:val="24"/>
        </w:rPr>
        <w:t xml:space="preserve"> …”</w:t>
      </w:r>
    </w:p>
    <w:p w14:paraId="75E57805"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lastRenderedPageBreak/>
        <w:t>As with Article 171 in relation to direct insurance, we are aware of no specific guidance as to the operation of this provision.  It may be noted that recital 89 to Solvency II states:</w:t>
      </w:r>
    </w:p>
    <w:p w14:paraId="7F3A3E04" w14:textId="77777777" w:rsidR="00E832D6" w:rsidRPr="008C1882" w:rsidRDefault="00E832D6" w:rsidP="00E832D6">
      <w:pPr>
        <w:pStyle w:val="Quote"/>
        <w:spacing w:line="360" w:lineRule="auto"/>
        <w:ind w:left="851"/>
        <w:rPr>
          <w:rFonts w:ascii="Book Antiqua" w:hAnsi="Book Antiqua"/>
          <w:color w:val="auto"/>
          <w:szCs w:val="24"/>
        </w:rPr>
      </w:pPr>
      <w:r w:rsidRPr="008C1882">
        <w:rPr>
          <w:rFonts w:ascii="Book Antiqua" w:hAnsi="Book Antiqua"/>
          <w:color w:val="auto"/>
          <w:szCs w:val="24"/>
        </w:rPr>
        <w:t>“</w:t>
      </w:r>
      <w:r w:rsidRPr="008C1882">
        <w:rPr>
          <w:rFonts w:ascii="Book Antiqua" w:hAnsi="Book Antiqua"/>
          <w:i/>
          <w:color w:val="auto"/>
          <w:szCs w:val="24"/>
        </w:rPr>
        <w:t>In order to take account of the international aspects of reinsurance, provision should be made to enable the conclusion of international agreements with a third country aimed at defining the means of supervision over reinsurance entities which conduct business in the territory of each contracting party. Moreover, a flexible procedure should be provided for to make it possible to assess prudential equivalence with third countries on a Community basis, so as to improve liberalisation of reinsurance services in third countries, be it through establishment or cross-border provision of services.</w:t>
      </w:r>
      <w:r w:rsidRPr="008C1882">
        <w:rPr>
          <w:rFonts w:ascii="Book Antiqua" w:hAnsi="Book Antiqua"/>
          <w:color w:val="auto"/>
          <w:szCs w:val="24"/>
        </w:rPr>
        <w:t xml:space="preserve">” </w:t>
      </w:r>
    </w:p>
    <w:p w14:paraId="786A165C"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It may be inferred that Article 175 aims to facilitate reciprocal agreements under which EEA reinsurers can do business in significant markets outside the EEA.</w:t>
      </w:r>
    </w:p>
    <w:p w14:paraId="18E8D1D1" w14:textId="77777777" w:rsidR="00E832D6" w:rsidRPr="008C1882" w:rsidRDefault="00E832D6" w:rsidP="00E832D6">
      <w:pPr>
        <w:pStyle w:val="Heading2"/>
        <w:spacing w:before="0" w:after="200"/>
        <w:rPr>
          <w:rFonts w:ascii="Book Antiqua" w:hAnsi="Book Antiqua"/>
          <w:i/>
          <w:color w:val="auto"/>
          <w:sz w:val="24"/>
          <w:szCs w:val="24"/>
        </w:rPr>
      </w:pPr>
      <w:r w:rsidRPr="008C1882">
        <w:rPr>
          <w:rFonts w:ascii="Book Antiqua" w:hAnsi="Book Antiqua"/>
          <w:i/>
          <w:color w:val="auto"/>
          <w:sz w:val="24"/>
          <w:szCs w:val="24"/>
        </w:rPr>
        <w:t>(3</w:t>
      </w:r>
      <w:proofErr w:type="gramStart"/>
      <w:r w:rsidRPr="008C1882">
        <w:rPr>
          <w:rFonts w:ascii="Book Antiqua" w:hAnsi="Book Antiqua"/>
          <w:i/>
          <w:color w:val="auto"/>
          <w:sz w:val="24"/>
          <w:szCs w:val="24"/>
        </w:rPr>
        <w:t>)  Group</w:t>
      </w:r>
      <w:proofErr w:type="gramEnd"/>
      <w:r w:rsidRPr="008C1882">
        <w:rPr>
          <w:rFonts w:ascii="Book Antiqua" w:hAnsi="Book Antiqua"/>
          <w:i/>
          <w:color w:val="auto"/>
          <w:sz w:val="24"/>
          <w:szCs w:val="24"/>
        </w:rPr>
        <w:t xml:space="preserve"> solvency</w:t>
      </w:r>
    </w:p>
    <w:p w14:paraId="36C60549"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Article 227(1) provides:</w:t>
      </w:r>
    </w:p>
    <w:p w14:paraId="65C58A7F" w14:textId="77777777" w:rsidR="00E832D6" w:rsidRPr="008C1882" w:rsidRDefault="00E832D6" w:rsidP="00E832D6">
      <w:pPr>
        <w:pStyle w:val="Quote"/>
        <w:spacing w:line="360" w:lineRule="auto"/>
        <w:ind w:left="851"/>
        <w:rPr>
          <w:rFonts w:ascii="Book Antiqua" w:hAnsi="Book Antiqua"/>
          <w:i/>
          <w:color w:val="auto"/>
          <w:szCs w:val="24"/>
        </w:rPr>
      </w:pPr>
      <w:r w:rsidRPr="008C1882">
        <w:rPr>
          <w:rFonts w:ascii="Book Antiqua" w:hAnsi="Book Antiqua"/>
          <w:color w:val="auto"/>
          <w:szCs w:val="24"/>
        </w:rPr>
        <w:t>“</w:t>
      </w:r>
      <w:r w:rsidRPr="008C1882">
        <w:rPr>
          <w:rFonts w:ascii="Book Antiqua" w:hAnsi="Book Antiqua"/>
          <w:i/>
          <w:color w:val="auto"/>
          <w:szCs w:val="24"/>
        </w:rPr>
        <w:t>When calculating the group solvency of an insurance or reinsurance undertaking which is a participating undertaking in a third-country insurance or reinsurance undertaking, in accordance with Article 233, the third-country insurance or reinsurance undertaking shall, solely for the purposes of that calculation, be treated as a related insurance or reinsurance undertaking.</w:t>
      </w:r>
    </w:p>
    <w:p w14:paraId="665F2731" w14:textId="77777777" w:rsidR="00E832D6" w:rsidRPr="008C1882" w:rsidRDefault="00E832D6" w:rsidP="00E832D6">
      <w:pPr>
        <w:pStyle w:val="Quote"/>
        <w:spacing w:line="360" w:lineRule="auto"/>
        <w:ind w:left="851"/>
        <w:rPr>
          <w:rFonts w:ascii="Book Antiqua" w:hAnsi="Book Antiqua"/>
          <w:color w:val="auto"/>
          <w:szCs w:val="24"/>
        </w:rPr>
      </w:pPr>
      <w:r w:rsidRPr="008C1882">
        <w:rPr>
          <w:rFonts w:ascii="Book Antiqua" w:hAnsi="Book Antiqua"/>
          <w:i/>
          <w:color w:val="auto"/>
          <w:szCs w:val="24"/>
        </w:rPr>
        <w:t>However, where the third country in which that undertaking has its head office makes it subject to authorisation and imposes on it a solvency regime at least equivalent to that laid down in Title I, Chapter VI, Member States may provide that the calculation take into account, as regards that undertaking, the Solvency Capital Requirement and the own funds eligible to satisfy that requirement as laid down by the third country concerned</w:t>
      </w:r>
      <w:r w:rsidRPr="008C1882">
        <w:rPr>
          <w:rFonts w:ascii="Book Antiqua" w:hAnsi="Book Antiqua"/>
          <w:color w:val="auto"/>
          <w:szCs w:val="24"/>
        </w:rPr>
        <w:t>.”</w:t>
      </w:r>
    </w:p>
    <w:p w14:paraId="6B6F62B5"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Thus, a finding of equivalence for the solvency regime means that calculation of group solvency may take into account the Solvency Capital Requirement and </w:t>
      </w:r>
      <w:r w:rsidRPr="008C1882">
        <w:rPr>
          <w:rFonts w:ascii="Book Antiqua" w:hAnsi="Book Antiqua"/>
          <w:szCs w:val="24"/>
        </w:rPr>
        <w:lastRenderedPageBreak/>
        <w:t>own funds of the third country insurer.  This applies if group solvency is being calculated in accordance with “method 2”, the deduction and aggregation method, rather than “method 1”, which is the default method.</w:t>
      </w:r>
    </w:p>
    <w:p w14:paraId="2B2AA6C7"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Article 227 provides for such equivalence to be determined by the group supervisor in the EU, subject to any decisions the Commission may take on this topic.  Even where equivalence is found, Article 227 does not expressly compel the EU Member State to take into account the third country rules: that appears to be a matter of discretion.</w:t>
      </w:r>
    </w:p>
    <w:p w14:paraId="1E4CDEDC"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The Commission has made group solvency equivalence determinations in relation to Switzerland, Bermuda and (on a 10-year provisional basis) for the US, Australia, Brazil, Canada, Mexico and Japan.</w:t>
      </w:r>
    </w:p>
    <w:p w14:paraId="060E6B1A" w14:textId="77777777" w:rsidR="00E832D6" w:rsidRPr="008C1882" w:rsidRDefault="00E832D6" w:rsidP="00E832D6">
      <w:pPr>
        <w:pStyle w:val="Heading2"/>
        <w:spacing w:before="0" w:after="200"/>
        <w:rPr>
          <w:rFonts w:ascii="Book Antiqua" w:hAnsi="Book Antiqua"/>
          <w:i/>
          <w:color w:val="auto"/>
          <w:sz w:val="24"/>
          <w:szCs w:val="24"/>
        </w:rPr>
      </w:pPr>
      <w:r w:rsidRPr="008C1882">
        <w:rPr>
          <w:rFonts w:ascii="Book Antiqua" w:hAnsi="Book Antiqua"/>
          <w:i/>
          <w:color w:val="auto"/>
          <w:sz w:val="24"/>
          <w:szCs w:val="24"/>
        </w:rPr>
        <w:t>(4</w:t>
      </w:r>
      <w:proofErr w:type="gramStart"/>
      <w:r w:rsidRPr="008C1882">
        <w:rPr>
          <w:rFonts w:ascii="Book Antiqua" w:hAnsi="Book Antiqua"/>
          <w:i/>
          <w:color w:val="auto"/>
          <w:sz w:val="24"/>
          <w:szCs w:val="24"/>
        </w:rPr>
        <w:t>)  Group</w:t>
      </w:r>
      <w:proofErr w:type="gramEnd"/>
      <w:r w:rsidRPr="008C1882">
        <w:rPr>
          <w:rFonts w:ascii="Book Antiqua" w:hAnsi="Book Antiqua"/>
          <w:i/>
          <w:color w:val="auto"/>
          <w:sz w:val="24"/>
          <w:szCs w:val="24"/>
        </w:rPr>
        <w:t xml:space="preserve"> supervision </w:t>
      </w:r>
    </w:p>
    <w:p w14:paraId="722F7B5D"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Article 213 provides for supervision at group level of insurance and reinsurance undertakings, including </w:t>
      </w:r>
      <w:r w:rsidRPr="008C1882">
        <w:rPr>
          <w:rFonts w:ascii="Book Antiqua" w:hAnsi="Book Antiqua"/>
          <w:i/>
          <w:szCs w:val="24"/>
        </w:rPr>
        <w:t>“insurance or reinsurance undertakings, the parent undertaking of which is an insurance holding company or a mixed financial holding company which has its head office in a third country or a third-country insurance or reinsurance undertaking …”</w:t>
      </w:r>
      <w:r w:rsidRPr="008C1882">
        <w:rPr>
          <w:rFonts w:ascii="Book Antiqua" w:hAnsi="Book Antiqua"/>
          <w:szCs w:val="24"/>
        </w:rPr>
        <w:t xml:space="preserve"> (Article 213(2)(c)).</w:t>
      </w:r>
    </w:p>
    <w:p w14:paraId="229CA476"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Article 260 provides that in such a case:</w:t>
      </w:r>
    </w:p>
    <w:p w14:paraId="6E5DF824" w14:textId="77777777" w:rsidR="00E832D6" w:rsidRPr="008C1882" w:rsidRDefault="00E832D6" w:rsidP="00E832D6">
      <w:pPr>
        <w:pStyle w:val="Quote"/>
        <w:spacing w:line="360" w:lineRule="auto"/>
        <w:ind w:left="851"/>
        <w:rPr>
          <w:rFonts w:ascii="Book Antiqua" w:hAnsi="Book Antiqua"/>
          <w:color w:val="auto"/>
          <w:szCs w:val="24"/>
        </w:rPr>
      </w:pPr>
      <w:r w:rsidRPr="008C1882">
        <w:rPr>
          <w:rFonts w:ascii="Book Antiqua" w:hAnsi="Book Antiqua"/>
          <w:color w:val="auto"/>
          <w:szCs w:val="24"/>
        </w:rPr>
        <w:t xml:space="preserve">“… </w:t>
      </w:r>
      <w:proofErr w:type="gramStart"/>
      <w:r w:rsidRPr="008C1882">
        <w:rPr>
          <w:rFonts w:ascii="Book Antiqua" w:hAnsi="Book Antiqua"/>
          <w:i/>
          <w:color w:val="auto"/>
          <w:szCs w:val="24"/>
        </w:rPr>
        <w:t>the</w:t>
      </w:r>
      <w:proofErr w:type="gramEnd"/>
      <w:r w:rsidRPr="008C1882">
        <w:rPr>
          <w:rFonts w:ascii="Book Antiqua" w:hAnsi="Book Antiqua"/>
          <w:i/>
          <w:color w:val="auto"/>
          <w:szCs w:val="24"/>
        </w:rPr>
        <w:t xml:space="preserve"> supervisory authorities concerned shall verify whether the insurance and reinsurance undertakings, the parent undertaking of which has its head office outside the Union, are subject to supervision, by a third-country supervisory authority, which is equivalent to that provided for by this Title on the supervision at the level of the group of insurance and reinsurance undertakings referred to in Article 213(2)(a) and (b)</w:t>
      </w:r>
      <w:r w:rsidRPr="008C1882">
        <w:rPr>
          <w:rFonts w:ascii="Book Antiqua" w:hAnsi="Book Antiqua"/>
          <w:color w:val="auto"/>
          <w:szCs w:val="24"/>
        </w:rPr>
        <w:t>.”</w:t>
      </w:r>
      <w:r w:rsidRPr="008C1882">
        <w:rPr>
          <w:rStyle w:val="FootnoteReference"/>
          <w:rFonts w:ascii="Book Antiqua" w:hAnsi="Book Antiqua"/>
          <w:color w:val="auto"/>
          <w:szCs w:val="24"/>
        </w:rPr>
        <w:footnoteReference w:id="51"/>
      </w:r>
    </w:p>
    <w:p w14:paraId="26055C8A"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Article 261(1) provides:</w:t>
      </w:r>
    </w:p>
    <w:p w14:paraId="36BBDD7F" w14:textId="77777777" w:rsidR="00E832D6" w:rsidRPr="008C1882" w:rsidRDefault="00E832D6" w:rsidP="00E832D6">
      <w:pPr>
        <w:pStyle w:val="Quote"/>
        <w:spacing w:line="360" w:lineRule="auto"/>
        <w:ind w:left="851"/>
        <w:rPr>
          <w:rFonts w:ascii="Book Antiqua" w:hAnsi="Book Antiqua"/>
          <w:color w:val="auto"/>
          <w:szCs w:val="24"/>
        </w:rPr>
      </w:pPr>
      <w:r w:rsidRPr="008C1882">
        <w:rPr>
          <w:rFonts w:ascii="Book Antiqua" w:hAnsi="Book Antiqua"/>
          <w:color w:val="auto"/>
          <w:szCs w:val="24"/>
        </w:rPr>
        <w:lastRenderedPageBreak/>
        <w:t>“</w:t>
      </w:r>
      <w:r w:rsidRPr="008C1882">
        <w:rPr>
          <w:rFonts w:ascii="Book Antiqua" w:hAnsi="Book Antiqua"/>
          <w:i/>
          <w:color w:val="auto"/>
          <w:szCs w:val="24"/>
        </w:rPr>
        <w:t>In the event of equivalent supervision referred to in Article 260, Member States shall rely on the equivalent group supervision exercised by the third-country supervisory authorities</w:t>
      </w:r>
      <w:r w:rsidRPr="008C1882">
        <w:rPr>
          <w:rFonts w:ascii="Book Antiqua" w:hAnsi="Book Antiqua"/>
          <w:color w:val="auto"/>
          <w:szCs w:val="24"/>
        </w:rPr>
        <w:t xml:space="preserve"> …”</w:t>
      </w:r>
    </w:p>
    <w:p w14:paraId="602D0FED"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These provisions mean that if equivalence is granted, EU Member States will rely on the group supervision exercised by the third country supervisor.  They apply where the EU insurers have a parent undertaking in the third country.  Member States supervisors form a ‘college’ led by the third country group supervisor.  </w:t>
      </w:r>
    </w:p>
    <w:p w14:paraId="3BC8D92E"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Here, it appears the EU regulatory authorities </w:t>
      </w:r>
      <w:r w:rsidRPr="008C1882">
        <w:rPr>
          <w:rFonts w:ascii="Book Antiqua" w:hAnsi="Book Antiqua"/>
          <w:szCs w:val="24"/>
          <w:u w:val="single"/>
        </w:rPr>
        <w:t>are</w:t>
      </w:r>
      <w:r w:rsidRPr="008C1882">
        <w:rPr>
          <w:rFonts w:ascii="Book Antiqua" w:hAnsi="Book Antiqua"/>
          <w:szCs w:val="24"/>
        </w:rPr>
        <w:t xml:space="preserve"> required to allow home supervision by the third country regulator, if equivalence exists.  However, verification of whether equivalence does exists is a matter for the EU supervisory authority, subject (as for Article 227 on group solvency) to any Commission determination on that topic.</w:t>
      </w:r>
    </w:p>
    <w:p w14:paraId="23408AA3"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Absent equivalence, Member States can either apply the directive’s group supervision provisions, or other methods to ensure appropriate supervision of the insurers in a group.</w:t>
      </w:r>
    </w:p>
    <w:p w14:paraId="7E134948"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The Commission has made group supervision equivalence determinations in relation to Switzerland and Bermuda.</w:t>
      </w:r>
    </w:p>
    <w:p w14:paraId="44EF4698" w14:textId="77777777" w:rsidR="00E832D6" w:rsidRPr="008C1882" w:rsidRDefault="00E832D6" w:rsidP="00E832D6">
      <w:pPr>
        <w:pStyle w:val="Heading2"/>
        <w:spacing w:before="0" w:after="200"/>
        <w:rPr>
          <w:rFonts w:ascii="Book Antiqua" w:hAnsi="Book Antiqua"/>
          <w:i/>
          <w:color w:val="auto"/>
          <w:sz w:val="24"/>
          <w:szCs w:val="24"/>
        </w:rPr>
      </w:pPr>
      <w:r w:rsidRPr="008C1882">
        <w:rPr>
          <w:rFonts w:ascii="Book Antiqua" w:hAnsi="Book Antiqua"/>
          <w:i/>
          <w:color w:val="auto"/>
          <w:sz w:val="24"/>
          <w:szCs w:val="24"/>
        </w:rPr>
        <w:t>(5</w:t>
      </w:r>
      <w:proofErr w:type="gramStart"/>
      <w:r w:rsidRPr="008C1882">
        <w:rPr>
          <w:rFonts w:ascii="Book Antiqua" w:hAnsi="Book Antiqua"/>
          <w:i/>
          <w:color w:val="auto"/>
          <w:sz w:val="24"/>
          <w:szCs w:val="24"/>
        </w:rPr>
        <w:t>)  Existing</w:t>
      </w:r>
      <w:proofErr w:type="gramEnd"/>
      <w:r w:rsidRPr="008C1882">
        <w:rPr>
          <w:rFonts w:ascii="Book Antiqua" w:hAnsi="Book Antiqua"/>
          <w:i/>
          <w:color w:val="auto"/>
          <w:sz w:val="24"/>
          <w:szCs w:val="24"/>
        </w:rPr>
        <w:t xml:space="preserve"> contracts of insurance and reinsurance </w:t>
      </w:r>
    </w:p>
    <w:p w14:paraId="2A73FD60"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It is unclear to what extent UK insurers and reinsurers will be permitted, under EU law, to continue to service </w:t>
      </w:r>
      <w:r w:rsidRPr="008C1882">
        <w:rPr>
          <w:rFonts w:ascii="Book Antiqua" w:hAnsi="Book Antiqua"/>
          <w:szCs w:val="24"/>
          <w:u w:val="single"/>
        </w:rPr>
        <w:t>existing policies</w:t>
      </w:r>
      <w:r w:rsidRPr="008C1882">
        <w:rPr>
          <w:rFonts w:ascii="Book Antiqua" w:hAnsi="Book Antiqua"/>
          <w:szCs w:val="24"/>
        </w:rPr>
        <w:t xml:space="preserve"> following a hard </w:t>
      </w:r>
      <w:proofErr w:type="spellStart"/>
      <w:r w:rsidRPr="008C1882">
        <w:rPr>
          <w:rFonts w:ascii="Book Antiqua" w:hAnsi="Book Antiqua"/>
          <w:szCs w:val="24"/>
        </w:rPr>
        <w:t>Brexit</w:t>
      </w:r>
      <w:proofErr w:type="spellEnd"/>
      <w:r w:rsidRPr="008C1882">
        <w:rPr>
          <w:rFonts w:ascii="Book Antiqua" w:hAnsi="Book Antiqua"/>
          <w:szCs w:val="24"/>
        </w:rPr>
        <w:t xml:space="preserve">.  Solvency II makes no specific provision for this.  </w:t>
      </w:r>
    </w:p>
    <w:p w14:paraId="3ECC22A4"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Solvency II contains rules governing both the “taking up” and “pursuit” of insurance and re-insurance.</w:t>
      </w:r>
      <w:r w:rsidRPr="008C1882">
        <w:rPr>
          <w:rStyle w:val="FootnoteReference"/>
          <w:rFonts w:ascii="Book Antiqua" w:hAnsi="Book Antiqua"/>
          <w:szCs w:val="24"/>
        </w:rPr>
        <w:footnoteReference w:id="52"/>
      </w:r>
      <w:r w:rsidRPr="008C1882">
        <w:rPr>
          <w:rFonts w:ascii="Book Antiqua" w:hAnsi="Book Antiqua"/>
          <w:szCs w:val="24"/>
        </w:rPr>
        <w:t xml:space="preserve">  Consistent with the existing Directives (and their predecessors), Solvency II appears to require authorisation for both activities.</w:t>
      </w:r>
      <w:r w:rsidRPr="008C1882">
        <w:rPr>
          <w:rStyle w:val="FootnoteReference"/>
          <w:rFonts w:ascii="Book Antiqua" w:hAnsi="Book Antiqua"/>
          <w:szCs w:val="24"/>
        </w:rPr>
        <w:footnoteReference w:id="53"/>
      </w:r>
      <w:r w:rsidRPr="008C1882">
        <w:rPr>
          <w:rFonts w:ascii="Book Antiqua" w:hAnsi="Book Antiqua"/>
          <w:szCs w:val="24"/>
        </w:rPr>
        <w:t xml:space="preserve">  </w:t>
      </w:r>
    </w:p>
    <w:p w14:paraId="3859D475"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lastRenderedPageBreak/>
        <w:t xml:space="preserve">It is arguable that an </w:t>
      </w:r>
      <w:proofErr w:type="gramStart"/>
      <w:r w:rsidRPr="008C1882">
        <w:rPr>
          <w:rFonts w:ascii="Book Antiqua" w:hAnsi="Book Antiqua"/>
          <w:szCs w:val="24"/>
        </w:rPr>
        <w:t>undertaking which</w:t>
      </w:r>
      <w:proofErr w:type="gramEnd"/>
      <w:r w:rsidRPr="008C1882">
        <w:rPr>
          <w:rFonts w:ascii="Book Antiqua" w:hAnsi="Book Antiqua"/>
          <w:szCs w:val="24"/>
        </w:rPr>
        <w:t xml:space="preserve"> is merely servicing its existing contracts, and not writing new business in the EU, is neither taking up nor pursuing insurance business within the meaning of the directive.  The concepts of “taking up” and “pursuit”, given their natural meaning, arguably refer to the commencement and development of a business, rather than extending to circumstances in which a company has ceased to pursue new business in the EU and is simply engaged in settling its outstanding financial commitments. </w:t>
      </w:r>
    </w:p>
    <w:p w14:paraId="69384F0A"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However, an alternative view is that such a firm is pursuing the activities of an insurance undertaking within the scope of Solvency II, at least insofar as it is taking additional </w:t>
      </w:r>
      <w:proofErr w:type="spellStart"/>
      <w:r w:rsidRPr="008C1882">
        <w:rPr>
          <w:rFonts w:ascii="Book Antiqua" w:hAnsi="Book Antiqua"/>
          <w:szCs w:val="24"/>
        </w:rPr>
        <w:t>premia</w:t>
      </w:r>
      <w:proofErr w:type="spellEnd"/>
      <w:r w:rsidRPr="008C1882">
        <w:rPr>
          <w:rFonts w:ascii="Book Antiqua" w:hAnsi="Book Antiqua"/>
          <w:szCs w:val="24"/>
        </w:rPr>
        <w:t>, but arguably also insofar as it is managing its existing book e.g. by paying claims.  The substantive provisions of Solvency II go beyond the starting of a business and the writing of new contracts, extending to matters occurring during the currency of contracts – for example, claims management</w:t>
      </w:r>
      <w:r w:rsidRPr="008C1882">
        <w:rPr>
          <w:rStyle w:val="FootnoteReference"/>
          <w:rFonts w:ascii="Book Antiqua" w:hAnsi="Book Antiqua"/>
          <w:szCs w:val="24"/>
        </w:rPr>
        <w:footnoteReference w:id="54"/>
      </w:r>
      <w:r w:rsidRPr="008C1882">
        <w:rPr>
          <w:rFonts w:ascii="Book Antiqua" w:hAnsi="Book Antiqua"/>
          <w:szCs w:val="24"/>
        </w:rPr>
        <w:t xml:space="preserve"> and the mandatory provision of information to policyholders.</w:t>
      </w:r>
      <w:r w:rsidRPr="008C1882">
        <w:rPr>
          <w:rStyle w:val="FootnoteReference"/>
          <w:rFonts w:ascii="Book Antiqua" w:hAnsi="Book Antiqua"/>
          <w:szCs w:val="24"/>
        </w:rPr>
        <w:footnoteReference w:id="55"/>
      </w:r>
      <w:r w:rsidRPr="008C1882">
        <w:rPr>
          <w:rFonts w:ascii="Book Antiqua" w:hAnsi="Book Antiqua"/>
          <w:szCs w:val="24"/>
        </w:rPr>
        <w:t xml:space="preserve">  While these examples are not conclusive, they may suggest that all of these aspects are part of the process of pursuit of insurance business.  The Commission might not accept that, for instance, a life insurance company with a large number of policyholders paying annual </w:t>
      </w:r>
      <w:proofErr w:type="spellStart"/>
      <w:r w:rsidRPr="008C1882">
        <w:rPr>
          <w:rFonts w:ascii="Book Antiqua" w:hAnsi="Book Antiqua"/>
          <w:szCs w:val="24"/>
        </w:rPr>
        <w:t>premia</w:t>
      </w:r>
      <w:proofErr w:type="spellEnd"/>
      <w:r w:rsidRPr="008C1882">
        <w:rPr>
          <w:rFonts w:ascii="Book Antiqua" w:hAnsi="Book Antiqua"/>
          <w:szCs w:val="24"/>
        </w:rPr>
        <w:t xml:space="preserve">, potentially for decades into the future, is not pursuing the business of insurance.    </w:t>
      </w:r>
    </w:p>
    <w:p w14:paraId="303D17DD"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If the latter view is correct, then there is an urgent problem to address in order to permit firms to carry on servicing their existing policies.</w:t>
      </w:r>
    </w:p>
    <w:p w14:paraId="32C93BF9" w14:textId="77777777" w:rsidR="00E832D6" w:rsidRPr="008C1882" w:rsidRDefault="00E832D6" w:rsidP="00E832D6">
      <w:pPr>
        <w:pStyle w:val="Heading2"/>
        <w:spacing w:before="0" w:after="200"/>
        <w:rPr>
          <w:rFonts w:ascii="Book Antiqua" w:hAnsi="Book Antiqua"/>
          <w:i/>
          <w:color w:val="auto"/>
          <w:sz w:val="24"/>
          <w:szCs w:val="24"/>
        </w:rPr>
      </w:pPr>
      <w:r w:rsidRPr="008C1882">
        <w:rPr>
          <w:rFonts w:ascii="Book Antiqua" w:hAnsi="Book Antiqua"/>
          <w:i/>
          <w:color w:val="auto"/>
          <w:sz w:val="24"/>
          <w:szCs w:val="24"/>
        </w:rPr>
        <w:t>(6) Intermediaries</w:t>
      </w:r>
    </w:p>
    <w:p w14:paraId="6D0E8C42"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There is no equivalence regime under IMD or IDD that third-country insurance intermediaries can use to passport into the Single Market. </w:t>
      </w:r>
    </w:p>
    <w:p w14:paraId="6227A0C8" w14:textId="77777777" w:rsidR="00E832D6" w:rsidRPr="008C1882" w:rsidRDefault="00E832D6" w:rsidP="00E832D6">
      <w:pPr>
        <w:pStyle w:val="Heading2"/>
        <w:spacing w:before="0" w:after="200"/>
        <w:rPr>
          <w:rFonts w:ascii="Book Antiqua" w:hAnsi="Book Antiqua"/>
          <w:i/>
          <w:color w:val="auto"/>
          <w:sz w:val="24"/>
          <w:szCs w:val="24"/>
        </w:rPr>
      </w:pPr>
      <w:r w:rsidRPr="008C1882">
        <w:rPr>
          <w:rFonts w:ascii="Book Antiqua" w:hAnsi="Book Antiqua"/>
          <w:i/>
          <w:color w:val="auto"/>
          <w:sz w:val="24"/>
          <w:szCs w:val="24"/>
        </w:rPr>
        <w:t xml:space="preserve">(7) </w:t>
      </w:r>
      <w:proofErr w:type="spellStart"/>
      <w:r w:rsidRPr="008C1882">
        <w:rPr>
          <w:rFonts w:ascii="Book Antiqua" w:hAnsi="Book Antiqua"/>
          <w:i/>
          <w:color w:val="auto"/>
          <w:sz w:val="24"/>
          <w:szCs w:val="24"/>
        </w:rPr>
        <w:t>MiFID</w:t>
      </w:r>
      <w:proofErr w:type="spellEnd"/>
      <w:r w:rsidRPr="008C1882">
        <w:rPr>
          <w:rFonts w:ascii="Book Antiqua" w:hAnsi="Book Antiqua"/>
          <w:i/>
          <w:color w:val="auto"/>
          <w:sz w:val="24"/>
          <w:szCs w:val="24"/>
        </w:rPr>
        <w:t>/</w:t>
      </w:r>
      <w:proofErr w:type="spellStart"/>
      <w:r w:rsidRPr="008C1882">
        <w:rPr>
          <w:rFonts w:ascii="Book Antiqua" w:hAnsi="Book Antiqua"/>
          <w:i/>
          <w:color w:val="auto"/>
          <w:sz w:val="24"/>
          <w:szCs w:val="24"/>
        </w:rPr>
        <w:t>MiFID</w:t>
      </w:r>
      <w:proofErr w:type="spellEnd"/>
      <w:r w:rsidRPr="008C1882">
        <w:rPr>
          <w:rFonts w:ascii="Book Antiqua" w:hAnsi="Book Antiqua"/>
          <w:i/>
          <w:color w:val="auto"/>
          <w:sz w:val="24"/>
          <w:szCs w:val="24"/>
        </w:rPr>
        <w:t xml:space="preserve"> II activities</w:t>
      </w:r>
    </w:p>
    <w:p w14:paraId="25500C93"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Insurance businesses may need passports to provide their other, non-insurance activities cross-border. See the Chapters on </w:t>
      </w:r>
      <w:proofErr w:type="spellStart"/>
      <w:r w:rsidRPr="008C1882">
        <w:rPr>
          <w:rFonts w:ascii="Book Antiqua" w:hAnsi="Book Antiqua"/>
          <w:szCs w:val="24"/>
        </w:rPr>
        <w:t>MiFID</w:t>
      </w:r>
      <w:proofErr w:type="spellEnd"/>
      <w:r w:rsidRPr="008C1882">
        <w:rPr>
          <w:rFonts w:ascii="Book Antiqua" w:hAnsi="Book Antiqua"/>
          <w:szCs w:val="24"/>
        </w:rPr>
        <w:t xml:space="preserve"> and </w:t>
      </w:r>
      <w:proofErr w:type="spellStart"/>
      <w:r w:rsidRPr="008C1882">
        <w:rPr>
          <w:rFonts w:ascii="Book Antiqua" w:hAnsi="Book Antiqua"/>
          <w:szCs w:val="24"/>
        </w:rPr>
        <w:t>MiFID</w:t>
      </w:r>
      <w:proofErr w:type="spellEnd"/>
      <w:r w:rsidRPr="008C1882">
        <w:rPr>
          <w:rFonts w:ascii="Book Antiqua" w:hAnsi="Book Antiqua"/>
          <w:szCs w:val="24"/>
        </w:rPr>
        <w:t xml:space="preserve"> II/</w:t>
      </w:r>
      <w:proofErr w:type="spellStart"/>
      <w:r w:rsidRPr="008C1882">
        <w:rPr>
          <w:rFonts w:ascii="Book Antiqua" w:hAnsi="Book Antiqua"/>
          <w:szCs w:val="24"/>
        </w:rPr>
        <w:t>MiFIR</w:t>
      </w:r>
      <w:proofErr w:type="spellEnd"/>
      <w:r w:rsidRPr="008C1882">
        <w:rPr>
          <w:rFonts w:ascii="Book Antiqua" w:hAnsi="Book Antiqua"/>
          <w:szCs w:val="24"/>
        </w:rPr>
        <w:t xml:space="preserve"> (from </w:t>
      </w:r>
      <w:r w:rsidRPr="008C1882">
        <w:rPr>
          <w:rFonts w:ascii="Book Antiqua" w:hAnsi="Book Antiqua"/>
          <w:szCs w:val="24"/>
        </w:rPr>
        <w:lastRenderedPageBreak/>
        <w:t xml:space="preserve">January 2018) (Chapter 2) and Capital Requirements (CRD IV) (Chapter 6) for more information on </w:t>
      </w:r>
      <w:proofErr w:type="spellStart"/>
      <w:r w:rsidRPr="008C1882">
        <w:rPr>
          <w:rFonts w:ascii="Book Antiqua" w:hAnsi="Book Antiqua"/>
          <w:szCs w:val="24"/>
        </w:rPr>
        <w:t>passporting</w:t>
      </w:r>
      <w:proofErr w:type="spellEnd"/>
      <w:r w:rsidRPr="008C1882">
        <w:rPr>
          <w:rFonts w:ascii="Book Antiqua" w:hAnsi="Book Antiqua"/>
          <w:szCs w:val="24"/>
        </w:rPr>
        <w:t xml:space="preserve"> under those regimes.</w:t>
      </w:r>
    </w:p>
    <w:p w14:paraId="0AFF16CF" w14:textId="77777777" w:rsidR="00E832D6" w:rsidRPr="008C1882" w:rsidRDefault="00E832D6" w:rsidP="00E832D6">
      <w:pPr>
        <w:pStyle w:val="Heading2"/>
        <w:spacing w:before="0" w:after="200"/>
        <w:rPr>
          <w:rFonts w:ascii="Book Antiqua" w:hAnsi="Book Antiqua"/>
          <w:i/>
          <w:color w:val="auto"/>
          <w:sz w:val="24"/>
          <w:szCs w:val="24"/>
        </w:rPr>
      </w:pPr>
      <w:r w:rsidRPr="008C1882">
        <w:rPr>
          <w:rFonts w:ascii="Book Antiqua" w:hAnsi="Book Antiqua"/>
          <w:i/>
          <w:color w:val="auto"/>
          <w:sz w:val="24"/>
          <w:szCs w:val="24"/>
        </w:rPr>
        <w:t>(8) Generally</w:t>
      </w:r>
    </w:p>
    <w:p w14:paraId="771AA789"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It should be apparent from the foregoing that even if all available equivalence recognitions were granted, UK insurers and reinsurers would still not be legally entitled to carry on business in the EU as they are at present pursuant to the Article 14 “passport”.  Accordingly, to the extent that EU business is significant for these industry sectors, and unless effective “work-</w:t>
      </w:r>
      <w:proofErr w:type="spellStart"/>
      <w:r w:rsidRPr="008C1882">
        <w:rPr>
          <w:rFonts w:ascii="Book Antiqua" w:hAnsi="Book Antiqua"/>
          <w:szCs w:val="24"/>
        </w:rPr>
        <w:t>arounds</w:t>
      </w:r>
      <w:proofErr w:type="spellEnd"/>
      <w:r w:rsidRPr="008C1882">
        <w:rPr>
          <w:rFonts w:ascii="Book Antiqua" w:hAnsi="Book Antiqua"/>
          <w:szCs w:val="24"/>
        </w:rPr>
        <w:t xml:space="preserve">” can be found, the industry is likely to be seriously damaged by a hard </w:t>
      </w:r>
      <w:proofErr w:type="spellStart"/>
      <w:r w:rsidRPr="008C1882">
        <w:rPr>
          <w:rFonts w:ascii="Book Antiqua" w:hAnsi="Book Antiqua"/>
          <w:szCs w:val="24"/>
        </w:rPr>
        <w:t>Brexit</w:t>
      </w:r>
      <w:proofErr w:type="spellEnd"/>
      <w:r w:rsidRPr="008C1882">
        <w:rPr>
          <w:rFonts w:ascii="Book Antiqua" w:hAnsi="Book Antiqua"/>
          <w:szCs w:val="24"/>
        </w:rPr>
        <w:t xml:space="preserve"> unless a deal can be struck to preserve access to the relevant EU markets.</w:t>
      </w:r>
    </w:p>
    <w:p w14:paraId="549A36A4" w14:textId="77777777" w:rsidR="00E832D6" w:rsidRPr="008C1882" w:rsidRDefault="00E832D6" w:rsidP="00E832D6">
      <w:pPr>
        <w:pStyle w:val="Heading1"/>
        <w:spacing w:before="0" w:after="200"/>
        <w:rPr>
          <w:rFonts w:ascii="Book Antiqua" w:hAnsi="Book Antiqua"/>
          <w:color w:val="auto"/>
          <w:sz w:val="24"/>
          <w:szCs w:val="24"/>
        </w:rPr>
      </w:pPr>
    </w:p>
    <w:p w14:paraId="3B2F25CB" w14:textId="77777777" w:rsidR="00E832D6" w:rsidRPr="008C1882" w:rsidRDefault="00E832D6" w:rsidP="00E832D6">
      <w:pPr>
        <w:pStyle w:val="Heading1"/>
        <w:spacing w:before="0" w:after="200"/>
        <w:rPr>
          <w:rFonts w:ascii="Book Antiqua" w:hAnsi="Book Antiqua"/>
          <w:color w:val="auto"/>
          <w:sz w:val="24"/>
          <w:szCs w:val="24"/>
          <w:u w:val="single"/>
        </w:rPr>
      </w:pPr>
      <w:r w:rsidRPr="008C1882">
        <w:rPr>
          <w:rFonts w:ascii="Book Antiqua" w:hAnsi="Book Antiqua"/>
          <w:color w:val="auto"/>
          <w:sz w:val="24"/>
          <w:szCs w:val="24"/>
          <w:u w:val="single"/>
        </w:rPr>
        <w:t>F.  Commentary</w:t>
      </w:r>
    </w:p>
    <w:p w14:paraId="1AC9AC06"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Stakeholders in the insurance market have publicly deliberated upon the consequences of </w:t>
      </w:r>
      <w:proofErr w:type="spellStart"/>
      <w:r w:rsidRPr="008C1882">
        <w:rPr>
          <w:rFonts w:ascii="Book Antiqua" w:hAnsi="Book Antiqua"/>
          <w:szCs w:val="24"/>
        </w:rPr>
        <w:t>Brexit</w:t>
      </w:r>
      <w:proofErr w:type="spellEnd"/>
      <w:r w:rsidRPr="008C1882">
        <w:rPr>
          <w:rFonts w:ascii="Book Antiqua" w:hAnsi="Book Antiqua"/>
          <w:szCs w:val="24"/>
        </w:rPr>
        <w:t xml:space="preserve"> for the UK insurance industry. </w:t>
      </w:r>
    </w:p>
    <w:p w14:paraId="45D91C66"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Before the 23 June 2016 referendum, Lloyd’s explained that access to the Single Market is: “</w:t>
      </w:r>
      <w:r w:rsidRPr="008C1882">
        <w:rPr>
          <w:rFonts w:ascii="Book Antiqua" w:hAnsi="Book Antiqua"/>
          <w:i/>
          <w:szCs w:val="24"/>
        </w:rPr>
        <w:t>critical to the success of the London insurance market and its position as the world’s largest specialist insurance and reinsurance centre</w:t>
      </w:r>
      <w:r w:rsidRPr="008C1882">
        <w:rPr>
          <w:rFonts w:ascii="Book Antiqua" w:hAnsi="Book Antiqua"/>
          <w:szCs w:val="24"/>
        </w:rPr>
        <w:t>.”</w:t>
      </w:r>
      <w:r w:rsidRPr="008C1882">
        <w:rPr>
          <w:rStyle w:val="FootnoteReference"/>
          <w:rFonts w:ascii="Book Antiqua" w:hAnsi="Book Antiqua"/>
          <w:szCs w:val="24"/>
        </w:rPr>
        <w:footnoteReference w:id="56"/>
      </w:r>
    </w:p>
    <w:p w14:paraId="35235411"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The Lloyd’s chairman warned on 5 September 2016 that: “</w:t>
      </w:r>
      <w:r w:rsidRPr="008C1882">
        <w:rPr>
          <w:rFonts w:ascii="Book Antiqua" w:hAnsi="Book Antiqua"/>
          <w:i/>
          <w:szCs w:val="24"/>
        </w:rPr>
        <w:t xml:space="preserve">if we are not able to access the single market, either through </w:t>
      </w:r>
      <w:proofErr w:type="spellStart"/>
      <w:r w:rsidRPr="008C1882">
        <w:rPr>
          <w:rFonts w:ascii="Book Antiqua" w:hAnsi="Book Antiqua"/>
          <w:i/>
          <w:szCs w:val="24"/>
        </w:rPr>
        <w:t>passporting</w:t>
      </w:r>
      <w:proofErr w:type="spellEnd"/>
      <w:r w:rsidRPr="008C1882">
        <w:rPr>
          <w:rFonts w:ascii="Book Antiqua" w:hAnsi="Book Antiqua"/>
          <w:i/>
          <w:szCs w:val="24"/>
        </w:rPr>
        <w:t xml:space="preserve"> rights or other means, the inevitable consequences for Lloyds – and indeed other insurance organisations – will be that we will transact the business onshore in the EU – and that obviously will have an impact on London</w:t>
      </w:r>
      <w:r w:rsidRPr="008C1882">
        <w:rPr>
          <w:rFonts w:ascii="Book Antiqua" w:hAnsi="Book Antiqua"/>
          <w:szCs w:val="24"/>
        </w:rPr>
        <w:t>.”</w:t>
      </w:r>
      <w:r w:rsidRPr="008C1882">
        <w:rPr>
          <w:rStyle w:val="FootnoteReference"/>
          <w:rFonts w:ascii="Book Antiqua" w:hAnsi="Book Antiqua"/>
          <w:szCs w:val="24"/>
        </w:rPr>
        <w:footnoteReference w:id="57"/>
      </w:r>
      <w:r w:rsidRPr="008C1882">
        <w:rPr>
          <w:rFonts w:ascii="Book Antiqua" w:hAnsi="Book Antiqua"/>
          <w:szCs w:val="24"/>
        </w:rPr>
        <w:t xml:space="preserve">  Inga Beale, the Lloyd’s chief executive, developed the theme: “</w:t>
      </w:r>
      <w:r w:rsidRPr="008C1882">
        <w:rPr>
          <w:rFonts w:ascii="Book Antiqua" w:hAnsi="Book Antiqua"/>
          <w:i/>
          <w:szCs w:val="24"/>
        </w:rPr>
        <w:t>We are making very robust plans. We could open a subsidiary in one of the remaining EU countries that will enable us to passport.</w:t>
      </w:r>
      <w:r w:rsidRPr="008C1882">
        <w:rPr>
          <w:rFonts w:ascii="Book Antiqua" w:hAnsi="Book Antiqua"/>
          <w:szCs w:val="24"/>
        </w:rPr>
        <w:t>”</w:t>
      </w:r>
      <w:r w:rsidRPr="008C1882">
        <w:rPr>
          <w:rStyle w:val="FootnoteReference"/>
          <w:rFonts w:ascii="Book Antiqua" w:hAnsi="Book Antiqua"/>
          <w:szCs w:val="24"/>
        </w:rPr>
        <w:footnoteReference w:id="58"/>
      </w:r>
    </w:p>
    <w:p w14:paraId="275CCFF1"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In our judgment, these warnings are credible and realistic.  Despite Lloyd’s precautions, global insurers may still shift business to subsidiaries elsewhere </w:t>
      </w:r>
      <w:r w:rsidRPr="008C1882">
        <w:rPr>
          <w:rFonts w:ascii="Book Antiqua" w:hAnsi="Book Antiqua"/>
          <w:szCs w:val="24"/>
        </w:rPr>
        <w:lastRenderedPageBreak/>
        <w:t xml:space="preserve">within the Single Market, bypassing the Lloyd’s market altogether. One news source quotes the general counsel of a FTSE 100 insurance company: </w:t>
      </w:r>
      <w:r w:rsidRPr="008C1882">
        <w:rPr>
          <w:rFonts w:ascii="Book Antiqua" w:hAnsi="Book Antiqua"/>
          <w:i/>
          <w:szCs w:val="24"/>
        </w:rPr>
        <w:t xml:space="preserve">“For now, people in insurance should be looking at their cross-border arrangements. You’re in a good place if you have subsidiaries in the right places and </w:t>
      </w:r>
      <w:proofErr w:type="spellStart"/>
      <w:r w:rsidRPr="008C1882">
        <w:rPr>
          <w:rFonts w:ascii="Book Antiqua" w:hAnsi="Book Antiqua"/>
          <w:i/>
          <w:szCs w:val="24"/>
        </w:rPr>
        <w:t>passporting</w:t>
      </w:r>
      <w:proofErr w:type="spellEnd"/>
      <w:r w:rsidRPr="008C1882">
        <w:rPr>
          <w:rFonts w:ascii="Book Antiqua" w:hAnsi="Book Antiqua"/>
          <w:i/>
          <w:szCs w:val="24"/>
        </w:rPr>
        <w:t xml:space="preserve"> isn’t an issue – others don’t have that luxury. Does your business need to establish subsidiaries elsewhere? Who are your suppliers? People should get a feel for where they think problems will arise.”</w:t>
      </w:r>
      <w:r w:rsidRPr="008C1882">
        <w:rPr>
          <w:rStyle w:val="FootnoteReference"/>
          <w:rFonts w:ascii="Book Antiqua" w:hAnsi="Book Antiqua"/>
          <w:szCs w:val="24"/>
        </w:rPr>
        <w:footnoteReference w:id="59"/>
      </w:r>
    </w:p>
    <w:p w14:paraId="2EA21A22"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More generally, multinational insurers with their European headquarters in the UK are considering moving operations to other Single Market countries. AIG’s chief executive for the UK and Europe recently noted: </w:t>
      </w:r>
      <w:r w:rsidRPr="008C1882">
        <w:rPr>
          <w:rFonts w:ascii="Book Antiqua" w:hAnsi="Book Antiqua"/>
          <w:i/>
          <w:szCs w:val="24"/>
        </w:rPr>
        <w:t>“At a certain point in time you’ve got to pull the trigger, absent of any clarity on where negotiations are going in the transition period”</w:t>
      </w:r>
      <w:r w:rsidRPr="008C1882">
        <w:rPr>
          <w:rFonts w:ascii="Book Antiqua" w:hAnsi="Book Antiqua"/>
          <w:szCs w:val="24"/>
        </w:rPr>
        <w:t>.</w:t>
      </w:r>
      <w:r w:rsidRPr="008C1882">
        <w:rPr>
          <w:rStyle w:val="FootnoteReference"/>
          <w:rFonts w:ascii="Book Antiqua" w:hAnsi="Book Antiqua"/>
          <w:szCs w:val="24"/>
        </w:rPr>
        <w:footnoteReference w:id="60"/>
      </w:r>
    </w:p>
    <w:p w14:paraId="1BD14C11" w14:textId="77777777" w:rsidR="00E832D6" w:rsidRPr="008C1882" w:rsidRDefault="00E832D6" w:rsidP="00E832D6">
      <w:pPr>
        <w:pStyle w:val="Heading1"/>
        <w:spacing w:before="0" w:after="200"/>
        <w:rPr>
          <w:rFonts w:ascii="Book Antiqua" w:hAnsi="Book Antiqua"/>
          <w:color w:val="auto"/>
          <w:sz w:val="24"/>
          <w:szCs w:val="24"/>
        </w:rPr>
      </w:pPr>
    </w:p>
    <w:p w14:paraId="475FE71E" w14:textId="77777777" w:rsidR="00E832D6" w:rsidRPr="008C1882" w:rsidRDefault="00E832D6" w:rsidP="00E832D6">
      <w:pPr>
        <w:pStyle w:val="Heading1"/>
        <w:spacing w:before="0" w:after="200"/>
        <w:rPr>
          <w:rFonts w:ascii="Book Antiqua" w:hAnsi="Book Antiqua"/>
          <w:color w:val="auto"/>
          <w:sz w:val="24"/>
          <w:szCs w:val="24"/>
          <w:u w:val="single"/>
        </w:rPr>
      </w:pPr>
      <w:r w:rsidRPr="008C1882">
        <w:rPr>
          <w:rFonts w:ascii="Book Antiqua" w:hAnsi="Book Antiqua"/>
          <w:color w:val="auto"/>
          <w:sz w:val="24"/>
          <w:szCs w:val="24"/>
          <w:u w:val="single"/>
        </w:rPr>
        <w:t>G. Possible Mitigations</w:t>
      </w:r>
    </w:p>
    <w:p w14:paraId="4532338E"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 xml:space="preserve">Commentators and policymakers have presented various options to mitigate the challenges posed by </w:t>
      </w:r>
      <w:proofErr w:type="spellStart"/>
      <w:r w:rsidRPr="008C1882">
        <w:rPr>
          <w:rFonts w:ascii="Book Antiqua" w:hAnsi="Book Antiqua"/>
          <w:szCs w:val="24"/>
        </w:rPr>
        <w:t>Brexit</w:t>
      </w:r>
      <w:proofErr w:type="spellEnd"/>
      <w:r w:rsidRPr="008C1882">
        <w:rPr>
          <w:rFonts w:ascii="Book Antiqua" w:hAnsi="Book Antiqua"/>
          <w:szCs w:val="24"/>
        </w:rPr>
        <w:t xml:space="preserve"> and, specifically, the risks to the UK insurance industry of losing </w:t>
      </w:r>
      <w:proofErr w:type="spellStart"/>
      <w:r w:rsidRPr="008C1882">
        <w:rPr>
          <w:rFonts w:ascii="Book Antiqua" w:hAnsi="Book Antiqua"/>
          <w:szCs w:val="24"/>
        </w:rPr>
        <w:t>passporting</w:t>
      </w:r>
      <w:proofErr w:type="spellEnd"/>
      <w:r w:rsidRPr="008C1882">
        <w:rPr>
          <w:rFonts w:ascii="Book Antiqua" w:hAnsi="Book Antiqua"/>
          <w:szCs w:val="24"/>
        </w:rPr>
        <w:t xml:space="preserve"> rights into the Single Market. </w:t>
      </w:r>
    </w:p>
    <w:p w14:paraId="31F09744"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For firms, it has been suggested that an insurer may use a “</w:t>
      </w:r>
      <w:r w:rsidRPr="008C1882">
        <w:rPr>
          <w:rFonts w:ascii="Book Antiqua" w:hAnsi="Book Antiqua"/>
          <w:i/>
          <w:szCs w:val="24"/>
        </w:rPr>
        <w:t>pass through</w:t>
      </w:r>
      <w:r w:rsidRPr="008C1882">
        <w:rPr>
          <w:rFonts w:ascii="Book Antiqua" w:hAnsi="Book Antiqua"/>
          <w:szCs w:val="24"/>
        </w:rPr>
        <w:t xml:space="preserve">” vehicle established in the </w:t>
      </w:r>
      <w:proofErr w:type="gramStart"/>
      <w:r w:rsidRPr="008C1882">
        <w:rPr>
          <w:rFonts w:ascii="Book Antiqua" w:hAnsi="Book Antiqua"/>
          <w:szCs w:val="24"/>
        </w:rPr>
        <w:t>EU which</w:t>
      </w:r>
      <w:proofErr w:type="gramEnd"/>
      <w:r w:rsidRPr="008C1882">
        <w:rPr>
          <w:rFonts w:ascii="Book Antiqua" w:hAnsi="Book Antiqua"/>
          <w:szCs w:val="24"/>
        </w:rPr>
        <w:t xml:space="preserve"> reinsures all its risk back to a UK entity within the same group.  However, such arrangements are likely to be workable only in the event of suitable equivalence determinations being made, and in any event could not assist intermediaries.  </w:t>
      </w:r>
    </w:p>
    <w:p w14:paraId="75E7ECE2"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Failing that, or some other governmental solution of the kind discussed below, an insurer or intermediary seeking to continue to do business in the EU, and not wishing to re-domicile itself, will need either:</w:t>
      </w:r>
    </w:p>
    <w:p w14:paraId="5D778A7E" w14:textId="77777777" w:rsidR="00E832D6" w:rsidRPr="008C1882" w:rsidRDefault="00E832D6" w:rsidP="00E832D6">
      <w:pPr>
        <w:pStyle w:val="Level2"/>
        <w:numPr>
          <w:ilvl w:val="0"/>
          <w:numId w:val="26"/>
        </w:numPr>
        <w:spacing w:after="200"/>
        <w:rPr>
          <w:rFonts w:ascii="Book Antiqua" w:hAnsi="Book Antiqua"/>
          <w:szCs w:val="24"/>
        </w:rPr>
      </w:pPr>
      <w:proofErr w:type="gramStart"/>
      <w:r w:rsidRPr="008C1882">
        <w:rPr>
          <w:rFonts w:ascii="Book Antiqua" w:hAnsi="Book Antiqua"/>
          <w:szCs w:val="24"/>
        </w:rPr>
        <w:lastRenderedPageBreak/>
        <w:t>to</w:t>
      </w:r>
      <w:proofErr w:type="gramEnd"/>
      <w:r w:rsidRPr="008C1882">
        <w:rPr>
          <w:rFonts w:ascii="Book Antiqua" w:hAnsi="Book Antiqua"/>
          <w:szCs w:val="24"/>
        </w:rPr>
        <w:t xml:space="preserve"> set up an EU subsidiary, seek authorisation from the relevant EU Member State for it, and then exercise </w:t>
      </w:r>
      <w:proofErr w:type="spellStart"/>
      <w:r w:rsidRPr="008C1882">
        <w:rPr>
          <w:rFonts w:ascii="Book Antiqua" w:hAnsi="Book Antiqua"/>
          <w:szCs w:val="24"/>
        </w:rPr>
        <w:t>passporting</w:t>
      </w:r>
      <w:proofErr w:type="spellEnd"/>
      <w:r w:rsidRPr="008C1882">
        <w:rPr>
          <w:rFonts w:ascii="Book Antiqua" w:hAnsi="Book Antiqua"/>
          <w:szCs w:val="24"/>
        </w:rPr>
        <w:t xml:space="preserve"> rights through that subsidiary; or </w:t>
      </w:r>
    </w:p>
    <w:p w14:paraId="4E08EF4C" w14:textId="77777777" w:rsidR="00E832D6" w:rsidRPr="008C1882" w:rsidRDefault="00E832D6" w:rsidP="00E832D6">
      <w:pPr>
        <w:pStyle w:val="Level2"/>
        <w:numPr>
          <w:ilvl w:val="0"/>
          <w:numId w:val="26"/>
        </w:numPr>
        <w:spacing w:after="200"/>
        <w:rPr>
          <w:rFonts w:ascii="Book Antiqua" w:hAnsi="Book Antiqua"/>
          <w:szCs w:val="24"/>
        </w:rPr>
      </w:pPr>
      <w:proofErr w:type="gramStart"/>
      <w:r w:rsidRPr="008C1882">
        <w:rPr>
          <w:rFonts w:ascii="Book Antiqua" w:hAnsi="Book Antiqua"/>
          <w:szCs w:val="24"/>
        </w:rPr>
        <w:t>to</w:t>
      </w:r>
      <w:proofErr w:type="gramEnd"/>
      <w:r w:rsidRPr="008C1882">
        <w:rPr>
          <w:rFonts w:ascii="Book Antiqua" w:hAnsi="Book Antiqua"/>
          <w:szCs w:val="24"/>
        </w:rPr>
        <w:t xml:space="preserve"> establish branches in EU Member States and seek authorisation for them on a country by country basis.</w:t>
      </w:r>
    </w:p>
    <w:p w14:paraId="47D10330" w14:textId="77777777" w:rsidR="00E832D6" w:rsidRPr="008C1882" w:rsidRDefault="00E832D6" w:rsidP="00E832D6">
      <w:pPr>
        <w:pStyle w:val="Level1"/>
        <w:spacing w:after="200"/>
        <w:rPr>
          <w:rFonts w:ascii="Book Antiqua" w:hAnsi="Book Antiqua"/>
          <w:szCs w:val="24"/>
        </w:rPr>
      </w:pPr>
      <w:r w:rsidRPr="008C1882">
        <w:rPr>
          <w:rFonts w:ascii="Book Antiqua" w:hAnsi="Book Antiqua"/>
          <w:szCs w:val="24"/>
        </w:rPr>
        <w:t>The options for the UK government include:</w:t>
      </w:r>
    </w:p>
    <w:p w14:paraId="38741457" w14:textId="77777777" w:rsidR="00E832D6" w:rsidRPr="008C1882" w:rsidRDefault="00E832D6" w:rsidP="00E832D6">
      <w:pPr>
        <w:pStyle w:val="Level2"/>
        <w:numPr>
          <w:ilvl w:val="0"/>
          <w:numId w:val="25"/>
        </w:numPr>
        <w:spacing w:after="200"/>
        <w:ind w:left="1134" w:hanging="567"/>
        <w:rPr>
          <w:rFonts w:ascii="Book Antiqua" w:hAnsi="Book Antiqua"/>
          <w:szCs w:val="24"/>
        </w:rPr>
      </w:pPr>
      <w:r w:rsidRPr="008C1882">
        <w:rPr>
          <w:rFonts w:ascii="Book Antiqua" w:hAnsi="Book Antiqua"/>
          <w:szCs w:val="24"/>
        </w:rPr>
        <w:t xml:space="preserve">Joining the EEA. Membership of the EEA (and, by implication, EFTA) would maintain </w:t>
      </w:r>
      <w:proofErr w:type="spellStart"/>
      <w:r w:rsidRPr="008C1882">
        <w:rPr>
          <w:rFonts w:ascii="Book Antiqua" w:hAnsi="Book Antiqua"/>
          <w:szCs w:val="24"/>
        </w:rPr>
        <w:t>passporting</w:t>
      </w:r>
      <w:proofErr w:type="spellEnd"/>
      <w:r w:rsidRPr="008C1882">
        <w:rPr>
          <w:rFonts w:ascii="Book Antiqua" w:hAnsi="Book Antiqua"/>
          <w:szCs w:val="24"/>
        </w:rPr>
        <w:t xml:space="preserve"> rights under IMD/IDD and Solvency II into the EU and EEA for the UK insurance industry.</w:t>
      </w:r>
    </w:p>
    <w:p w14:paraId="583D2785" w14:textId="77777777" w:rsidR="00E832D6" w:rsidRPr="008C1882" w:rsidRDefault="00E832D6" w:rsidP="00E832D6">
      <w:pPr>
        <w:pStyle w:val="Level2"/>
        <w:numPr>
          <w:ilvl w:val="0"/>
          <w:numId w:val="25"/>
        </w:numPr>
        <w:spacing w:after="200"/>
        <w:ind w:left="1134" w:hanging="567"/>
        <w:rPr>
          <w:rFonts w:ascii="Book Antiqua" w:hAnsi="Book Antiqua"/>
          <w:szCs w:val="24"/>
        </w:rPr>
      </w:pPr>
      <w:r w:rsidRPr="008C1882">
        <w:rPr>
          <w:rFonts w:ascii="Book Antiqua" w:hAnsi="Book Antiqua"/>
          <w:szCs w:val="24"/>
        </w:rPr>
        <w:t>Entering a free trade agreement with the EU: known as “the Canada option”.</w:t>
      </w:r>
    </w:p>
    <w:p w14:paraId="3D21F1F5" w14:textId="77777777" w:rsidR="00E832D6" w:rsidRPr="008C1882" w:rsidRDefault="00E832D6" w:rsidP="00E832D6">
      <w:pPr>
        <w:pStyle w:val="Level2"/>
        <w:ind w:left="1701" w:hanging="538"/>
        <w:rPr>
          <w:szCs w:val="24"/>
        </w:rPr>
      </w:pPr>
      <w:r w:rsidRPr="008C1882">
        <w:rPr>
          <w:szCs w:val="24"/>
        </w:rPr>
        <w:t>Any bilateral trade agreement between the UK and EU may contain “most-favoured nation treatment” provisions, such as those under Article 13.7 of CETA</w:t>
      </w:r>
      <w:r w:rsidRPr="008C1882">
        <w:rPr>
          <w:rStyle w:val="FootnoteReference"/>
          <w:rFonts w:ascii="Book Antiqua" w:hAnsi="Book Antiqua"/>
          <w:szCs w:val="24"/>
        </w:rPr>
        <w:footnoteReference w:id="61"/>
      </w:r>
      <w:r w:rsidRPr="008C1882">
        <w:rPr>
          <w:szCs w:val="24"/>
        </w:rPr>
        <w:t>, whereby direct insurers, reinsurers and insurance mediators can sell into the EU.</w:t>
      </w:r>
      <w:r w:rsidRPr="008C1882">
        <w:rPr>
          <w:rStyle w:val="FootnoteReference"/>
          <w:rFonts w:ascii="Book Antiqua" w:hAnsi="Book Antiqua"/>
          <w:szCs w:val="24"/>
        </w:rPr>
        <w:footnoteReference w:id="62"/>
      </w:r>
      <w:r w:rsidRPr="008C1882">
        <w:rPr>
          <w:szCs w:val="24"/>
        </w:rPr>
        <w:t xml:space="preserve"> Any trade deal could reserve a prudential carve-out to the UK, as contained in Article 13.16 of CETA, retaining greater regulatory independence for the UK competent authorities than at present. Given the two-way flow of passports, as seen above, and the access EU insurers, reinsurers and intermediaries have to the UK market, there is likely to be enthusiasm amongst them for the conclusion of a free trade agreement, so that this access can be retained unchanged.</w:t>
      </w:r>
    </w:p>
    <w:p w14:paraId="5A4C1945" w14:textId="77777777" w:rsidR="00E832D6" w:rsidRPr="008C1882" w:rsidRDefault="00E832D6" w:rsidP="00E832D6">
      <w:pPr>
        <w:pStyle w:val="Level2"/>
        <w:ind w:left="1701" w:hanging="538"/>
        <w:rPr>
          <w:szCs w:val="24"/>
        </w:rPr>
      </w:pPr>
      <w:r w:rsidRPr="008C1882">
        <w:rPr>
          <w:rFonts w:ascii="Book Antiqua" w:hAnsi="Book Antiqua"/>
          <w:szCs w:val="24"/>
        </w:rPr>
        <w:t xml:space="preserve">If the UK government is to negotiate a free trade deal with the EU, or otherwise seeks a bespoke agreement for </w:t>
      </w:r>
      <w:proofErr w:type="spellStart"/>
      <w:r w:rsidRPr="008C1882">
        <w:rPr>
          <w:rFonts w:ascii="Book Antiqua" w:hAnsi="Book Antiqua"/>
          <w:szCs w:val="24"/>
        </w:rPr>
        <w:t>passporting</w:t>
      </w:r>
      <w:proofErr w:type="spellEnd"/>
      <w:r w:rsidRPr="008C1882">
        <w:rPr>
          <w:rFonts w:ascii="Book Antiqua" w:hAnsi="Book Antiqua"/>
          <w:szCs w:val="24"/>
        </w:rPr>
        <w:t xml:space="preserve"> rights, that agreement must be concluded before </w:t>
      </w:r>
      <w:proofErr w:type="spellStart"/>
      <w:r w:rsidRPr="008C1882">
        <w:rPr>
          <w:rFonts w:ascii="Book Antiqua" w:hAnsi="Book Antiqua"/>
          <w:szCs w:val="24"/>
        </w:rPr>
        <w:t>Brexit</w:t>
      </w:r>
      <w:proofErr w:type="spellEnd"/>
      <w:r w:rsidRPr="008C1882">
        <w:rPr>
          <w:rFonts w:ascii="Book Antiqua" w:hAnsi="Book Antiqua"/>
          <w:szCs w:val="24"/>
        </w:rPr>
        <w:t xml:space="preserve"> day, or before the expiry of a transitional period, while the insurance industry retains </w:t>
      </w:r>
      <w:proofErr w:type="spellStart"/>
      <w:r w:rsidRPr="008C1882">
        <w:rPr>
          <w:rFonts w:ascii="Book Antiqua" w:hAnsi="Book Antiqua"/>
          <w:szCs w:val="24"/>
        </w:rPr>
        <w:t>passporting</w:t>
      </w:r>
      <w:proofErr w:type="spellEnd"/>
      <w:r w:rsidRPr="008C1882">
        <w:rPr>
          <w:rFonts w:ascii="Book Antiqua" w:hAnsi="Book Antiqua"/>
          <w:szCs w:val="24"/>
        </w:rPr>
        <w:t xml:space="preserve"> rights, to ensure continuity in the provision of insurance </w:t>
      </w:r>
      <w:r w:rsidRPr="008C1882">
        <w:rPr>
          <w:rFonts w:ascii="Book Antiqua" w:hAnsi="Book Antiqua"/>
          <w:szCs w:val="24"/>
        </w:rPr>
        <w:lastRenderedPageBreak/>
        <w:t>services thereafter, without the need for the establishment of subsidiaries or pass-through vehicles.</w:t>
      </w:r>
    </w:p>
    <w:p w14:paraId="34726108" w14:textId="77777777" w:rsidR="00E832D6" w:rsidRPr="008C1882" w:rsidRDefault="00E832D6" w:rsidP="00E832D6">
      <w:pPr>
        <w:pStyle w:val="Level2"/>
        <w:numPr>
          <w:ilvl w:val="0"/>
          <w:numId w:val="25"/>
        </w:numPr>
        <w:spacing w:after="200"/>
        <w:ind w:left="1134" w:hanging="567"/>
        <w:rPr>
          <w:rFonts w:ascii="Book Antiqua" w:hAnsi="Book Antiqua"/>
          <w:szCs w:val="24"/>
        </w:rPr>
      </w:pPr>
      <w:r w:rsidRPr="008C1882">
        <w:rPr>
          <w:rFonts w:ascii="Book Antiqua" w:hAnsi="Book Antiqua"/>
          <w:szCs w:val="24"/>
        </w:rPr>
        <w:t xml:space="preserve">Third-country status: equivalence determinations of the kind discussed above, though markedly inferior to full access to the internal market, would mitigate the effects on the industry of a hard </w:t>
      </w:r>
      <w:proofErr w:type="spellStart"/>
      <w:r w:rsidRPr="008C1882">
        <w:rPr>
          <w:rFonts w:ascii="Book Antiqua" w:hAnsi="Book Antiqua"/>
          <w:szCs w:val="24"/>
        </w:rPr>
        <w:t>Brexit</w:t>
      </w:r>
      <w:proofErr w:type="spellEnd"/>
      <w:r w:rsidRPr="008C1882">
        <w:rPr>
          <w:rFonts w:ascii="Book Antiqua" w:hAnsi="Book Antiqua"/>
          <w:szCs w:val="24"/>
        </w:rPr>
        <w:t xml:space="preserve">.  Given the opacity of the equivalence process, and the quasi-political nature of equivalence determinations, where there is an equivalence regime built into EU legislation (such as under Solvency II) the UK should work to obtain equivalence determinations during the 2-year period after notification is giving under TEU Article 50, rather than waiting until </w:t>
      </w:r>
      <w:proofErr w:type="spellStart"/>
      <w:r w:rsidRPr="008C1882">
        <w:rPr>
          <w:rFonts w:ascii="Book Antiqua" w:hAnsi="Book Antiqua"/>
          <w:szCs w:val="24"/>
        </w:rPr>
        <w:t>Brexit</w:t>
      </w:r>
      <w:proofErr w:type="spellEnd"/>
      <w:r w:rsidRPr="008C1882">
        <w:rPr>
          <w:rFonts w:ascii="Book Antiqua" w:hAnsi="Book Antiqua"/>
          <w:szCs w:val="24"/>
        </w:rPr>
        <w:t xml:space="preserve"> day to begin the process.  Such determinations can be sought on a provisional basis under Solvency II, and this should be regarded as an urgent priority with a view to avoiding any significant gap following the end of the Article 50 notice period.  At the same time, a more comprehensive deal will be need to be negotiated in the mutual interests of insurers in both the UK and the EU.</w:t>
      </w:r>
    </w:p>
    <w:p w14:paraId="23013824" w14:textId="77777777" w:rsidR="00E832D6" w:rsidRPr="008C1882" w:rsidRDefault="00E832D6" w:rsidP="00E832D6">
      <w:pPr>
        <w:pStyle w:val="Level2"/>
        <w:numPr>
          <w:ilvl w:val="0"/>
          <w:numId w:val="25"/>
        </w:numPr>
        <w:spacing w:after="200"/>
        <w:ind w:left="1134" w:hanging="567"/>
        <w:rPr>
          <w:rFonts w:ascii="Book Antiqua" w:hAnsi="Book Antiqua"/>
          <w:szCs w:val="24"/>
        </w:rPr>
      </w:pPr>
      <w:r w:rsidRPr="008C1882">
        <w:rPr>
          <w:rFonts w:ascii="Book Antiqua" w:hAnsi="Book Antiqua"/>
          <w:szCs w:val="24"/>
        </w:rPr>
        <w:t xml:space="preserve">Since there are no equivalence regimes under IMD/IDD, in the absence of a free trade agreement or a transitional agreement, insurance and reinsurance intermediaries will be deprived of their right to sell into the EU without specific authorisation in each Member State, unless they establish appropriate subsidiaries or pass-through vehicles in advance of </w:t>
      </w:r>
      <w:proofErr w:type="spellStart"/>
      <w:r w:rsidRPr="008C1882">
        <w:rPr>
          <w:rFonts w:ascii="Book Antiqua" w:hAnsi="Book Antiqua"/>
          <w:szCs w:val="24"/>
        </w:rPr>
        <w:t>Brexit</w:t>
      </w:r>
      <w:proofErr w:type="spellEnd"/>
      <w:r w:rsidRPr="008C1882">
        <w:rPr>
          <w:rFonts w:ascii="Book Antiqua" w:hAnsi="Book Antiqua"/>
          <w:szCs w:val="24"/>
        </w:rPr>
        <w:t xml:space="preserve"> day.</w:t>
      </w:r>
    </w:p>
    <w:p w14:paraId="00D37474" w14:textId="77777777" w:rsidR="00E832D6" w:rsidRPr="008C1882" w:rsidRDefault="00E832D6" w:rsidP="00E832D6">
      <w:pPr>
        <w:pStyle w:val="Level2"/>
        <w:numPr>
          <w:ilvl w:val="0"/>
          <w:numId w:val="0"/>
        </w:numPr>
        <w:spacing w:after="200"/>
        <w:ind w:left="567"/>
        <w:rPr>
          <w:rFonts w:ascii="Book Antiqua" w:hAnsi="Book Antiqua"/>
          <w:szCs w:val="24"/>
        </w:rPr>
      </w:pPr>
    </w:p>
    <w:p w14:paraId="0AE71A14" w14:textId="210FFE74" w:rsidR="00E832D6" w:rsidRPr="008C1882" w:rsidRDefault="00E832D6">
      <w:pPr>
        <w:rPr>
          <w:rFonts w:ascii="Book Antiqua" w:hAnsi="Book Antiqua"/>
          <w:sz w:val="24"/>
          <w:szCs w:val="24"/>
        </w:rPr>
      </w:pPr>
      <w:r w:rsidRPr="008C1882">
        <w:rPr>
          <w:rFonts w:ascii="Book Antiqua" w:hAnsi="Book Antiqua"/>
          <w:sz w:val="24"/>
          <w:szCs w:val="24"/>
        </w:rPr>
        <w:br w:type="page"/>
      </w:r>
    </w:p>
    <w:p w14:paraId="41C86023" w14:textId="77777777" w:rsidR="00E832D6" w:rsidRPr="008C1882" w:rsidRDefault="00E832D6" w:rsidP="004A007E">
      <w:pPr>
        <w:pStyle w:val="Title"/>
        <w:spacing w:after="200" w:line="276" w:lineRule="auto"/>
        <w:jc w:val="both"/>
        <w:rPr>
          <w:rFonts w:ascii="Book Antiqua" w:hAnsi="Book Antiqua"/>
          <w:b/>
          <w:szCs w:val="24"/>
          <w:u w:val="single"/>
          <w:lang w:val="en-GB"/>
        </w:rPr>
      </w:pPr>
      <w:r w:rsidRPr="008C1882">
        <w:rPr>
          <w:rFonts w:ascii="Book Antiqua" w:hAnsi="Book Antiqua"/>
          <w:b/>
          <w:szCs w:val="24"/>
          <w:u w:val="single"/>
          <w:lang w:val="en-GB"/>
        </w:rPr>
        <w:lastRenderedPageBreak/>
        <w:t>CHAPTER 4 - THE IMPACT OF BREXIT ON SCHEMES FOR THE TRANSFER OF FINANCIAL SERVICES BUSINESS UNDER THE FINANCIAL SERVICES AND MARKETS ACT 2000, PART VII</w:t>
      </w:r>
    </w:p>
    <w:p w14:paraId="3F1CECCA" w14:textId="77777777" w:rsidR="00E832D6" w:rsidRPr="008C1882" w:rsidRDefault="00E832D6" w:rsidP="00E832D6">
      <w:pPr>
        <w:ind w:left="567" w:hanging="567"/>
        <w:rPr>
          <w:rFonts w:ascii="Book Antiqua" w:hAnsi="Book Antiqua"/>
          <w:sz w:val="24"/>
          <w:szCs w:val="24"/>
        </w:rPr>
      </w:pPr>
    </w:p>
    <w:p w14:paraId="53B4E590" w14:textId="77777777" w:rsidR="00E832D6" w:rsidRPr="008C1882" w:rsidRDefault="00E832D6" w:rsidP="00E832D6">
      <w:pPr>
        <w:pStyle w:val="Heading1"/>
        <w:spacing w:before="0" w:after="200"/>
        <w:ind w:left="567" w:hanging="567"/>
        <w:rPr>
          <w:rStyle w:val="Emphasis"/>
          <w:rFonts w:ascii="Book Antiqua" w:hAnsi="Book Antiqua"/>
          <w:b/>
          <w:color w:val="auto"/>
          <w:sz w:val="24"/>
          <w:szCs w:val="24"/>
          <w:u w:val="single"/>
        </w:rPr>
      </w:pPr>
      <w:r w:rsidRPr="008C1882">
        <w:rPr>
          <w:rStyle w:val="Emphasis"/>
          <w:rFonts w:ascii="Book Antiqua" w:hAnsi="Book Antiqua"/>
          <w:b/>
          <w:color w:val="auto"/>
          <w:sz w:val="24"/>
          <w:szCs w:val="24"/>
          <w:u w:val="single"/>
        </w:rPr>
        <w:t>A. Introduction</w:t>
      </w:r>
    </w:p>
    <w:p w14:paraId="5DD79988" w14:textId="77777777" w:rsidR="00E832D6" w:rsidRPr="008C1882" w:rsidRDefault="00E832D6" w:rsidP="00E832D6">
      <w:pPr>
        <w:pStyle w:val="Para1"/>
        <w:spacing w:after="200"/>
        <w:ind w:left="567" w:hanging="567"/>
        <w:rPr>
          <w:rFonts w:ascii="Book Antiqua" w:hAnsi="Book Antiqua"/>
          <w:szCs w:val="24"/>
        </w:rPr>
      </w:pPr>
      <w:bookmarkStart w:id="6" w:name="_Ref345536009"/>
      <w:r w:rsidRPr="008C1882">
        <w:rPr>
          <w:rFonts w:ascii="Book Antiqua" w:hAnsi="Book Antiqua"/>
          <w:szCs w:val="24"/>
        </w:rPr>
        <w:t>The Financial Services and Markets Act 2000 (‘FSMA 2000’), Part VII (Control of business transfers) establishes a statutory framework under which the High Court (or the Court of Session in Scotland) may sanction the transfer of specified types of financial services business, on the terms of a transfer scheme.  In its present form, the Part VII framework covers (a) insurance business transfer schemes; (b) banking business transfer schemes; (c) reclaim fund business transfer schemes</w:t>
      </w:r>
      <w:bookmarkStart w:id="7" w:name="_Ref470709411"/>
      <w:r w:rsidRPr="008C1882">
        <w:rPr>
          <w:rStyle w:val="FootnoteReference"/>
          <w:rFonts w:ascii="Book Antiqua" w:hAnsi="Book Antiqua"/>
          <w:szCs w:val="24"/>
        </w:rPr>
        <w:footnoteReference w:id="63"/>
      </w:r>
      <w:bookmarkEnd w:id="7"/>
      <w:proofErr w:type="gramStart"/>
      <w:r w:rsidRPr="008C1882">
        <w:rPr>
          <w:rFonts w:ascii="Book Antiqua" w:hAnsi="Book Antiqua"/>
          <w:szCs w:val="24"/>
        </w:rPr>
        <w:t>;</w:t>
      </w:r>
      <w:proofErr w:type="gramEnd"/>
      <w:r w:rsidRPr="008C1882">
        <w:rPr>
          <w:rFonts w:ascii="Book Antiqua" w:hAnsi="Book Antiqua"/>
          <w:szCs w:val="24"/>
        </w:rPr>
        <w:t xml:space="preserve"> and (d) ring-fencing transfer schemes</w:t>
      </w:r>
      <w:bookmarkStart w:id="8" w:name="_Ref470709425"/>
      <w:r w:rsidRPr="008C1882">
        <w:rPr>
          <w:rStyle w:val="FootnoteReference"/>
          <w:rFonts w:ascii="Book Antiqua" w:hAnsi="Book Antiqua"/>
          <w:szCs w:val="24"/>
        </w:rPr>
        <w:footnoteReference w:id="64"/>
      </w:r>
      <w:bookmarkEnd w:id="8"/>
      <w:r w:rsidRPr="008C1882">
        <w:rPr>
          <w:rFonts w:ascii="Book Antiqua" w:hAnsi="Book Antiqua"/>
          <w:szCs w:val="24"/>
        </w:rPr>
        <w:t>.</w:t>
      </w:r>
      <w:bookmarkEnd w:id="6"/>
    </w:p>
    <w:p w14:paraId="3329D68A"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 xml:space="preserve">The insurance business transfer scheme has its origin in EU legislation, specifically the First Non-Life Insurance Directive (73/239/EEC).  That Directive required Member States (a) to make it possible for an insurance undertaking established in that state </w:t>
      </w:r>
      <w:r w:rsidRPr="008C1882">
        <w:rPr>
          <w:rFonts w:ascii="Book Antiqua" w:hAnsi="Book Antiqua"/>
          <w:i/>
          <w:szCs w:val="24"/>
        </w:rPr>
        <w:t>“to assign all or part of its portfolio of policies if the assignee possessed the necessary solvency margin”</w:t>
      </w:r>
      <w:r w:rsidRPr="008C1882">
        <w:rPr>
          <w:rFonts w:ascii="Book Antiqua" w:hAnsi="Book Antiqua"/>
          <w:szCs w:val="24"/>
        </w:rPr>
        <w:t>; and (b) to establish a related regime for the transfer of portfolios of insurance contracts effected by insurance agencies or branches operating in its territory.  Successive Directives extended the portfolio transfer regime to cover long-term insurance business and, much later, reinsurance business.</w:t>
      </w:r>
    </w:p>
    <w:p w14:paraId="671847B1"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lastRenderedPageBreak/>
        <w:t>When FSMA 2000 came into force on 1 December 2001, Part VII replaced the insurance business transfer regime under the Insurance Companies Act 1982, ss. 49 to 52B and introduced two innovations.  First, general insurance business transfer schemes, which had previously been sanctioned at the discretion of the relevant Secretary of State, were brought into line with long-term insurance business transfer schemes and made subject to sanction by the Court.  Second, the Part VII framework was extended to provide for banking business transfer schemes, which had previously required either the consent of the customers affected, or a private Act of Parliament.</w:t>
      </w:r>
      <w:r w:rsidRPr="008C1882">
        <w:rPr>
          <w:rStyle w:val="FootnoteReference"/>
          <w:rFonts w:ascii="Book Antiqua" w:hAnsi="Book Antiqua"/>
          <w:szCs w:val="24"/>
        </w:rPr>
        <w:footnoteReference w:id="65"/>
      </w:r>
      <w:r w:rsidRPr="008C1882">
        <w:rPr>
          <w:rFonts w:ascii="Book Antiqua" w:hAnsi="Book Antiqua"/>
          <w:szCs w:val="24"/>
        </w:rPr>
        <w:t xml:space="preserve"> </w:t>
      </w:r>
    </w:p>
    <w:p w14:paraId="29835028"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However, both (a) the extension of the Part VII framework to cover banking business transfer schemes; and (b) its subsequent extension to cover reclaim fund business transfer schemes and ring-fencing transfer schemes, are UK domestic initiatives.  They are neither the UK implementation of EU requirements, nor the product of directly effective EU measures.</w:t>
      </w:r>
    </w:p>
    <w:p w14:paraId="2DA6D5DD" w14:textId="77777777" w:rsidR="00E832D6" w:rsidRPr="008C1882" w:rsidRDefault="00E832D6" w:rsidP="00E832D6">
      <w:pPr>
        <w:pStyle w:val="Heading1"/>
        <w:spacing w:before="0" w:after="200"/>
        <w:ind w:left="567" w:hanging="567"/>
        <w:rPr>
          <w:rFonts w:ascii="Book Antiqua" w:hAnsi="Book Antiqua"/>
          <w:color w:val="auto"/>
          <w:sz w:val="24"/>
          <w:szCs w:val="24"/>
          <w:u w:val="single"/>
        </w:rPr>
      </w:pPr>
    </w:p>
    <w:p w14:paraId="74675620" w14:textId="77777777" w:rsidR="00E832D6" w:rsidRPr="008C1882" w:rsidRDefault="00E832D6" w:rsidP="00E832D6">
      <w:pPr>
        <w:pStyle w:val="Heading1"/>
        <w:spacing w:before="0" w:after="200"/>
        <w:ind w:left="567" w:hanging="567"/>
        <w:rPr>
          <w:rFonts w:ascii="Book Antiqua" w:hAnsi="Book Antiqua"/>
          <w:color w:val="auto"/>
          <w:sz w:val="24"/>
          <w:szCs w:val="24"/>
          <w:u w:val="single"/>
        </w:rPr>
      </w:pPr>
      <w:r w:rsidRPr="008C1882">
        <w:rPr>
          <w:rFonts w:ascii="Book Antiqua" w:hAnsi="Book Antiqua"/>
          <w:color w:val="auto"/>
          <w:sz w:val="24"/>
          <w:szCs w:val="24"/>
          <w:u w:val="single"/>
        </w:rPr>
        <w:t>B. Key features of the Part VII Framework</w:t>
      </w:r>
    </w:p>
    <w:p w14:paraId="3B5FF778"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The essential features of the Part VII framework are as follows.  Except as noted, these features are common to all types of business transfer scheme:</w:t>
      </w:r>
    </w:p>
    <w:p w14:paraId="6BA59B85" w14:textId="77777777" w:rsidR="00E832D6" w:rsidRPr="008C1882" w:rsidRDefault="00E832D6" w:rsidP="00E832D6">
      <w:pPr>
        <w:pStyle w:val="Para2"/>
        <w:numPr>
          <w:ilvl w:val="0"/>
          <w:numId w:val="32"/>
        </w:numPr>
        <w:spacing w:after="200"/>
        <w:ind w:left="1134" w:hanging="567"/>
        <w:rPr>
          <w:rFonts w:ascii="Book Antiqua" w:hAnsi="Book Antiqua"/>
          <w:szCs w:val="24"/>
        </w:rPr>
      </w:pPr>
      <w:r w:rsidRPr="008C1882">
        <w:rPr>
          <w:rFonts w:ascii="Book Antiqua" w:hAnsi="Book Antiqua"/>
          <w:szCs w:val="24"/>
        </w:rPr>
        <w:t>Once the relevant pre-conditions</w:t>
      </w:r>
      <w:bookmarkStart w:id="9" w:name="_Ref470778741"/>
      <w:r w:rsidRPr="008C1882">
        <w:rPr>
          <w:rStyle w:val="FootnoteReference"/>
          <w:rFonts w:ascii="Book Antiqua" w:hAnsi="Book Antiqua"/>
          <w:szCs w:val="24"/>
        </w:rPr>
        <w:footnoteReference w:id="66"/>
      </w:r>
      <w:bookmarkEnd w:id="9"/>
      <w:r w:rsidRPr="008C1882">
        <w:rPr>
          <w:rFonts w:ascii="Book Antiqua" w:hAnsi="Book Antiqua"/>
          <w:szCs w:val="24"/>
        </w:rPr>
        <w:t xml:space="preserve"> are met, the Court may sanction a transfer scheme if it is satisfied that in all the circumstances of the case, it </w:t>
      </w:r>
      <w:r w:rsidRPr="008C1882">
        <w:rPr>
          <w:rFonts w:ascii="Book Antiqua" w:hAnsi="Book Antiqua"/>
          <w:szCs w:val="24"/>
        </w:rPr>
        <w:lastRenderedPageBreak/>
        <w:t>is appropriate to do so.</w:t>
      </w:r>
      <w:r w:rsidRPr="008C1882">
        <w:rPr>
          <w:rStyle w:val="FootnoteReference"/>
          <w:rFonts w:ascii="Book Antiqua" w:hAnsi="Book Antiqua"/>
          <w:szCs w:val="24"/>
        </w:rPr>
        <w:footnoteReference w:id="67"/>
      </w:r>
      <w:r w:rsidRPr="008C1882">
        <w:rPr>
          <w:rFonts w:ascii="Book Antiqua" w:hAnsi="Book Antiqua"/>
          <w:szCs w:val="24"/>
        </w:rPr>
        <w:t xml:space="preserve">  The Court has affirmed</w:t>
      </w:r>
      <w:r w:rsidRPr="008C1882">
        <w:rPr>
          <w:rStyle w:val="FootnoteReference"/>
          <w:rFonts w:ascii="Book Antiqua" w:hAnsi="Book Antiqua"/>
          <w:szCs w:val="24"/>
        </w:rPr>
        <w:footnoteReference w:id="68"/>
      </w:r>
      <w:r w:rsidRPr="008C1882">
        <w:rPr>
          <w:rFonts w:ascii="Book Antiqua" w:hAnsi="Book Antiqua"/>
          <w:szCs w:val="24"/>
        </w:rPr>
        <w:t xml:space="preserve"> that its discretion to sanction (or not sanction) a transfer scheme is </w:t>
      </w:r>
      <w:r w:rsidRPr="008C1882">
        <w:rPr>
          <w:rFonts w:ascii="Book Antiqua" w:hAnsi="Book Antiqua"/>
          <w:i/>
          <w:szCs w:val="24"/>
        </w:rPr>
        <w:t>“of real importance, not to be exercised in any sense by way of rubber stamp”</w:t>
      </w:r>
      <w:r w:rsidRPr="008C1882">
        <w:rPr>
          <w:rFonts w:ascii="Book Antiqua" w:hAnsi="Book Antiqua"/>
          <w:szCs w:val="24"/>
        </w:rPr>
        <w:t>.</w:t>
      </w:r>
    </w:p>
    <w:p w14:paraId="4B4C30DB" w14:textId="77777777" w:rsidR="00E832D6" w:rsidRPr="008C1882" w:rsidRDefault="00E832D6" w:rsidP="00E832D6">
      <w:pPr>
        <w:pStyle w:val="Para2"/>
        <w:numPr>
          <w:ilvl w:val="0"/>
          <w:numId w:val="32"/>
        </w:numPr>
        <w:spacing w:after="200"/>
        <w:ind w:left="1134" w:hanging="567"/>
        <w:rPr>
          <w:rFonts w:ascii="Book Antiqua" w:hAnsi="Book Antiqua"/>
          <w:szCs w:val="24"/>
        </w:rPr>
      </w:pPr>
      <w:r w:rsidRPr="008C1882">
        <w:rPr>
          <w:rFonts w:ascii="Book Antiqua" w:hAnsi="Book Antiqua"/>
          <w:szCs w:val="24"/>
        </w:rPr>
        <w:t xml:space="preserve">On sanction of a transfer scheme, the Court may, under FSMA 2000, s. 112(1)(a), order </w:t>
      </w:r>
      <w:r w:rsidRPr="008C1882">
        <w:rPr>
          <w:rFonts w:ascii="Book Antiqua" w:hAnsi="Book Antiqua"/>
          <w:i/>
          <w:szCs w:val="24"/>
        </w:rPr>
        <w:t>“the transfer to the transferee of the whole or any part of the undertaking concerned and of any property</w:t>
      </w:r>
      <w:r w:rsidRPr="008C1882">
        <w:rPr>
          <w:rStyle w:val="FootnoteReference"/>
          <w:rFonts w:ascii="Book Antiqua" w:hAnsi="Book Antiqua"/>
          <w:i/>
          <w:szCs w:val="24"/>
        </w:rPr>
        <w:footnoteReference w:id="69"/>
      </w:r>
      <w:r w:rsidRPr="008C1882">
        <w:rPr>
          <w:rFonts w:ascii="Book Antiqua" w:hAnsi="Book Antiqua"/>
          <w:i/>
          <w:szCs w:val="24"/>
        </w:rPr>
        <w:t xml:space="preserve"> or liabilities</w:t>
      </w:r>
      <w:r w:rsidRPr="008C1882">
        <w:rPr>
          <w:rStyle w:val="FootnoteReference"/>
          <w:rFonts w:ascii="Book Antiqua" w:hAnsi="Book Antiqua"/>
          <w:i/>
          <w:szCs w:val="24"/>
        </w:rPr>
        <w:footnoteReference w:id="70"/>
      </w:r>
      <w:r w:rsidRPr="008C1882">
        <w:rPr>
          <w:rFonts w:ascii="Book Antiqua" w:hAnsi="Book Antiqua"/>
          <w:i/>
          <w:szCs w:val="24"/>
        </w:rPr>
        <w:t xml:space="preserve"> of the transferor”</w:t>
      </w:r>
      <w:r w:rsidRPr="008C1882">
        <w:rPr>
          <w:rFonts w:ascii="Book Antiqua" w:hAnsi="Book Antiqua"/>
          <w:szCs w:val="24"/>
        </w:rPr>
        <w:t>.  Pursuant to FSMA 2000, ss. 112(2)(a) and (3), the effect of that order is to transfer to and vest in the transferee, such of the affected property and liabilities as are governed by the law of part of the UK.</w:t>
      </w:r>
      <w:r w:rsidRPr="008C1882">
        <w:rPr>
          <w:rStyle w:val="FootnoteReference"/>
          <w:rFonts w:ascii="Book Antiqua" w:hAnsi="Book Antiqua"/>
          <w:szCs w:val="24"/>
        </w:rPr>
        <w:footnoteReference w:id="71"/>
      </w:r>
      <w:r w:rsidRPr="008C1882">
        <w:rPr>
          <w:rFonts w:ascii="Book Antiqua" w:hAnsi="Book Antiqua"/>
          <w:szCs w:val="24"/>
        </w:rPr>
        <w:t xml:space="preserve">  That transfer is effective even if the relevant property or liabilities are otherwise non-transferable at common law,</w:t>
      </w:r>
      <w:r w:rsidRPr="008C1882">
        <w:rPr>
          <w:rStyle w:val="FootnoteReference"/>
          <w:rFonts w:ascii="Book Antiqua" w:hAnsi="Book Antiqua"/>
          <w:szCs w:val="24"/>
        </w:rPr>
        <w:footnoteReference w:id="72"/>
      </w:r>
      <w:r w:rsidRPr="008C1882">
        <w:rPr>
          <w:rFonts w:ascii="Book Antiqua" w:hAnsi="Book Antiqua"/>
          <w:szCs w:val="24"/>
        </w:rPr>
        <w:t xml:space="preserve"> or by virtue of express contractual provisions.</w:t>
      </w:r>
      <w:r w:rsidRPr="008C1882">
        <w:rPr>
          <w:rStyle w:val="FootnoteReference"/>
          <w:rFonts w:ascii="Book Antiqua" w:hAnsi="Book Antiqua"/>
          <w:szCs w:val="24"/>
        </w:rPr>
        <w:footnoteReference w:id="73"/>
      </w:r>
    </w:p>
    <w:p w14:paraId="44FB1EFF" w14:textId="77777777" w:rsidR="00E832D6" w:rsidRPr="008C1882" w:rsidRDefault="00E832D6" w:rsidP="00E832D6">
      <w:pPr>
        <w:pStyle w:val="Para2"/>
        <w:numPr>
          <w:ilvl w:val="0"/>
          <w:numId w:val="32"/>
        </w:numPr>
        <w:spacing w:after="200"/>
        <w:ind w:left="1134" w:hanging="567"/>
        <w:rPr>
          <w:rFonts w:ascii="Book Antiqua" w:hAnsi="Book Antiqua"/>
          <w:szCs w:val="24"/>
        </w:rPr>
      </w:pPr>
      <w:r w:rsidRPr="008C1882">
        <w:rPr>
          <w:rFonts w:ascii="Book Antiqua" w:hAnsi="Book Antiqua"/>
          <w:szCs w:val="24"/>
        </w:rPr>
        <w:t>On sanction of a transfer scheme, the Court may also make provision for a range related outcomes.</w:t>
      </w:r>
      <w:r w:rsidRPr="008C1882">
        <w:rPr>
          <w:rStyle w:val="FootnoteReference"/>
          <w:rFonts w:ascii="Book Antiqua" w:hAnsi="Book Antiqua"/>
          <w:szCs w:val="24"/>
        </w:rPr>
        <w:footnoteReference w:id="74"/>
      </w:r>
      <w:r w:rsidRPr="008C1882">
        <w:rPr>
          <w:rFonts w:ascii="Book Antiqua" w:hAnsi="Book Antiqua"/>
          <w:szCs w:val="24"/>
        </w:rPr>
        <w:t xml:space="preserve">  In particular, under FSMA 2000, s. 112(1)(d), the Court may make provision </w:t>
      </w:r>
      <w:r w:rsidRPr="008C1882">
        <w:rPr>
          <w:rFonts w:ascii="Book Antiqua" w:hAnsi="Book Antiqua"/>
          <w:i/>
          <w:szCs w:val="24"/>
        </w:rPr>
        <w:t>“with respect to such incidental, consequential and supplementary matters as are, in its opinion, necessary to secure that the scheme is fully and effectively carried out”</w:t>
      </w:r>
      <w:r w:rsidRPr="008C1882">
        <w:rPr>
          <w:rFonts w:ascii="Book Antiqua" w:hAnsi="Book Antiqua"/>
          <w:szCs w:val="24"/>
        </w:rPr>
        <w:t xml:space="preserve">.  The Court has adopted a liberal construction, under which </w:t>
      </w:r>
      <w:r w:rsidRPr="008C1882">
        <w:rPr>
          <w:rFonts w:ascii="Book Antiqua" w:hAnsi="Book Antiqua"/>
          <w:i/>
          <w:szCs w:val="24"/>
        </w:rPr>
        <w:t>“necessary”</w:t>
      </w:r>
      <w:r w:rsidRPr="008C1882">
        <w:rPr>
          <w:rFonts w:ascii="Book Antiqua" w:hAnsi="Book Antiqua"/>
          <w:szCs w:val="24"/>
        </w:rPr>
        <w:t xml:space="preserve"> lies </w:t>
      </w:r>
      <w:r w:rsidRPr="008C1882">
        <w:rPr>
          <w:rFonts w:ascii="Book Antiqua" w:hAnsi="Book Antiqua"/>
          <w:i/>
          <w:szCs w:val="24"/>
        </w:rPr>
        <w:t xml:space="preserve">“somewhere … between ‘vital’ on </w:t>
      </w:r>
      <w:r w:rsidRPr="008C1882">
        <w:rPr>
          <w:rFonts w:ascii="Book Antiqua" w:hAnsi="Book Antiqua"/>
          <w:i/>
          <w:szCs w:val="24"/>
        </w:rPr>
        <w:lastRenderedPageBreak/>
        <w:t>the one hand and ‘desirable’ on the other”</w:t>
      </w:r>
      <w:r w:rsidRPr="008C1882">
        <w:rPr>
          <w:rFonts w:ascii="Book Antiqua" w:hAnsi="Book Antiqua"/>
          <w:szCs w:val="24"/>
        </w:rPr>
        <w:t>.</w:t>
      </w:r>
      <w:r w:rsidRPr="008C1882">
        <w:rPr>
          <w:rStyle w:val="FootnoteReference"/>
          <w:rFonts w:ascii="Book Antiqua" w:hAnsi="Book Antiqua"/>
          <w:szCs w:val="24"/>
        </w:rPr>
        <w:footnoteReference w:id="75"/>
      </w:r>
      <w:r w:rsidRPr="008C1882">
        <w:rPr>
          <w:rFonts w:ascii="Book Antiqua" w:hAnsi="Book Antiqua"/>
          <w:szCs w:val="24"/>
        </w:rPr>
        <w:t xml:space="preserve">  At least in the context of insurance business transfer schemes, the Court has held</w:t>
      </w:r>
      <w:r w:rsidRPr="008C1882">
        <w:rPr>
          <w:rStyle w:val="FootnoteReference"/>
          <w:rFonts w:ascii="Book Antiqua" w:hAnsi="Book Antiqua"/>
          <w:szCs w:val="24"/>
        </w:rPr>
        <w:footnoteReference w:id="76"/>
      </w:r>
      <w:r w:rsidRPr="008C1882">
        <w:rPr>
          <w:rFonts w:ascii="Book Antiqua" w:hAnsi="Book Antiqua"/>
          <w:szCs w:val="24"/>
        </w:rPr>
        <w:t xml:space="preserve"> that as long as the predominant purpose of the scheme is to </w:t>
      </w:r>
      <w:proofErr w:type="gramStart"/>
      <w:r w:rsidRPr="008C1882">
        <w:rPr>
          <w:rFonts w:ascii="Book Antiqua" w:hAnsi="Book Antiqua"/>
          <w:szCs w:val="24"/>
        </w:rPr>
        <w:t>effect</w:t>
      </w:r>
      <w:proofErr w:type="gramEnd"/>
      <w:r w:rsidRPr="008C1882">
        <w:rPr>
          <w:rFonts w:ascii="Book Antiqua" w:hAnsi="Book Antiqua"/>
          <w:szCs w:val="24"/>
        </w:rPr>
        <w:t xml:space="preserve"> one or more transfers, there is no statutory requirement that the scheme should do nothing but effect a transfer.  In addition, FSMA 2000, s. 112(8) enables a Court that sanctions an insurance business transfer scheme to provide for insurance-specific outcomes, including the reduction of benefits payable under transferring policies.</w:t>
      </w:r>
      <w:r w:rsidRPr="008C1882">
        <w:rPr>
          <w:rStyle w:val="FootnoteReference"/>
          <w:rFonts w:ascii="Book Antiqua" w:hAnsi="Book Antiqua"/>
          <w:szCs w:val="24"/>
        </w:rPr>
        <w:footnoteReference w:id="77"/>
      </w:r>
    </w:p>
    <w:p w14:paraId="70E0E384" w14:textId="77777777" w:rsidR="00E832D6" w:rsidRPr="008C1882" w:rsidRDefault="00E832D6" w:rsidP="00E832D6">
      <w:pPr>
        <w:pStyle w:val="Para2"/>
        <w:numPr>
          <w:ilvl w:val="0"/>
          <w:numId w:val="32"/>
        </w:numPr>
        <w:spacing w:after="200"/>
        <w:ind w:left="1134" w:hanging="567"/>
        <w:rPr>
          <w:rFonts w:ascii="Book Antiqua" w:hAnsi="Book Antiqua"/>
          <w:szCs w:val="24"/>
        </w:rPr>
      </w:pPr>
      <w:r w:rsidRPr="008C1882">
        <w:rPr>
          <w:rFonts w:ascii="Book Antiqua" w:hAnsi="Book Antiqua"/>
          <w:szCs w:val="24"/>
        </w:rPr>
        <w:t>To ensure that the Court makes the decision whether or not to sanction a transfer scheme with a full appreciation of the potential impact of that scheme, FSMA 2000, s. 110 provides that both (a) the relevant UK financial regulator</w:t>
      </w:r>
      <w:r w:rsidRPr="008C1882">
        <w:rPr>
          <w:rStyle w:val="FootnoteReference"/>
          <w:rFonts w:ascii="Book Antiqua" w:hAnsi="Book Antiqua"/>
          <w:szCs w:val="24"/>
        </w:rPr>
        <w:footnoteReference w:id="78"/>
      </w:r>
      <w:r w:rsidRPr="008C1882">
        <w:rPr>
          <w:rFonts w:ascii="Book Antiqua" w:hAnsi="Book Antiqua"/>
          <w:szCs w:val="24"/>
        </w:rPr>
        <w:t>; and (b) any person (including an employee of the transferor or the transferee) who alleges that he would be adversely affected by the carrying out of the scheme, has the right to be heard at the hearing for the sanction of the scheme.  Except in the case of ring-fencing transfer schemes, where representations must be in writing and served on the relevant financial regulator</w:t>
      </w:r>
      <w:r w:rsidRPr="008C1882">
        <w:rPr>
          <w:rStyle w:val="FootnoteReference"/>
          <w:rFonts w:ascii="Book Antiqua" w:hAnsi="Book Antiqua"/>
          <w:szCs w:val="24"/>
        </w:rPr>
        <w:footnoteReference w:id="79"/>
      </w:r>
      <w:r w:rsidRPr="008C1882">
        <w:rPr>
          <w:rFonts w:ascii="Book Antiqua" w:hAnsi="Book Antiqua"/>
          <w:szCs w:val="24"/>
        </w:rPr>
        <w:t>, no particular formality attends the exercise of the right to be heard.  The regulators’ current practice</w:t>
      </w:r>
      <w:r w:rsidRPr="008C1882">
        <w:rPr>
          <w:rStyle w:val="FootnoteReference"/>
          <w:rFonts w:ascii="Book Antiqua" w:hAnsi="Book Antiqua"/>
          <w:szCs w:val="24"/>
        </w:rPr>
        <w:footnoteReference w:id="80"/>
      </w:r>
      <w:r w:rsidRPr="008C1882">
        <w:rPr>
          <w:rFonts w:ascii="Book Antiqua" w:hAnsi="Book Antiqua"/>
          <w:szCs w:val="24"/>
        </w:rPr>
        <w:t xml:space="preserve"> is to make written reports to the Court, explaining the basis on which they do not object</w:t>
      </w:r>
      <w:r w:rsidRPr="008C1882">
        <w:rPr>
          <w:rStyle w:val="FootnoteReference"/>
          <w:rFonts w:ascii="Book Antiqua" w:hAnsi="Book Antiqua"/>
          <w:szCs w:val="24"/>
        </w:rPr>
        <w:footnoteReference w:id="81"/>
      </w:r>
      <w:r w:rsidRPr="008C1882">
        <w:rPr>
          <w:rFonts w:ascii="Book Antiqua" w:hAnsi="Book Antiqua"/>
          <w:szCs w:val="24"/>
        </w:rPr>
        <w:t xml:space="preserve"> to the transfer scheme in question.  To ensure that the right to </w:t>
      </w:r>
      <w:r w:rsidRPr="008C1882">
        <w:rPr>
          <w:rFonts w:ascii="Book Antiqua" w:hAnsi="Book Antiqua"/>
          <w:szCs w:val="24"/>
        </w:rPr>
        <w:lastRenderedPageBreak/>
        <w:t>be heard is fully exercised, the pre-conditions for the Court’s sanction of a transfer scheme include requirements</w:t>
      </w:r>
      <w:r w:rsidRPr="008C1882">
        <w:rPr>
          <w:rStyle w:val="FootnoteReference"/>
          <w:rFonts w:ascii="Book Antiqua" w:hAnsi="Book Antiqua"/>
          <w:szCs w:val="24"/>
        </w:rPr>
        <w:footnoteReference w:id="82"/>
      </w:r>
      <w:r w:rsidRPr="008C1882">
        <w:rPr>
          <w:rFonts w:ascii="Book Antiqua" w:hAnsi="Book Antiqua"/>
          <w:szCs w:val="24"/>
        </w:rPr>
        <w:t xml:space="preserve"> that, with one exception, notice of an application for the sanction of a transfer scheme must be publicised in the Gazettes and in UK national newspapers.</w:t>
      </w:r>
      <w:r w:rsidRPr="008C1882">
        <w:rPr>
          <w:rStyle w:val="FootnoteReference"/>
          <w:rFonts w:ascii="Book Antiqua" w:hAnsi="Book Antiqua"/>
          <w:szCs w:val="24"/>
        </w:rPr>
        <w:footnoteReference w:id="83"/>
      </w:r>
      <w:r w:rsidRPr="008C1882">
        <w:rPr>
          <w:rFonts w:ascii="Book Antiqua" w:hAnsi="Book Antiqua"/>
          <w:szCs w:val="24"/>
        </w:rPr>
        <w:t xml:space="preserve">  More extensive notification requirements apply to an insurance business transfer scheme.</w:t>
      </w:r>
      <w:r w:rsidRPr="008C1882">
        <w:rPr>
          <w:rStyle w:val="FootnoteReference"/>
          <w:rFonts w:ascii="Book Antiqua" w:hAnsi="Book Antiqua"/>
          <w:szCs w:val="24"/>
        </w:rPr>
        <w:footnoteReference w:id="84"/>
      </w:r>
      <w:r w:rsidRPr="008C1882">
        <w:rPr>
          <w:rFonts w:ascii="Book Antiqua" w:hAnsi="Book Antiqua"/>
          <w:szCs w:val="24"/>
        </w:rPr>
        <w:t xml:space="preserve">  An application for the sanction of (a) an insurance business transfer scheme; and (b) a ring-fencing transfer scheme, must be accompanied by ‘scheme report’</w:t>
      </w:r>
      <w:r w:rsidRPr="008C1882">
        <w:rPr>
          <w:rStyle w:val="FootnoteReference"/>
          <w:rFonts w:ascii="Book Antiqua" w:hAnsi="Book Antiqua"/>
          <w:szCs w:val="24"/>
        </w:rPr>
        <w:footnoteReference w:id="85"/>
      </w:r>
      <w:r w:rsidRPr="008C1882">
        <w:rPr>
          <w:rFonts w:ascii="Book Antiqua" w:hAnsi="Book Antiqua"/>
          <w:szCs w:val="24"/>
        </w:rPr>
        <w:t xml:space="preserve"> prepared by an appropriately qualified expert, whose duty is to assist the Court in the evaluation of the Scheme and, in the case of a ring-fencing transfer scheme, to express a view on specified issues in relation to the scheme.</w:t>
      </w:r>
    </w:p>
    <w:p w14:paraId="7E8538B5" w14:textId="77777777" w:rsidR="00E832D6" w:rsidRPr="008C1882" w:rsidRDefault="00E832D6" w:rsidP="00E832D6">
      <w:pPr>
        <w:pStyle w:val="Heading1"/>
        <w:spacing w:before="0" w:after="200"/>
        <w:ind w:left="567" w:hanging="567"/>
        <w:rPr>
          <w:rFonts w:ascii="Book Antiqua" w:hAnsi="Book Antiqua"/>
          <w:color w:val="auto"/>
          <w:sz w:val="24"/>
          <w:szCs w:val="24"/>
          <w:u w:val="single"/>
        </w:rPr>
      </w:pPr>
    </w:p>
    <w:p w14:paraId="57DD7E66" w14:textId="77777777" w:rsidR="00E832D6" w:rsidRPr="008C1882" w:rsidRDefault="00E832D6" w:rsidP="00E832D6">
      <w:pPr>
        <w:pStyle w:val="Heading1"/>
        <w:spacing w:before="0" w:after="200"/>
        <w:ind w:left="567" w:hanging="567"/>
        <w:rPr>
          <w:rFonts w:ascii="Book Antiqua" w:hAnsi="Book Antiqua"/>
          <w:color w:val="auto"/>
          <w:sz w:val="24"/>
          <w:szCs w:val="24"/>
          <w:u w:val="single"/>
        </w:rPr>
      </w:pPr>
      <w:r w:rsidRPr="008C1882">
        <w:rPr>
          <w:rFonts w:ascii="Book Antiqua" w:hAnsi="Book Antiqua"/>
          <w:color w:val="auto"/>
          <w:sz w:val="24"/>
          <w:szCs w:val="24"/>
          <w:u w:val="single"/>
        </w:rPr>
        <w:t>C. The commercial and regulatory utility of FSMA 2000, Part VII</w:t>
      </w:r>
    </w:p>
    <w:p w14:paraId="6746F8A0"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The essential features of the Part VII framework, outlined above, provide a good indication of the utility of that framework beyond its obvious function as a mechanism to facilitate the purchase and sale of books of financial services business:</w:t>
      </w:r>
    </w:p>
    <w:p w14:paraId="28BD0FB5" w14:textId="652CD18E" w:rsidR="00E832D6" w:rsidRPr="008C1882" w:rsidRDefault="00E832D6" w:rsidP="00E832D6">
      <w:pPr>
        <w:pStyle w:val="Para2"/>
        <w:numPr>
          <w:ilvl w:val="0"/>
          <w:numId w:val="31"/>
        </w:numPr>
        <w:spacing w:after="200"/>
        <w:ind w:left="1134" w:hanging="567"/>
        <w:rPr>
          <w:rFonts w:ascii="Book Antiqua" w:hAnsi="Book Antiqua"/>
          <w:szCs w:val="24"/>
        </w:rPr>
      </w:pPr>
      <w:r w:rsidRPr="008C1882">
        <w:rPr>
          <w:rFonts w:ascii="Book Antiqua" w:hAnsi="Book Antiqua"/>
          <w:szCs w:val="24"/>
        </w:rPr>
        <w:t xml:space="preserve">It enables the consolidation and reorganisation of insurance and banking business.  For example, (1) in the banking arena, the regime has been applied to </w:t>
      </w:r>
      <w:proofErr w:type="spellStart"/>
      <w:r w:rsidRPr="008C1882">
        <w:rPr>
          <w:rFonts w:ascii="Book Antiqua" w:hAnsi="Book Antiqua"/>
          <w:szCs w:val="24"/>
        </w:rPr>
        <w:t>subsidiarise</w:t>
      </w:r>
      <w:proofErr w:type="spellEnd"/>
      <w:r w:rsidRPr="008C1882">
        <w:rPr>
          <w:rFonts w:ascii="Book Antiqua" w:hAnsi="Book Antiqua"/>
          <w:szCs w:val="24"/>
        </w:rPr>
        <w:t xml:space="preserve"> the deposit-taking business of UK branches of Greek and Cypriot banks in the face of the Eurozone crisis; and (2) in the insurance arena, the regime has been applied to achieve the </w:t>
      </w:r>
      <w:r w:rsidRPr="008C1882">
        <w:rPr>
          <w:rFonts w:ascii="Book Antiqua" w:hAnsi="Book Antiqua"/>
          <w:szCs w:val="24"/>
        </w:rPr>
        <w:lastRenderedPageBreak/>
        <w:t>demutualisation of mutual insurers and to consolidate books of unique or dormant insurance business into specialist entities best able to unlock economies of scale in the runoff of that business.  Perhaps the most striking example of the latter type of scheme was the transfer in 2009 of the 1992 and prior year long-tail insurance business done at Lloyd’s of London to a UK subsidiary of the Berkshire Hathaway group.</w:t>
      </w:r>
      <w:r w:rsidRPr="008C1882">
        <w:rPr>
          <w:rStyle w:val="FootnoteReference"/>
          <w:rFonts w:ascii="Book Antiqua" w:hAnsi="Book Antiqua"/>
          <w:szCs w:val="24"/>
        </w:rPr>
        <w:footnoteReference w:id="86"/>
      </w:r>
    </w:p>
    <w:p w14:paraId="781056B6" w14:textId="77777777" w:rsidR="00E832D6" w:rsidRPr="008C1882" w:rsidRDefault="00E832D6" w:rsidP="00E832D6">
      <w:pPr>
        <w:pStyle w:val="Para2"/>
        <w:numPr>
          <w:ilvl w:val="0"/>
          <w:numId w:val="31"/>
        </w:numPr>
        <w:spacing w:after="200"/>
        <w:ind w:left="1134" w:hanging="567"/>
        <w:rPr>
          <w:rFonts w:ascii="Book Antiqua" w:hAnsi="Book Antiqua"/>
          <w:szCs w:val="24"/>
        </w:rPr>
      </w:pPr>
      <w:r w:rsidRPr="008C1882">
        <w:rPr>
          <w:rFonts w:ascii="Book Antiqua" w:hAnsi="Book Antiqua"/>
          <w:szCs w:val="24"/>
        </w:rPr>
        <w:t xml:space="preserve">It enables intra-group reorganisation, including </w:t>
      </w:r>
      <w:proofErr w:type="gramStart"/>
      <w:r w:rsidRPr="008C1882">
        <w:rPr>
          <w:rFonts w:ascii="Book Antiqua" w:hAnsi="Book Antiqua"/>
          <w:szCs w:val="24"/>
        </w:rPr>
        <w:t>to simplify group structure and optimise</w:t>
      </w:r>
      <w:proofErr w:type="gramEnd"/>
      <w:r w:rsidRPr="008C1882">
        <w:rPr>
          <w:rFonts w:ascii="Book Antiqua" w:hAnsi="Book Antiqua"/>
          <w:szCs w:val="24"/>
        </w:rPr>
        <w:t xml:space="preserve"> capital structure.  For example, in anticipation of the enhanced regulatory capital regime for insurers under the ‘Solvency II’ Directive</w:t>
      </w:r>
      <w:r w:rsidRPr="008C1882">
        <w:rPr>
          <w:rStyle w:val="FootnoteReference"/>
          <w:rFonts w:ascii="Book Antiqua" w:hAnsi="Book Antiqua"/>
          <w:szCs w:val="24"/>
        </w:rPr>
        <w:footnoteReference w:id="87"/>
      </w:r>
      <w:r w:rsidRPr="008C1882">
        <w:rPr>
          <w:rFonts w:ascii="Book Antiqua" w:hAnsi="Book Antiqua"/>
          <w:szCs w:val="24"/>
        </w:rPr>
        <w:t xml:space="preserve"> (which came into force on 1 January 2016), a number of insurance groups have consolidated the insurance business of group subsidiaries in a single insurer, to access diversification benefits and consequent reductions in regulatory capital;</w:t>
      </w:r>
    </w:p>
    <w:p w14:paraId="25DB7AA8" w14:textId="77777777" w:rsidR="00E832D6" w:rsidRPr="008C1882" w:rsidRDefault="00E832D6" w:rsidP="00E832D6">
      <w:pPr>
        <w:pStyle w:val="Para2"/>
        <w:numPr>
          <w:ilvl w:val="0"/>
          <w:numId w:val="31"/>
        </w:numPr>
        <w:spacing w:after="200"/>
        <w:ind w:left="1134" w:hanging="567"/>
        <w:rPr>
          <w:rFonts w:ascii="Book Antiqua" w:hAnsi="Book Antiqua"/>
          <w:szCs w:val="24"/>
        </w:rPr>
      </w:pPr>
      <w:r w:rsidRPr="008C1882">
        <w:rPr>
          <w:rFonts w:ascii="Book Antiqua" w:hAnsi="Book Antiqua"/>
          <w:szCs w:val="24"/>
        </w:rPr>
        <w:t>It facilitates compliance with prudential and other regulatory requirements.  For example (1) an insurance business transfer that effects an intra-group re-organisation may also engage the Court’s power to modify the terms of the transferring insurance contracts, so as to remove or limit unduly onerous or uncertain policy guarantees, thereby enhancing the security of existing business and enabling compliance with regulatory capital requirements; and (2) a banking group may utilise a ring-fencing transfer scheme to transfer relevant deposit taking business to a ring-fenced body, in compliance with the bank ring-fencing regime.</w:t>
      </w:r>
    </w:p>
    <w:p w14:paraId="6FFD404B" w14:textId="77777777" w:rsidR="00E832D6" w:rsidRPr="008C1882" w:rsidRDefault="00E832D6" w:rsidP="00E832D6">
      <w:pPr>
        <w:pStyle w:val="Para2"/>
        <w:numPr>
          <w:ilvl w:val="0"/>
          <w:numId w:val="0"/>
        </w:numPr>
        <w:spacing w:after="200"/>
        <w:ind w:left="1134"/>
        <w:rPr>
          <w:rFonts w:ascii="Book Antiqua" w:hAnsi="Book Antiqua"/>
          <w:szCs w:val="24"/>
          <w:u w:val="single"/>
        </w:rPr>
      </w:pPr>
    </w:p>
    <w:p w14:paraId="61985F1A" w14:textId="77777777" w:rsidR="00E832D6" w:rsidRPr="008C1882" w:rsidRDefault="00E832D6" w:rsidP="00D55723">
      <w:pPr>
        <w:pStyle w:val="Heading1"/>
        <w:spacing w:before="0" w:after="200"/>
        <w:jc w:val="both"/>
        <w:rPr>
          <w:rFonts w:ascii="Book Antiqua" w:hAnsi="Book Antiqua"/>
          <w:color w:val="auto"/>
          <w:sz w:val="24"/>
          <w:szCs w:val="24"/>
          <w:u w:val="single"/>
        </w:rPr>
      </w:pPr>
      <w:r w:rsidRPr="008C1882">
        <w:rPr>
          <w:rFonts w:ascii="Book Antiqua" w:hAnsi="Book Antiqua"/>
          <w:color w:val="auto"/>
          <w:sz w:val="24"/>
          <w:szCs w:val="24"/>
          <w:u w:val="single"/>
        </w:rPr>
        <w:t>D. Automatic recognition of insurance business transfer schemes authorised in EEA states</w:t>
      </w:r>
    </w:p>
    <w:p w14:paraId="2D854AFA"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 xml:space="preserve">The EU regime for insurance portfolio transfers currently appears in the Solvency II Directive.  Solvency II, Art. 39 makes provision for the </w:t>
      </w:r>
      <w:r w:rsidRPr="008C1882">
        <w:rPr>
          <w:rFonts w:ascii="Book Antiqua" w:hAnsi="Book Antiqua"/>
          <w:i/>
          <w:szCs w:val="24"/>
        </w:rPr>
        <w:t>“transfer of portfolios”</w:t>
      </w:r>
      <w:r w:rsidRPr="008C1882">
        <w:rPr>
          <w:rFonts w:ascii="Book Antiqua" w:hAnsi="Book Antiqua"/>
          <w:szCs w:val="24"/>
        </w:rPr>
        <w:t xml:space="preserve"> of insurance and reinsurance contracts by (</w:t>
      </w:r>
      <w:proofErr w:type="gramStart"/>
      <w:r w:rsidRPr="008C1882">
        <w:rPr>
          <w:rFonts w:ascii="Book Antiqua" w:hAnsi="Book Antiqua"/>
          <w:szCs w:val="24"/>
        </w:rPr>
        <w:t>re)insurance</w:t>
      </w:r>
      <w:proofErr w:type="gramEnd"/>
      <w:r w:rsidRPr="008C1882">
        <w:rPr>
          <w:rFonts w:ascii="Book Antiqua" w:hAnsi="Book Antiqua"/>
          <w:szCs w:val="24"/>
        </w:rPr>
        <w:t xml:space="preserve"> undertakings </w:t>
      </w:r>
      <w:r w:rsidRPr="008C1882">
        <w:rPr>
          <w:rFonts w:ascii="Book Antiqua" w:hAnsi="Book Antiqua"/>
          <w:szCs w:val="24"/>
        </w:rPr>
        <w:lastRenderedPageBreak/>
        <w:t>established within the territory of a Member State.  Solvency II, Art. 164 makes parallel provision for the transfer of insurance portfolios by branches of undertakings set up in the territory of a Member State.</w:t>
      </w:r>
    </w:p>
    <w:p w14:paraId="6D9A2D30"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The Solvency II regime for portfolio transfers provides for procedural formalities,</w:t>
      </w:r>
      <w:r w:rsidRPr="008C1882">
        <w:rPr>
          <w:rStyle w:val="FootnoteReference"/>
          <w:rFonts w:ascii="Book Antiqua" w:hAnsi="Book Antiqua"/>
          <w:szCs w:val="24"/>
        </w:rPr>
        <w:footnoteReference w:id="88"/>
      </w:r>
      <w:r w:rsidRPr="008C1882">
        <w:rPr>
          <w:rFonts w:ascii="Book Antiqua" w:hAnsi="Book Antiqua"/>
          <w:szCs w:val="24"/>
        </w:rPr>
        <w:t xml:space="preserve"> including the certification of the solvency of the accepting undertaking, taking the proposed transfer into account.  Most significantly, if a transfer initiated in a home State relates to contracts concluded in or connected with a host State, the consent of the relevant authority in the host State is required before the transfer is authorised in the home State.</w:t>
      </w:r>
      <w:r w:rsidRPr="008C1882">
        <w:rPr>
          <w:rStyle w:val="FootnoteReference"/>
          <w:rFonts w:ascii="Book Antiqua" w:hAnsi="Book Antiqua"/>
          <w:szCs w:val="24"/>
        </w:rPr>
        <w:footnoteReference w:id="89"/>
      </w:r>
      <w:r w:rsidRPr="008C1882">
        <w:rPr>
          <w:rFonts w:ascii="Book Antiqua" w:hAnsi="Book Antiqua"/>
          <w:szCs w:val="24"/>
        </w:rPr>
        <w:t xml:space="preserve">  However, a host State is deemed to consent if it fails to respond within three months of receiving a request for consultation.</w:t>
      </w:r>
      <w:r w:rsidRPr="008C1882">
        <w:rPr>
          <w:rStyle w:val="FootnoteReference"/>
          <w:rFonts w:ascii="Book Antiqua" w:hAnsi="Book Antiqua"/>
          <w:szCs w:val="24"/>
        </w:rPr>
        <w:footnoteReference w:id="90"/>
      </w:r>
    </w:p>
    <w:p w14:paraId="4EC47882"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 xml:space="preserve">Solvency II, Articles 39(6) and 164(6) provide that portfolio transfers authorised in accordance with the applicable Directive provisions </w:t>
      </w:r>
      <w:r w:rsidRPr="008C1882">
        <w:rPr>
          <w:rFonts w:ascii="Book Antiqua" w:hAnsi="Book Antiqua"/>
          <w:i/>
          <w:szCs w:val="24"/>
        </w:rPr>
        <w:t>“shall automatically be valid against policy holders, the insured persons and any other person having rights or obligations arising out of the contracts transferred”</w:t>
      </w:r>
      <w:r w:rsidRPr="008C1882">
        <w:rPr>
          <w:rFonts w:ascii="Book Antiqua" w:hAnsi="Book Antiqua"/>
          <w:szCs w:val="24"/>
        </w:rPr>
        <w:t>.  These requirements are implemented in the UK by way of FSMA 2000, s. 116, which provides for the recognition in the UK of insurance business transfers authorised in other EEA States.</w:t>
      </w:r>
    </w:p>
    <w:p w14:paraId="624FE69F"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The UK recognition regime applies:</w:t>
      </w:r>
    </w:p>
    <w:p w14:paraId="2E4F41F9" w14:textId="77777777" w:rsidR="00E832D6" w:rsidRPr="008C1882" w:rsidRDefault="00E832D6" w:rsidP="00E832D6">
      <w:pPr>
        <w:pStyle w:val="Para2"/>
        <w:numPr>
          <w:ilvl w:val="0"/>
          <w:numId w:val="28"/>
        </w:numPr>
        <w:spacing w:after="200"/>
        <w:ind w:left="1134" w:hanging="567"/>
        <w:rPr>
          <w:rFonts w:ascii="Book Antiqua" w:hAnsi="Book Antiqua"/>
          <w:szCs w:val="24"/>
        </w:rPr>
      </w:pPr>
      <w:r w:rsidRPr="008C1882">
        <w:rPr>
          <w:rFonts w:ascii="Book Antiqua" w:hAnsi="Book Antiqua"/>
          <w:szCs w:val="24"/>
        </w:rPr>
        <w:t>Under FSMA 2000, s. 116(1), if as a result of transfer authorised in an EEA State,</w:t>
      </w:r>
      <w:r w:rsidRPr="008C1882">
        <w:rPr>
          <w:rStyle w:val="FootnoteReference"/>
          <w:rFonts w:ascii="Book Antiqua" w:hAnsi="Book Antiqua"/>
          <w:szCs w:val="24"/>
        </w:rPr>
        <w:footnoteReference w:id="91"/>
      </w:r>
      <w:r w:rsidRPr="008C1882">
        <w:rPr>
          <w:rFonts w:ascii="Book Antiqua" w:hAnsi="Book Antiqua"/>
          <w:szCs w:val="24"/>
        </w:rPr>
        <w:t xml:space="preserve"> in accordance with Solvency II, Art 39, an EEA insurer or reinsurer </w:t>
      </w:r>
      <w:r w:rsidRPr="008C1882">
        <w:rPr>
          <w:rFonts w:ascii="Book Antiqua" w:hAnsi="Book Antiqua"/>
          <w:szCs w:val="24"/>
        </w:rPr>
        <w:lastRenderedPageBreak/>
        <w:t>with its head office in that State, transfers to another body all its rights and obligations under a ‘UK policy’</w:t>
      </w:r>
      <w:r w:rsidRPr="008C1882">
        <w:rPr>
          <w:rStyle w:val="FootnoteReference"/>
          <w:rFonts w:ascii="Book Antiqua" w:hAnsi="Book Antiqua"/>
          <w:szCs w:val="24"/>
        </w:rPr>
        <w:footnoteReference w:id="92"/>
      </w:r>
      <w:r w:rsidRPr="008C1882">
        <w:rPr>
          <w:rFonts w:ascii="Book Antiqua" w:hAnsi="Book Antiqua"/>
          <w:szCs w:val="24"/>
        </w:rPr>
        <w:t>;</w:t>
      </w:r>
    </w:p>
    <w:p w14:paraId="31A2A9A0" w14:textId="77777777" w:rsidR="00E832D6" w:rsidRPr="008C1882" w:rsidRDefault="00E832D6" w:rsidP="00E832D6">
      <w:pPr>
        <w:pStyle w:val="Para2"/>
        <w:numPr>
          <w:ilvl w:val="0"/>
          <w:numId w:val="28"/>
        </w:numPr>
        <w:spacing w:after="200"/>
        <w:ind w:left="1134" w:hanging="567"/>
        <w:rPr>
          <w:rFonts w:ascii="Book Antiqua" w:hAnsi="Book Antiqua"/>
          <w:szCs w:val="24"/>
        </w:rPr>
      </w:pPr>
      <w:r w:rsidRPr="008C1882">
        <w:rPr>
          <w:rFonts w:ascii="Book Antiqua" w:hAnsi="Book Antiqua"/>
          <w:szCs w:val="24"/>
        </w:rPr>
        <w:t xml:space="preserve">Under FSMA 2000, s. 116(2)(a), if as a result of a transfer authorised in an EEA State, in accordance with Solvency II, Art. 164, the EEA authorised branch of a third country insurer transfers to another body all its rights and obligations under a UK policy; or </w:t>
      </w:r>
    </w:p>
    <w:p w14:paraId="4852337E" w14:textId="77777777" w:rsidR="00E832D6" w:rsidRPr="008C1882" w:rsidRDefault="00E832D6" w:rsidP="00E832D6">
      <w:pPr>
        <w:pStyle w:val="Para2"/>
        <w:numPr>
          <w:ilvl w:val="0"/>
          <w:numId w:val="28"/>
        </w:numPr>
        <w:spacing w:after="200"/>
        <w:ind w:left="1134" w:hanging="567"/>
        <w:rPr>
          <w:rFonts w:ascii="Book Antiqua" w:hAnsi="Book Antiqua"/>
          <w:szCs w:val="24"/>
        </w:rPr>
      </w:pPr>
      <w:r w:rsidRPr="008C1882">
        <w:rPr>
          <w:rFonts w:ascii="Book Antiqua" w:hAnsi="Book Antiqua"/>
          <w:szCs w:val="24"/>
        </w:rPr>
        <w:t>Under FSMA 2000, s. 116(2)(b), if as a result of a transfer authorised in an EEA State, in accordance with the provisions in the law of that State which provide for the authorisation of transfers of all or part of a portfolio of contracts of a third country undertaking authorised to carry out reinsurance activities in its territory (as mentioned in Article 174 of the Solvency 2 Directive), an EEA pure reinsurer transfers to another body all its rights and obligations under a UK policy.</w:t>
      </w:r>
    </w:p>
    <w:p w14:paraId="148E56D9"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In summary, the first two categories of recognised transfer are straightforward: the recognition regime applies to transfers of UK policies (1) by an insurer or reinsurer established in an EEA State; and (2) by the EEA-authorised branch of a third country insurer (but not a reinsurer).</w:t>
      </w:r>
    </w:p>
    <w:p w14:paraId="33A66FCA"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The third category is more opaque.  Its complexity stems from the way in which Solvency II deals with reinsurance business carried on by a pure reinsurer established in a third country.  In principle, the reinsurer could carry on that business in the EU on either an establishment basis or a services basis.  However, subject to (a) Solvency II, Art 174, which provides that a third country reinsurer must not receive more favourable treatment than an EEA reinsurer; and (b) the possibility of a bilateral agreement, under Solvency II, Art. 175, between the EU and the relevant third country regarding the supervision of third country reinsurers:</w:t>
      </w:r>
    </w:p>
    <w:p w14:paraId="131B71A0" w14:textId="77777777" w:rsidR="00E832D6" w:rsidRPr="008C1882" w:rsidRDefault="00E832D6" w:rsidP="00E832D6">
      <w:pPr>
        <w:pStyle w:val="Para1"/>
        <w:numPr>
          <w:ilvl w:val="0"/>
          <w:numId w:val="29"/>
        </w:numPr>
        <w:spacing w:after="200"/>
        <w:ind w:left="1134" w:hanging="567"/>
        <w:rPr>
          <w:rFonts w:ascii="Book Antiqua" w:hAnsi="Book Antiqua"/>
          <w:szCs w:val="24"/>
        </w:rPr>
      </w:pPr>
      <w:r w:rsidRPr="008C1882">
        <w:rPr>
          <w:rFonts w:ascii="Book Antiqua" w:hAnsi="Book Antiqua"/>
          <w:szCs w:val="24"/>
        </w:rPr>
        <w:t xml:space="preserve">Solvency II is silent (and it is therefore an open question) as to whether a third country pure reinsurer may simply conduct business on a services </w:t>
      </w:r>
      <w:r w:rsidRPr="008C1882">
        <w:rPr>
          <w:rFonts w:ascii="Book Antiqua" w:hAnsi="Book Antiqua"/>
          <w:szCs w:val="24"/>
        </w:rPr>
        <w:lastRenderedPageBreak/>
        <w:t>only (i.e. ‘non-admitted’) basis without a permanent presence or establishment in the EU; and</w:t>
      </w:r>
    </w:p>
    <w:p w14:paraId="1EE2C76A" w14:textId="77777777" w:rsidR="00E832D6" w:rsidRPr="008C1882" w:rsidRDefault="00E832D6" w:rsidP="00E832D6">
      <w:pPr>
        <w:pStyle w:val="Para1"/>
        <w:numPr>
          <w:ilvl w:val="0"/>
          <w:numId w:val="29"/>
        </w:numPr>
        <w:spacing w:after="200"/>
        <w:ind w:left="1134" w:hanging="567"/>
        <w:rPr>
          <w:rFonts w:ascii="Book Antiqua" w:hAnsi="Book Antiqua"/>
          <w:szCs w:val="24"/>
        </w:rPr>
      </w:pPr>
      <w:r w:rsidRPr="008C1882">
        <w:rPr>
          <w:rFonts w:ascii="Book Antiqua" w:hAnsi="Book Antiqua"/>
          <w:szCs w:val="24"/>
        </w:rPr>
        <w:t>Solvency II is silent as to the conditions that Member States should impose on incoming branches of third country pure reinsurers.  In principle, that leaves each Member State free to decide for itself what the relevant conditions should be.</w:t>
      </w:r>
    </w:p>
    <w:p w14:paraId="7D090180"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Read against that background, FSMA 2000, s. 116(2)(b) deals with the situation in which (a) a third country pure reinsurer has in fact obtained some form of authorisation in an EEA State; and (b) the transfer of a portfolio of UK pure reinsurance policies has been authorised under the law of that state.</w:t>
      </w:r>
    </w:p>
    <w:p w14:paraId="5D8B7D17"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As to the recognition of an approved business transfer scheme in the UK FSMA 2000, s. 116 provides in part that:</w:t>
      </w:r>
    </w:p>
    <w:p w14:paraId="4B4AC348" w14:textId="77777777" w:rsidR="00E832D6" w:rsidRPr="008C1882" w:rsidRDefault="00E832D6" w:rsidP="00E832D6">
      <w:pPr>
        <w:pStyle w:val="Quotation"/>
        <w:spacing w:after="200" w:line="360" w:lineRule="auto"/>
        <w:ind w:left="851"/>
        <w:contextualSpacing w:val="0"/>
        <w:rPr>
          <w:rFonts w:ascii="Book Antiqua" w:hAnsi="Book Antiqua"/>
          <w:i/>
          <w:szCs w:val="24"/>
        </w:rPr>
      </w:pPr>
      <w:r w:rsidRPr="008C1882">
        <w:rPr>
          <w:rFonts w:ascii="Book Antiqua" w:hAnsi="Book Antiqua"/>
          <w:i/>
          <w:szCs w:val="24"/>
        </w:rPr>
        <w:t>“(3) If appropriate notice</w:t>
      </w:r>
      <w:r w:rsidRPr="008C1882">
        <w:rPr>
          <w:rStyle w:val="FootnoteReference"/>
          <w:rFonts w:ascii="Book Antiqua" w:hAnsi="Book Antiqua"/>
          <w:i/>
          <w:szCs w:val="24"/>
        </w:rPr>
        <w:footnoteReference w:id="93"/>
      </w:r>
      <w:r w:rsidRPr="008C1882">
        <w:rPr>
          <w:rFonts w:ascii="Book Antiqua" w:hAnsi="Book Antiqua"/>
          <w:i/>
          <w:szCs w:val="24"/>
        </w:rPr>
        <w:t xml:space="preserve"> of the execution of an instrument giving effect to the transfer is published, the instrument has the effect in law—</w:t>
      </w:r>
    </w:p>
    <w:p w14:paraId="0E327887" w14:textId="77777777" w:rsidR="00E832D6" w:rsidRPr="008C1882" w:rsidRDefault="00E832D6" w:rsidP="00E832D6">
      <w:pPr>
        <w:pStyle w:val="Quotation"/>
        <w:spacing w:after="200" w:line="360" w:lineRule="auto"/>
        <w:ind w:left="1134"/>
        <w:contextualSpacing w:val="0"/>
        <w:rPr>
          <w:rFonts w:ascii="Book Antiqua" w:hAnsi="Book Antiqua"/>
          <w:i/>
          <w:szCs w:val="24"/>
        </w:rPr>
      </w:pPr>
      <w:r w:rsidRPr="008C1882">
        <w:rPr>
          <w:rFonts w:ascii="Book Antiqua" w:hAnsi="Book Antiqua"/>
          <w:i/>
          <w:szCs w:val="24"/>
        </w:rPr>
        <w:t xml:space="preserve">(a) </w:t>
      </w:r>
      <w:proofErr w:type="gramStart"/>
      <w:r w:rsidRPr="008C1882">
        <w:rPr>
          <w:rFonts w:ascii="Book Antiqua" w:hAnsi="Book Antiqua"/>
          <w:i/>
          <w:szCs w:val="24"/>
        </w:rPr>
        <w:t>of</w:t>
      </w:r>
      <w:proofErr w:type="gramEnd"/>
      <w:r w:rsidRPr="008C1882">
        <w:rPr>
          <w:rFonts w:ascii="Book Antiqua" w:hAnsi="Book Antiqua"/>
          <w:i/>
          <w:szCs w:val="24"/>
        </w:rPr>
        <w:t xml:space="preserve"> transferring to the transferee all the transferor's rights and obligations under the UK policies to which the instrument applies, and</w:t>
      </w:r>
    </w:p>
    <w:p w14:paraId="41467E94" w14:textId="77777777" w:rsidR="00E832D6" w:rsidRPr="008C1882" w:rsidRDefault="00E832D6" w:rsidP="00E832D6">
      <w:pPr>
        <w:pStyle w:val="Quotation"/>
        <w:spacing w:after="200" w:line="360" w:lineRule="auto"/>
        <w:ind w:left="1134"/>
        <w:contextualSpacing w:val="0"/>
        <w:rPr>
          <w:rFonts w:ascii="Book Antiqua" w:hAnsi="Book Antiqua"/>
          <w:i/>
          <w:szCs w:val="24"/>
        </w:rPr>
      </w:pPr>
      <w:r w:rsidRPr="008C1882">
        <w:rPr>
          <w:rFonts w:ascii="Book Antiqua" w:hAnsi="Book Antiqua"/>
          <w:i/>
          <w:szCs w:val="24"/>
        </w:rPr>
        <w:t xml:space="preserve">(b) </w:t>
      </w:r>
      <w:proofErr w:type="gramStart"/>
      <w:r w:rsidRPr="008C1882">
        <w:rPr>
          <w:rFonts w:ascii="Book Antiqua" w:hAnsi="Book Antiqua"/>
          <w:i/>
          <w:szCs w:val="24"/>
        </w:rPr>
        <w:t>if</w:t>
      </w:r>
      <w:proofErr w:type="gramEnd"/>
      <w:r w:rsidRPr="008C1882">
        <w:rPr>
          <w:rFonts w:ascii="Book Antiqua" w:hAnsi="Book Antiqua"/>
          <w:i/>
          <w:szCs w:val="24"/>
        </w:rPr>
        <w:t xml:space="preserve"> the instrument so provides, of securing the continuation by or against the transferee of any legal proceedings by or against the transferor which relate to those rights and obligations.</w:t>
      </w:r>
    </w:p>
    <w:p w14:paraId="4872BBB2" w14:textId="77777777" w:rsidR="00E832D6" w:rsidRPr="008C1882" w:rsidRDefault="00E832D6" w:rsidP="00E832D6">
      <w:pPr>
        <w:pStyle w:val="Quotation"/>
        <w:spacing w:after="200" w:line="360" w:lineRule="auto"/>
        <w:ind w:left="851"/>
        <w:contextualSpacing w:val="0"/>
        <w:rPr>
          <w:rFonts w:ascii="Book Antiqua" w:hAnsi="Book Antiqua"/>
          <w:szCs w:val="24"/>
        </w:rPr>
      </w:pPr>
      <w:r w:rsidRPr="008C1882">
        <w:rPr>
          <w:rFonts w:ascii="Book Antiqua" w:hAnsi="Book Antiqua"/>
          <w:i/>
          <w:szCs w:val="24"/>
        </w:rPr>
        <w:t>(4) No agreement or consent is required before subsection (3) has the effects mentioned.”</w:t>
      </w:r>
    </w:p>
    <w:p w14:paraId="749783E3" w14:textId="77777777" w:rsidR="00E832D6" w:rsidRPr="008C1882" w:rsidRDefault="00E832D6" w:rsidP="00E832D6">
      <w:pPr>
        <w:pStyle w:val="Heading1"/>
        <w:spacing w:before="0" w:after="200"/>
        <w:rPr>
          <w:rFonts w:ascii="Book Antiqua" w:hAnsi="Book Antiqua"/>
          <w:color w:val="auto"/>
          <w:sz w:val="24"/>
          <w:szCs w:val="24"/>
          <w:u w:val="single"/>
        </w:rPr>
      </w:pPr>
    </w:p>
    <w:p w14:paraId="73AB8EB4" w14:textId="77777777" w:rsidR="00E832D6" w:rsidRPr="008C1882" w:rsidRDefault="00E832D6" w:rsidP="00D55723">
      <w:pPr>
        <w:pStyle w:val="Heading1"/>
        <w:spacing w:before="0" w:after="200"/>
        <w:jc w:val="both"/>
        <w:rPr>
          <w:rFonts w:ascii="Book Antiqua" w:hAnsi="Book Antiqua"/>
          <w:color w:val="auto"/>
          <w:sz w:val="24"/>
          <w:szCs w:val="24"/>
          <w:u w:val="single"/>
        </w:rPr>
      </w:pPr>
      <w:r w:rsidRPr="008C1882">
        <w:rPr>
          <w:rFonts w:ascii="Book Antiqua" w:hAnsi="Book Antiqua"/>
          <w:color w:val="auto"/>
          <w:sz w:val="24"/>
          <w:szCs w:val="24"/>
          <w:u w:val="single"/>
        </w:rPr>
        <w:t>E. Post-</w:t>
      </w:r>
      <w:proofErr w:type="spellStart"/>
      <w:r w:rsidRPr="008C1882">
        <w:rPr>
          <w:rFonts w:ascii="Book Antiqua" w:hAnsi="Book Antiqua"/>
          <w:color w:val="auto"/>
          <w:sz w:val="24"/>
          <w:szCs w:val="24"/>
          <w:u w:val="single"/>
        </w:rPr>
        <w:t>Brexit</w:t>
      </w:r>
      <w:proofErr w:type="spellEnd"/>
      <w:r w:rsidRPr="008C1882">
        <w:rPr>
          <w:rFonts w:ascii="Book Antiqua" w:hAnsi="Book Antiqua"/>
          <w:color w:val="auto"/>
          <w:sz w:val="24"/>
          <w:szCs w:val="24"/>
          <w:u w:val="single"/>
        </w:rPr>
        <w:t xml:space="preserve"> business transfer schemes that include assets and liabilities subject to a foreign law</w:t>
      </w:r>
    </w:p>
    <w:p w14:paraId="178E7752"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 xml:space="preserve">The obvious consequence of a “hard </w:t>
      </w:r>
      <w:proofErr w:type="spellStart"/>
      <w:r w:rsidRPr="008C1882">
        <w:rPr>
          <w:rFonts w:ascii="Book Antiqua" w:hAnsi="Book Antiqua"/>
          <w:szCs w:val="24"/>
        </w:rPr>
        <w:t>Brexit</w:t>
      </w:r>
      <w:proofErr w:type="spellEnd"/>
      <w:r w:rsidRPr="008C1882">
        <w:rPr>
          <w:rFonts w:ascii="Book Antiqua" w:hAnsi="Book Antiqua"/>
          <w:szCs w:val="24"/>
        </w:rPr>
        <w:t xml:space="preserve">”, (under which the UK firms do not immediately gain either (a) EEA rights; or (b) equivalent rights under a bespoke agreement with the EU, whether under Solvency II or otherwise), is </w:t>
      </w:r>
      <w:r w:rsidRPr="008C1882">
        <w:rPr>
          <w:rFonts w:ascii="Book Antiqua" w:hAnsi="Book Antiqua"/>
          <w:szCs w:val="24"/>
        </w:rPr>
        <w:lastRenderedPageBreak/>
        <w:t>that EEA States will no longer be compelled to recognise the effect of insurance business transfer schemes sanctioned by the UK courts.  As David Richards J put it</w:t>
      </w:r>
      <w:r w:rsidRPr="008C1882">
        <w:rPr>
          <w:rStyle w:val="FootnoteReference"/>
          <w:rFonts w:ascii="Book Antiqua" w:hAnsi="Book Antiqua"/>
          <w:szCs w:val="24"/>
        </w:rPr>
        <w:footnoteReference w:id="94"/>
      </w:r>
      <w:r w:rsidRPr="008C1882">
        <w:rPr>
          <w:rFonts w:ascii="Book Antiqua" w:hAnsi="Book Antiqua"/>
          <w:szCs w:val="24"/>
        </w:rPr>
        <w:t xml:space="preserve">, an order of the Court sanctioning a transfer </w:t>
      </w:r>
      <w:r w:rsidRPr="008C1882">
        <w:rPr>
          <w:rFonts w:ascii="Book Antiqua" w:hAnsi="Book Antiqua"/>
          <w:i/>
          <w:szCs w:val="24"/>
        </w:rPr>
        <w:t>“will not be directly effective in those States under the terms of the relevant EU insurance directive”</w:t>
      </w:r>
      <w:r w:rsidRPr="008C1882">
        <w:rPr>
          <w:rFonts w:ascii="Book Antiqua" w:hAnsi="Book Antiqua"/>
          <w:szCs w:val="24"/>
        </w:rPr>
        <w:t>.  That will be the case whether or not the UK maintains its recognition regime under FSMA 2000, s. 116.</w:t>
      </w:r>
    </w:p>
    <w:p w14:paraId="4F8435DE"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 xml:space="preserve">A hard </w:t>
      </w:r>
      <w:proofErr w:type="spellStart"/>
      <w:r w:rsidRPr="008C1882">
        <w:rPr>
          <w:rFonts w:ascii="Book Antiqua" w:hAnsi="Book Antiqua"/>
          <w:szCs w:val="24"/>
        </w:rPr>
        <w:t>Brexit</w:t>
      </w:r>
      <w:proofErr w:type="spellEnd"/>
      <w:r w:rsidRPr="008C1882">
        <w:rPr>
          <w:rFonts w:ascii="Book Antiqua" w:hAnsi="Book Antiqua"/>
          <w:szCs w:val="24"/>
        </w:rPr>
        <w:t xml:space="preserve"> is likely to be less significant for banking business transfer schemes; reclaim fund business transfer schemes and ring-fencing transfer schemes, which do not currently benefit from an EU recognition regime.  Indeed, insofar as those schemes include assets or liabilities that are governed by the law of any country or territory outside the UK, the Part VII framework does not assume that the sanction of the scheme by the Court will necessarily have any effect in relation to those assets.  That is the obvious implication of FSMA 2000, s. 112(4), which provides that in relation to such assets, the order sanctioning the scheme </w:t>
      </w:r>
      <w:r w:rsidRPr="008C1882">
        <w:rPr>
          <w:rFonts w:ascii="Book Antiqua" w:hAnsi="Book Antiqua"/>
          <w:i/>
          <w:szCs w:val="24"/>
        </w:rPr>
        <w:t>“may require the transferor concerned … if the transferee so requires, to take all necessary steps for securing that the transfer to the transferee of the property or liability is fully effective under the law of that country or territory.”</w:t>
      </w:r>
    </w:p>
    <w:p w14:paraId="1E135E84"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The implications of including foreign law assets and liabilities in a business transfer scheme post-</w:t>
      </w:r>
      <w:proofErr w:type="spellStart"/>
      <w:r w:rsidRPr="008C1882">
        <w:rPr>
          <w:rFonts w:ascii="Book Antiqua" w:hAnsi="Book Antiqua"/>
          <w:szCs w:val="24"/>
        </w:rPr>
        <w:t>Brexit</w:t>
      </w:r>
      <w:proofErr w:type="spellEnd"/>
      <w:r w:rsidRPr="008C1882">
        <w:rPr>
          <w:rFonts w:ascii="Book Antiqua" w:hAnsi="Book Antiqua"/>
          <w:szCs w:val="24"/>
        </w:rPr>
        <w:t xml:space="preserve"> are neatly illustrated by the decision of David Richards J in </w:t>
      </w:r>
      <w:proofErr w:type="spellStart"/>
      <w:r w:rsidRPr="008C1882">
        <w:rPr>
          <w:rFonts w:ascii="Book Antiqua" w:hAnsi="Book Antiqua"/>
          <w:i/>
          <w:szCs w:val="24"/>
        </w:rPr>
        <w:t>Sompo</w:t>
      </w:r>
      <w:proofErr w:type="spellEnd"/>
      <w:r w:rsidRPr="008C1882">
        <w:rPr>
          <w:rFonts w:ascii="Book Antiqua" w:hAnsi="Book Antiqua"/>
          <w:i/>
          <w:szCs w:val="24"/>
        </w:rPr>
        <w:t xml:space="preserve"> Insurance. </w:t>
      </w:r>
      <w:proofErr w:type="gramStart"/>
      <w:r w:rsidRPr="008C1882">
        <w:rPr>
          <w:rFonts w:ascii="Book Antiqua" w:hAnsi="Book Antiqua"/>
          <w:i/>
          <w:szCs w:val="24"/>
        </w:rPr>
        <w:t>v</w:t>
      </w:r>
      <w:proofErr w:type="gramEnd"/>
      <w:r w:rsidRPr="008C1882">
        <w:rPr>
          <w:rFonts w:ascii="Book Antiqua" w:hAnsi="Book Antiqua"/>
          <w:i/>
          <w:szCs w:val="24"/>
        </w:rPr>
        <w:t xml:space="preserve"> </w:t>
      </w:r>
      <w:proofErr w:type="spellStart"/>
      <w:r w:rsidRPr="008C1882">
        <w:rPr>
          <w:rFonts w:ascii="Book Antiqua" w:hAnsi="Book Antiqua"/>
          <w:i/>
          <w:szCs w:val="24"/>
        </w:rPr>
        <w:t>Transfercom</w:t>
      </w:r>
      <w:proofErr w:type="spellEnd"/>
      <w:r w:rsidRPr="008C1882">
        <w:rPr>
          <w:rFonts w:ascii="Book Antiqua" w:hAnsi="Book Antiqua"/>
          <w:szCs w:val="24"/>
        </w:rPr>
        <w:t>.</w:t>
      </w:r>
      <w:r w:rsidRPr="008C1882">
        <w:rPr>
          <w:rStyle w:val="FootnoteReference"/>
          <w:rFonts w:ascii="Book Antiqua" w:hAnsi="Book Antiqua"/>
          <w:szCs w:val="24"/>
        </w:rPr>
        <w:footnoteReference w:id="95"/>
      </w:r>
      <w:r w:rsidRPr="008C1882">
        <w:rPr>
          <w:rFonts w:ascii="Book Antiqua" w:hAnsi="Book Antiqua"/>
          <w:szCs w:val="24"/>
        </w:rPr>
        <w:t xml:space="preserve">  As its title suggests, this case concerned the sanction of an insurance business transfer scheme.  However, the contracts to be transferred were primarily contracts of reinsurance.  When the scheme came before the Court, EU insurance Directives did not yet require Member States (a) to provide for portfolio transfers in respect of reinsurance business; or (b) automatically to recognise transfers of reinsurance business sanctioned in other Member States.</w:t>
      </w:r>
    </w:p>
    <w:p w14:paraId="681DB1C3" w14:textId="77777777" w:rsidR="00E832D6" w:rsidRPr="008C1882" w:rsidRDefault="00E832D6" w:rsidP="00E832D6">
      <w:pPr>
        <w:pStyle w:val="Para1"/>
        <w:spacing w:after="200"/>
        <w:ind w:left="567" w:hanging="567"/>
        <w:rPr>
          <w:rFonts w:ascii="Book Antiqua" w:hAnsi="Book Antiqua"/>
          <w:szCs w:val="24"/>
        </w:rPr>
      </w:pPr>
      <w:proofErr w:type="gramStart"/>
      <w:r w:rsidRPr="008C1882">
        <w:rPr>
          <w:rFonts w:ascii="Book Antiqua" w:hAnsi="Book Antiqua"/>
          <w:szCs w:val="24"/>
        </w:rPr>
        <w:t>Only about 27% of the affected policies (by number and by value of reserves) were governed by English law</w:t>
      </w:r>
      <w:proofErr w:type="gramEnd"/>
      <w:r w:rsidRPr="008C1882">
        <w:rPr>
          <w:rFonts w:ascii="Book Antiqua" w:hAnsi="Book Antiqua"/>
          <w:szCs w:val="24"/>
        </w:rPr>
        <w:t>.</w:t>
      </w:r>
      <w:r w:rsidRPr="008C1882">
        <w:rPr>
          <w:rStyle w:val="FootnoteReference"/>
          <w:rFonts w:ascii="Book Antiqua" w:hAnsi="Book Antiqua"/>
          <w:szCs w:val="24"/>
        </w:rPr>
        <w:footnoteReference w:id="96"/>
      </w:r>
      <w:r w:rsidRPr="008C1882">
        <w:rPr>
          <w:rFonts w:ascii="Book Antiqua" w:hAnsi="Book Antiqua"/>
          <w:szCs w:val="24"/>
        </w:rPr>
        <w:t xml:space="preserve"> Accordingly, the Court had to consider </w:t>
      </w:r>
      <w:r w:rsidRPr="008C1882">
        <w:rPr>
          <w:rFonts w:ascii="Book Antiqua" w:hAnsi="Book Antiqua"/>
          <w:szCs w:val="24"/>
        </w:rPr>
        <w:lastRenderedPageBreak/>
        <w:t xml:space="preserve">whether it was nevertheless appropriate to exercise its discretion to sanction the transfer scheme in light of the principle in </w:t>
      </w:r>
      <w:r w:rsidRPr="008C1882">
        <w:rPr>
          <w:rFonts w:ascii="Book Antiqua" w:hAnsi="Book Antiqua"/>
          <w:i/>
          <w:szCs w:val="24"/>
        </w:rPr>
        <w:t xml:space="preserve">Re </w:t>
      </w:r>
      <w:proofErr w:type="spellStart"/>
      <w:r w:rsidRPr="008C1882">
        <w:rPr>
          <w:rFonts w:ascii="Book Antiqua" w:hAnsi="Book Antiqua"/>
          <w:i/>
          <w:szCs w:val="24"/>
        </w:rPr>
        <w:t>Ratners</w:t>
      </w:r>
      <w:proofErr w:type="spellEnd"/>
      <w:r w:rsidRPr="008C1882">
        <w:rPr>
          <w:rFonts w:ascii="Book Antiqua" w:hAnsi="Book Antiqua"/>
          <w:i/>
          <w:szCs w:val="24"/>
        </w:rPr>
        <w:t xml:space="preserve"> Group </w:t>
      </w:r>
      <w:proofErr w:type="spellStart"/>
      <w:r w:rsidRPr="008C1882">
        <w:rPr>
          <w:rFonts w:ascii="Book Antiqua" w:hAnsi="Book Antiqua"/>
          <w:i/>
          <w:szCs w:val="24"/>
        </w:rPr>
        <w:t>plc</w:t>
      </w:r>
      <w:proofErr w:type="spellEnd"/>
      <w:r w:rsidRPr="008C1882">
        <w:rPr>
          <w:rFonts w:ascii="Book Antiqua" w:hAnsi="Book Antiqua"/>
          <w:szCs w:val="24"/>
        </w:rPr>
        <w:t xml:space="preserve"> [1988] BCLC </w:t>
      </w:r>
      <w:proofErr w:type="gramStart"/>
      <w:r w:rsidRPr="008C1882">
        <w:rPr>
          <w:rFonts w:ascii="Book Antiqua" w:hAnsi="Book Antiqua"/>
          <w:szCs w:val="24"/>
        </w:rPr>
        <w:t>685, that</w:t>
      </w:r>
      <w:proofErr w:type="gramEnd"/>
      <w:r w:rsidRPr="008C1882">
        <w:rPr>
          <w:rFonts w:ascii="Book Antiqua" w:hAnsi="Book Antiqua"/>
          <w:szCs w:val="24"/>
        </w:rPr>
        <w:t xml:space="preserve"> the court will not act in vain, by making an order with no real purpose.  The Court concluded</w:t>
      </w:r>
      <w:r w:rsidRPr="008C1882">
        <w:rPr>
          <w:rStyle w:val="FootnoteReference"/>
          <w:rFonts w:ascii="Book Antiqua" w:hAnsi="Book Antiqua"/>
          <w:szCs w:val="24"/>
        </w:rPr>
        <w:footnoteReference w:id="97"/>
      </w:r>
      <w:r w:rsidRPr="008C1882">
        <w:rPr>
          <w:rFonts w:ascii="Book Antiqua" w:hAnsi="Book Antiqua"/>
          <w:szCs w:val="24"/>
        </w:rPr>
        <w:t xml:space="preserve"> on the evidence that it was reasonable to suppose that the transfer scheme would be effective in any relevant jurisdiction, at least as regards the contracts of insurance governed by English law.  Accordingly, the scheme would achieve a substantial purpose.  The fact that the scheme also extended to a larger class of business, not governed by English law, was not a good reason to refuse sanction.</w:t>
      </w:r>
    </w:p>
    <w:p w14:paraId="56396E70" w14:textId="77777777" w:rsidR="00E832D6" w:rsidRPr="008C1882" w:rsidRDefault="00E832D6" w:rsidP="00E832D6">
      <w:pPr>
        <w:pStyle w:val="Para1"/>
        <w:spacing w:after="200"/>
        <w:ind w:left="567" w:hanging="567"/>
        <w:rPr>
          <w:rFonts w:ascii="Book Antiqua" w:hAnsi="Book Antiqua"/>
          <w:szCs w:val="24"/>
        </w:rPr>
      </w:pPr>
      <w:r w:rsidRPr="008C1882">
        <w:rPr>
          <w:rFonts w:ascii="Book Antiqua" w:hAnsi="Book Antiqua"/>
          <w:szCs w:val="24"/>
        </w:rPr>
        <w:t xml:space="preserve">The principle established in </w:t>
      </w:r>
      <w:proofErr w:type="spellStart"/>
      <w:r w:rsidRPr="008C1882">
        <w:rPr>
          <w:rFonts w:ascii="Book Antiqua" w:hAnsi="Book Antiqua"/>
          <w:i/>
          <w:szCs w:val="24"/>
        </w:rPr>
        <w:t>Sompo</w:t>
      </w:r>
      <w:proofErr w:type="spellEnd"/>
      <w:r w:rsidRPr="008C1882">
        <w:rPr>
          <w:rFonts w:ascii="Book Antiqua" w:hAnsi="Book Antiqua"/>
          <w:i/>
          <w:szCs w:val="24"/>
        </w:rPr>
        <w:t xml:space="preserve"> Insurance. </w:t>
      </w:r>
      <w:proofErr w:type="gramStart"/>
      <w:r w:rsidRPr="008C1882">
        <w:rPr>
          <w:rFonts w:ascii="Book Antiqua" w:hAnsi="Book Antiqua"/>
          <w:i/>
          <w:szCs w:val="24"/>
        </w:rPr>
        <w:t>v</w:t>
      </w:r>
      <w:proofErr w:type="gramEnd"/>
      <w:r w:rsidRPr="008C1882">
        <w:rPr>
          <w:rFonts w:ascii="Book Antiqua" w:hAnsi="Book Antiqua"/>
          <w:i/>
          <w:szCs w:val="24"/>
        </w:rPr>
        <w:t xml:space="preserve"> </w:t>
      </w:r>
      <w:proofErr w:type="spellStart"/>
      <w:r w:rsidRPr="008C1882">
        <w:rPr>
          <w:rFonts w:ascii="Book Antiqua" w:hAnsi="Book Antiqua"/>
          <w:i/>
          <w:szCs w:val="24"/>
        </w:rPr>
        <w:t>Transfercom</w:t>
      </w:r>
      <w:proofErr w:type="spellEnd"/>
      <w:r w:rsidRPr="008C1882">
        <w:rPr>
          <w:rFonts w:ascii="Book Antiqua" w:hAnsi="Book Antiqua"/>
          <w:szCs w:val="24"/>
        </w:rPr>
        <w:t xml:space="preserve"> has been considered and applied in later cases.</w:t>
      </w:r>
      <w:r w:rsidRPr="008C1882">
        <w:rPr>
          <w:rStyle w:val="FootnoteReference"/>
          <w:rFonts w:ascii="Book Antiqua" w:hAnsi="Book Antiqua"/>
          <w:szCs w:val="24"/>
        </w:rPr>
        <w:footnoteReference w:id="98"/>
      </w:r>
      <w:r w:rsidRPr="008C1882">
        <w:rPr>
          <w:rFonts w:ascii="Book Antiqua" w:hAnsi="Book Antiqua"/>
          <w:szCs w:val="24"/>
        </w:rPr>
        <w:t xml:space="preserve">  It seems likely that this principle will be unaffected by </w:t>
      </w:r>
      <w:proofErr w:type="spellStart"/>
      <w:r w:rsidRPr="008C1882">
        <w:rPr>
          <w:rFonts w:ascii="Book Antiqua" w:hAnsi="Book Antiqua"/>
          <w:szCs w:val="24"/>
        </w:rPr>
        <w:t>Brexit</w:t>
      </w:r>
      <w:proofErr w:type="spellEnd"/>
      <w:r w:rsidRPr="008C1882">
        <w:rPr>
          <w:rFonts w:ascii="Book Antiqua" w:hAnsi="Book Antiqua"/>
          <w:szCs w:val="24"/>
        </w:rPr>
        <w:t xml:space="preserve">.  However, if </w:t>
      </w:r>
      <w:proofErr w:type="spellStart"/>
      <w:r w:rsidRPr="008C1882">
        <w:rPr>
          <w:rFonts w:ascii="Book Antiqua" w:hAnsi="Book Antiqua"/>
          <w:szCs w:val="24"/>
        </w:rPr>
        <w:t>Brexit</w:t>
      </w:r>
      <w:proofErr w:type="spellEnd"/>
      <w:r w:rsidRPr="008C1882">
        <w:rPr>
          <w:rFonts w:ascii="Book Antiqua" w:hAnsi="Book Antiqua"/>
          <w:szCs w:val="24"/>
        </w:rPr>
        <w:t xml:space="preserve"> or its </w:t>
      </w:r>
      <w:proofErr w:type="spellStart"/>
      <w:r w:rsidRPr="008C1882">
        <w:rPr>
          <w:rFonts w:ascii="Book Antiqua" w:hAnsi="Book Antiqua"/>
          <w:szCs w:val="24"/>
        </w:rPr>
        <w:t>sequelae</w:t>
      </w:r>
      <w:proofErr w:type="spellEnd"/>
      <w:r w:rsidRPr="008C1882">
        <w:rPr>
          <w:rFonts w:ascii="Book Antiqua" w:hAnsi="Book Antiqua"/>
          <w:szCs w:val="24"/>
        </w:rPr>
        <w:t xml:space="preserve"> make it more difficult to obtain recognition of a UK judgement by an EU Member State, then that is likely to make it harder to satisfy a UK Court as to the utility and purpose of a business transfer scheme that includes assets and liabilities governed by the law of that state.</w:t>
      </w:r>
    </w:p>
    <w:p w14:paraId="744EAE67" w14:textId="77777777" w:rsidR="00E832D6" w:rsidRPr="008C1882" w:rsidRDefault="00E832D6" w:rsidP="00E832D6">
      <w:pPr>
        <w:pStyle w:val="Para1"/>
        <w:numPr>
          <w:ilvl w:val="0"/>
          <w:numId w:val="0"/>
        </w:numPr>
        <w:spacing w:after="200"/>
        <w:ind w:left="360" w:hanging="360"/>
        <w:rPr>
          <w:rFonts w:ascii="Book Antiqua" w:hAnsi="Book Antiqua"/>
          <w:szCs w:val="24"/>
        </w:rPr>
      </w:pPr>
    </w:p>
    <w:p w14:paraId="09859EF5" w14:textId="77777777" w:rsidR="00E832D6" w:rsidRPr="008C1882" w:rsidRDefault="00E832D6" w:rsidP="00E832D6">
      <w:pPr>
        <w:pStyle w:val="Heading1"/>
        <w:spacing w:before="0" w:after="200"/>
        <w:rPr>
          <w:rFonts w:ascii="Book Antiqua" w:hAnsi="Book Antiqua"/>
          <w:color w:val="auto"/>
          <w:sz w:val="24"/>
          <w:szCs w:val="24"/>
          <w:u w:val="single"/>
        </w:rPr>
      </w:pPr>
      <w:r w:rsidRPr="008C1882">
        <w:rPr>
          <w:rFonts w:ascii="Book Antiqua" w:hAnsi="Book Antiqua"/>
          <w:color w:val="auto"/>
          <w:sz w:val="24"/>
          <w:szCs w:val="24"/>
          <w:u w:val="single"/>
        </w:rPr>
        <w:t>F. Conclusions</w:t>
      </w:r>
    </w:p>
    <w:p w14:paraId="662FC217" w14:textId="77777777" w:rsidR="00E832D6" w:rsidRPr="008C1882" w:rsidRDefault="00E832D6" w:rsidP="00E832D6">
      <w:pPr>
        <w:pStyle w:val="Para1"/>
        <w:ind w:left="567" w:hanging="567"/>
        <w:rPr>
          <w:rFonts w:ascii="Book Antiqua" w:hAnsi="Book Antiqua"/>
          <w:szCs w:val="24"/>
        </w:rPr>
      </w:pPr>
      <w:r w:rsidRPr="008C1882">
        <w:rPr>
          <w:rFonts w:ascii="Book Antiqua" w:hAnsi="Book Antiqua"/>
          <w:szCs w:val="24"/>
        </w:rPr>
        <w:t>The essential conclusions of this Chapter are as follows:</w:t>
      </w:r>
    </w:p>
    <w:p w14:paraId="5135E92F" w14:textId="77777777" w:rsidR="00E832D6" w:rsidRPr="008C1882" w:rsidRDefault="00E832D6" w:rsidP="00E832D6">
      <w:pPr>
        <w:pStyle w:val="Para2"/>
        <w:numPr>
          <w:ilvl w:val="0"/>
          <w:numId w:val="30"/>
        </w:numPr>
        <w:spacing w:after="200"/>
        <w:ind w:left="1134" w:hanging="567"/>
        <w:rPr>
          <w:rFonts w:ascii="Book Antiqua" w:hAnsi="Book Antiqua"/>
          <w:szCs w:val="24"/>
        </w:rPr>
      </w:pPr>
      <w:r w:rsidRPr="008C1882">
        <w:rPr>
          <w:rFonts w:ascii="Book Antiqua" w:hAnsi="Book Antiqua"/>
          <w:szCs w:val="24"/>
        </w:rPr>
        <w:t xml:space="preserve">The commercial and regulatory utility of the Part VII framework suggests that it is likely to remain an essential feature of the domestic financial services landscape, whatever form </w:t>
      </w:r>
      <w:proofErr w:type="spellStart"/>
      <w:r w:rsidRPr="008C1882">
        <w:rPr>
          <w:rFonts w:ascii="Book Antiqua" w:hAnsi="Book Antiqua"/>
          <w:szCs w:val="24"/>
        </w:rPr>
        <w:t>Brexit</w:t>
      </w:r>
      <w:proofErr w:type="spellEnd"/>
      <w:r w:rsidRPr="008C1882">
        <w:rPr>
          <w:rFonts w:ascii="Book Antiqua" w:hAnsi="Book Antiqua"/>
          <w:szCs w:val="24"/>
        </w:rPr>
        <w:t xml:space="preserve"> may ultimately take.</w:t>
      </w:r>
    </w:p>
    <w:p w14:paraId="1C3FA171" w14:textId="77777777" w:rsidR="00E832D6" w:rsidRPr="008C1882" w:rsidRDefault="00E832D6" w:rsidP="00E832D6">
      <w:pPr>
        <w:pStyle w:val="Para2"/>
        <w:numPr>
          <w:ilvl w:val="0"/>
          <w:numId w:val="30"/>
        </w:numPr>
        <w:spacing w:after="200"/>
        <w:ind w:left="1134" w:hanging="567"/>
        <w:rPr>
          <w:rFonts w:ascii="Book Antiqua" w:hAnsi="Book Antiqua"/>
          <w:szCs w:val="24"/>
        </w:rPr>
      </w:pPr>
      <w:r w:rsidRPr="008C1882">
        <w:rPr>
          <w:rFonts w:ascii="Book Antiqua" w:hAnsi="Book Antiqua"/>
          <w:szCs w:val="24"/>
        </w:rPr>
        <w:t xml:space="preserve">Banking business transfer schemes, reclaim fund business transfer schemes and ring-fencing transfer schemes that include assets and liabilities that are subject to the law of an EEA state do not currently benefit from automatic recognition in those states.  Accordingly, a hard </w:t>
      </w:r>
      <w:proofErr w:type="spellStart"/>
      <w:r w:rsidRPr="008C1882">
        <w:rPr>
          <w:rFonts w:ascii="Book Antiqua" w:hAnsi="Book Antiqua"/>
          <w:szCs w:val="24"/>
        </w:rPr>
        <w:t>Brexit</w:t>
      </w:r>
      <w:proofErr w:type="spellEnd"/>
      <w:r w:rsidRPr="008C1882">
        <w:rPr>
          <w:rFonts w:ascii="Book Antiqua" w:hAnsi="Book Antiqua"/>
          <w:szCs w:val="24"/>
        </w:rPr>
        <w:t xml:space="preserve"> is unlikely to affect those transfers, unless the fallout from </w:t>
      </w:r>
      <w:proofErr w:type="spellStart"/>
      <w:r w:rsidRPr="008C1882">
        <w:rPr>
          <w:rFonts w:ascii="Book Antiqua" w:hAnsi="Book Antiqua"/>
          <w:szCs w:val="24"/>
        </w:rPr>
        <w:t>Brexit</w:t>
      </w:r>
      <w:proofErr w:type="spellEnd"/>
      <w:r w:rsidRPr="008C1882">
        <w:rPr>
          <w:rFonts w:ascii="Book Antiqua" w:hAnsi="Book Antiqua"/>
          <w:szCs w:val="24"/>
        </w:rPr>
        <w:t xml:space="preserve"> </w:t>
      </w:r>
      <w:r w:rsidRPr="008C1882">
        <w:rPr>
          <w:rFonts w:ascii="Book Antiqua" w:hAnsi="Book Antiqua"/>
          <w:szCs w:val="24"/>
        </w:rPr>
        <w:lastRenderedPageBreak/>
        <w:t>makes it generally more difficult to obtain recognition of a UK judgement in an EEA state.</w:t>
      </w:r>
    </w:p>
    <w:p w14:paraId="50213F12" w14:textId="77777777" w:rsidR="00E832D6" w:rsidRPr="008C1882" w:rsidRDefault="00E832D6" w:rsidP="00E832D6">
      <w:pPr>
        <w:pStyle w:val="Para2"/>
        <w:numPr>
          <w:ilvl w:val="0"/>
          <w:numId w:val="30"/>
        </w:numPr>
        <w:spacing w:after="200"/>
        <w:ind w:left="1134" w:hanging="567"/>
        <w:rPr>
          <w:rFonts w:ascii="Book Antiqua" w:hAnsi="Book Antiqua"/>
          <w:szCs w:val="24"/>
        </w:rPr>
      </w:pPr>
      <w:r w:rsidRPr="008C1882">
        <w:rPr>
          <w:rFonts w:ascii="Book Antiqua" w:hAnsi="Book Antiqua"/>
          <w:szCs w:val="24"/>
        </w:rPr>
        <w:t xml:space="preserve">Insurance business transfer schemes that include assets and liabilities that are subject to the law of an EEA state will be more severely affected by a hard </w:t>
      </w:r>
      <w:proofErr w:type="spellStart"/>
      <w:r w:rsidRPr="008C1882">
        <w:rPr>
          <w:rFonts w:ascii="Book Antiqua" w:hAnsi="Book Antiqua"/>
          <w:szCs w:val="24"/>
        </w:rPr>
        <w:t>Brexit</w:t>
      </w:r>
      <w:proofErr w:type="spellEnd"/>
      <w:r w:rsidRPr="008C1882">
        <w:rPr>
          <w:rFonts w:ascii="Book Antiqua" w:hAnsi="Book Antiqua"/>
          <w:szCs w:val="24"/>
        </w:rPr>
        <w:t xml:space="preserve"> because such schemes will no longer benefit from automatic recognition in those states.</w:t>
      </w:r>
    </w:p>
    <w:p w14:paraId="267D7945" w14:textId="77777777" w:rsidR="00E832D6" w:rsidRPr="008C1882" w:rsidRDefault="00E832D6" w:rsidP="00E832D6">
      <w:pPr>
        <w:pStyle w:val="Para2"/>
        <w:numPr>
          <w:ilvl w:val="0"/>
          <w:numId w:val="30"/>
        </w:numPr>
        <w:spacing w:after="200"/>
        <w:ind w:left="1134" w:hanging="567"/>
        <w:rPr>
          <w:rFonts w:ascii="Book Antiqua" w:hAnsi="Book Antiqua"/>
          <w:szCs w:val="24"/>
        </w:rPr>
      </w:pPr>
      <w:r w:rsidRPr="008C1882">
        <w:rPr>
          <w:rFonts w:ascii="Book Antiqua" w:hAnsi="Book Antiqua"/>
          <w:szCs w:val="24"/>
        </w:rPr>
        <w:t xml:space="preserve">It seems unavoidable, therefore, that by removing automatic recognition, a hard </w:t>
      </w:r>
      <w:proofErr w:type="spellStart"/>
      <w:r w:rsidRPr="008C1882">
        <w:rPr>
          <w:rFonts w:ascii="Book Antiqua" w:hAnsi="Book Antiqua"/>
          <w:szCs w:val="24"/>
        </w:rPr>
        <w:t>Brexit</w:t>
      </w:r>
      <w:proofErr w:type="spellEnd"/>
      <w:r w:rsidRPr="008C1882">
        <w:rPr>
          <w:rFonts w:ascii="Book Antiqua" w:hAnsi="Book Antiqua"/>
          <w:szCs w:val="24"/>
        </w:rPr>
        <w:t xml:space="preserve"> will make the UK a far less attractive jurisdiction in which to promote and pursue an insurance business transfer scheme that includes a significant volume of insurance business that is subject to the law of an EEA Member State</w:t>
      </w:r>
      <w:r w:rsidRPr="008C1882">
        <w:rPr>
          <w:szCs w:val="24"/>
        </w:rPr>
        <w:t>.</w:t>
      </w:r>
    </w:p>
    <w:p w14:paraId="36A21CD7" w14:textId="77777777" w:rsidR="00E832D6" w:rsidRPr="008C1882" w:rsidRDefault="00E832D6" w:rsidP="00E832D6">
      <w:pPr>
        <w:pStyle w:val="Para2"/>
        <w:numPr>
          <w:ilvl w:val="0"/>
          <w:numId w:val="0"/>
        </w:numPr>
        <w:spacing w:after="200"/>
        <w:ind w:left="1259"/>
        <w:rPr>
          <w:szCs w:val="24"/>
        </w:rPr>
      </w:pPr>
    </w:p>
    <w:p w14:paraId="7DA15DC9" w14:textId="68C33047" w:rsidR="008C1882" w:rsidRDefault="008C1882">
      <w:pPr>
        <w:rPr>
          <w:rFonts w:ascii="Book Antiqua" w:hAnsi="Book Antiqua"/>
          <w:sz w:val="24"/>
          <w:szCs w:val="24"/>
        </w:rPr>
      </w:pPr>
      <w:r>
        <w:rPr>
          <w:rFonts w:ascii="Book Antiqua" w:hAnsi="Book Antiqua"/>
          <w:sz w:val="24"/>
          <w:szCs w:val="24"/>
        </w:rPr>
        <w:br w:type="page"/>
      </w:r>
    </w:p>
    <w:p w14:paraId="10EAD69B" w14:textId="77777777" w:rsidR="008C1882" w:rsidRPr="00873800" w:rsidRDefault="008C1882" w:rsidP="008C1882">
      <w:pPr>
        <w:spacing w:line="360" w:lineRule="auto"/>
        <w:ind w:left="567" w:hanging="567"/>
        <w:jc w:val="both"/>
        <w:rPr>
          <w:rFonts w:ascii="Book Antiqua" w:hAnsi="Book Antiqua" w:cs="Times New Roman"/>
          <w:b/>
          <w:sz w:val="24"/>
          <w:szCs w:val="24"/>
          <w:u w:val="single"/>
        </w:rPr>
      </w:pPr>
      <w:r>
        <w:rPr>
          <w:rFonts w:ascii="Book Antiqua" w:hAnsi="Book Antiqua" w:cs="Times New Roman"/>
          <w:b/>
          <w:sz w:val="24"/>
          <w:szCs w:val="24"/>
          <w:u w:val="single"/>
        </w:rPr>
        <w:lastRenderedPageBreak/>
        <w:t xml:space="preserve">CHAPTER 5 - </w:t>
      </w:r>
      <w:r w:rsidRPr="00873800">
        <w:rPr>
          <w:rFonts w:ascii="Book Antiqua" w:hAnsi="Book Antiqua" w:cs="Times New Roman"/>
          <w:b/>
          <w:sz w:val="24"/>
          <w:szCs w:val="24"/>
          <w:u w:val="single"/>
        </w:rPr>
        <w:t>AIFMs AND UCITS FUNDS</w:t>
      </w:r>
    </w:p>
    <w:p w14:paraId="1C37AE7C" w14:textId="77777777" w:rsidR="008C1882" w:rsidRPr="00873800" w:rsidRDefault="008C1882" w:rsidP="008C1882">
      <w:pPr>
        <w:spacing w:line="360" w:lineRule="auto"/>
        <w:ind w:left="567" w:hanging="567"/>
        <w:jc w:val="both"/>
        <w:rPr>
          <w:rFonts w:ascii="Book Antiqua" w:hAnsi="Book Antiqua" w:cs="Times New Roman"/>
          <w:sz w:val="24"/>
          <w:szCs w:val="24"/>
        </w:rPr>
      </w:pPr>
    </w:p>
    <w:p w14:paraId="1F2D8B0A" w14:textId="77777777" w:rsidR="008C1882" w:rsidRPr="00873800" w:rsidRDefault="008C1882" w:rsidP="008C1882">
      <w:pPr>
        <w:spacing w:line="360" w:lineRule="auto"/>
        <w:ind w:left="567" w:hanging="567"/>
        <w:jc w:val="both"/>
        <w:rPr>
          <w:rFonts w:ascii="Book Antiqua" w:hAnsi="Book Antiqua" w:cs="Times New Roman"/>
          <w:b/>
          <w:sz w:val="24"/>
          <w:szCs w:val="24"/>
          <w:u w:val="single"/>
        </w:rPr>
      </w:pPr>
      <w:r>
        <w:rPr>
          <w:rFonts w:ascii="Book Antiqua" w:hAnsi="Book Antiqua" w:cs="Times New Roman"/>
          <w:b/>
          <w:sz w:val="24"/>
          <w:szCs w:val="24"/>
          <w:u w:val="single"/>
        </w:rPr>
        <w:t xml:space="preserve">A. </w:t>
      </w:r>
      <w:r w:rsidRPr="00873800">
        <w:rPr>
          <w:rFonts w:ascii="Book Antiqua" w:hAnsi="Book Antiqua" w:cs="Times New Roman"/>
          <w:b/>
          <w:sz w:val="24"/>
          <w:szCs w:val="24"/>
          <w:u w:val="single"/>
        </w:rPr>
        <w:t>Introduction</w:t>
      </w:r>
    </w:p>
    <w:p w14:paraId="313BB6C1" w14:textId="77777777" w:rsidR="008C1882"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bookmarkStart w:id="10" w:name="_Ref345536067"/>
      <w:r w:rsidRPr="00873800">
        <w:rPr>
          <w:rFonts w:ascii="Book Antiqua" w:hAnsi="Book Antiqua" w:cs="Times New Roman"/>
          <w:sz w:val="24"/>
          <w:szCs w:val="24"/>
        </w:rPr>
        <w:t xml:space="preserve">This Chapter considers the impact of </w:t>
      </w:r>
      <w:proofErr w:type="spellStart"/>
      <w:r w:rsidRPr="00873800">
        <w:rPr>
          <w:rFonts w:ascii="Book Antiqua" w:hAnsi="Book Antiqua" w:cs="Times New Roman"/>
          <w:sz w:val="24"/>
          <w:szCs w:val="24"/>
        </w:rPr>
        <w:t>Brexit</w:t>
      </w:r>
      <w:proofErr w:type="spellEnd"/>
      <w:r w:rsidRPr="00873800">
        <w:rPr>
          <w:rFonts w:ascii="Book Antiqua" w:hAnsi="Book Antiqua" w:cs="Times New Roman"/>
          <w:sz w:val="24"/>
          <w:szCs w:val="24"/>
        </w:rPr>
        <w:t xml:space="preserve"> on the authorisation and supervision of Alternative Investment Fund Managers (“</w:t>
      </w:r>
      <w:r w:rsidRPr="00CB0094">
        <w:rPr>
          <w:rFonts w:ascii="Book Antiqua" w:hAnsi="Book Antiqua" w:cs="Times New Roman"/>
          <w:b/>
          <w:sz w:val="24"/>
          <w:szCs w:val="24"/>
        </w:rPr>
        <w:t>AIFMs</w:t>
      </w:r>
      <w:r w:rsidRPr="00873800">
        <w:rPr>
          <w:rFonts w:ascii="Book Antiqua" w:hAnsi="Book Antiqua" w:cs="Times New Roman"/>
          <w:sz w:val="24"/>
          <w:szCs w:val="24"/>
        </w:rPr>
        <w:t>”) and on collective investment funds holding UCITS status</w:t>
      </w:r>
      <w:r w:rsidRPr="00873800">
        <w:rPr>
          <w:rStyle w:val="FootnoteReference"/>
          <w:rFonts w:ascii="Book Antiqua" w:hAnsi="Book Antiqua" w:cs="Times New Roman"/>
          <w:sz w:val="24"/>
          <w:szCs w:val="24"/>
        </w:rPr>
        <w:footnoteReference w:id="99"/>
      </w:r>
      <w:r w:rsidRPr="00873800">
        <w:rPr>
          <w:rFonts w:ascii="Book Antiqua" w:hAnsi="Book Antiqua" w:cs="Times New Roman"/>
          <w:sz w:val="24"/>
          <w:szCs w:val="24"/>
        </w:rPr>
        <w:t xml:space="preserve"> within the EU.</w:t>
      </w:r>
      <w:bookmarkEnd w:id="10"/>
      <w:r w:rsidRPr="00873800">
        <w:rPr>
          <w:rFonts w:ascii="Book Antiqua" w:hAnsi="Book Antiqua" w:cs="Times New Roman"/>
          <w:sz w:val="24"/>
          <w:szCs w:val="24"/>
        </w:rPr>
        <w:t xml:space="preserve"> </w:t>
      </w:r>
    </w:p>
    <w:p w14:paraId="5ADEE5D3" w14:textId="19CA1DEF" w:rsidR="008C1882"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r w:rsidRPr="00873800">
        <w:rPr>
          <w:rFonts w:ascii="Book Antiqua" w:hAnsi="Book Antiqua" w:cs="Times New Roman"/>
          <w:sz w:val="24"/>
          <w:szCs w:val="24"/>
        </w:rPr>
        <w:t>AIFMs act as managers of alternative investment funds (“</w:t>
      </w:r>
      <w:r w:rsidRPr="00CB0094">
        <w:rPr>
          <w:rFonts w:ascii="Book Antiqua" w:hAnsi="Book Antiqua" w:cs="Times New Roman"/>
          <w:b/>
          <w:sz w:val="24"/>
          <w:szCs w:val="24"/>
        </w:rPr>
        <w:t>AIFS</w:t>
      </w:r>
      <w:r w:rsidRPr="00873800">
        <w:rPr>
          <w:rFonts w:ascii="Book Antiqua" w:hAnsi="Book Antiqua" w:cs="Times New Roman"/>
          <w:sz w:val="24"/>
          <w:szCs w:val="24"/>
        </w:rPr>
        <w:t>”) such as hedge funds, private equity funds, and other non-UCITS investment vehicles. Directive 2011/61/EU of the European Parliament and of the Council of 8 June 2011 on Alternative Investment Fund Managers (“</w:t>
      </w:r>
      <w:r w:rsidRPr="00CB0094">
        <w:rPr>
          <w:rFonts w:ascii="Book Antiqua" w:hAnsi="Book Antiqua" w:cs="Times New Roman"/>
          <w:b/>
          <w:sz w:val="24"/>
          <w:szCs w:val="24"/>
        </w:rPr>
        <w:t>AIFMD</w:t>
      </w:r>
      <w:r w:rsidRPr="00873800">
        <w:rPr>
          <w:rFonts w:ascii="Book Antiqua" w:hAnsi="Book Antiqua" w:cs="Times New Roman"/>
          <w:sz w:val="24"/>
          <w:szCs w:val="24"/>
        </w:rPr>
        <w:t>”) regulates the position of AIFMs within the EU. UK AIFMs are authorised and regulated by the F</w:t>
      </w:r>
      <w:r>
        <w:rPr>
          <w:rFonts w:ascii="Book Antiqua" w:hAnsi="Book Antiqua" w:cs="Times New Roman"/>
          <w:sz w:val="24"/>
          <w:szCs w:val="24"/>
        </w:rPr>
        <w:t>CA</w:t>
      </w:r>
      <w:r w:rsidR="00277E0A">
        <w:rPr>
          <w:rFonts w:ascii="Book Antiqua" w:hAnsi="Book Antiqua" w:cs="Times New Roman"/>
          <w:sz w:val="24"/>
          <w:szCs w:val="24"/>
        </w:rPr>
        <w:t>,</w:t>
      </w:r>
      <w:r w:rsidRPr="00873800">
        <w:rPr>
          <w:rFonts w:ascii="Book Antiqua" w:hAnsi="Book Antiqua" w:cs="Times New Roman"/>
          <w:sz w:val="24"/>
          <w:szCs w:val="24"/>
        </w:rPr>
        <w:t xml:space="preserve"> and must comply with the provisions of AIFMD as implemented in English law.  </w:t>
      </w:r>
    </w:p>
    <w:p w14:paraId="3423B615" w14:textId="77777777" w:rsidR="008C1882"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r w:rsidRPr="001B29AE">
        <w:rPr>
          <w:rFonts w:ascii="Book Antiqua" w:hAnsi="Book Antiqua" w:cs="Times New Roman"/>
          <w:sz w:val="24"/>
          <w:szCs w:val="24"/>
        </w:rPr>
        <w:t>The rules currently applying to UC</w:t>
      </w:r>
      <w:r>
        <w:rPr>
          <w:rFonts w:ascii="Book Antiqua" w:hAnsi="Book Antiqua" w:cs="Times New Roman"/>
          <w:sz w:val="24"/>
          <w:szCs w:val="24"/>
        </w:rPr>
        <w:t>IT</w:t>
      </w:r>
      <w:r w:rsidRPr="001B29AE">
        <w:rPr>
          <w:rFonts w:ascii="Book Antiqua" w:hAnsi="Book Antiqua" w:cs="Times New Roman"/>
          <w:sz w:val="24"/>
          <w:szCs w:val="24"/>
        </w:rPr>
        <w:t>S Funds are set out in Directive 2009/65 on the coordination of laws, regulations and administrative provisions relating to undertakings for collective investment in transferable securities as regards depositary functions, remuneration policies and sanctions (as amended) (“</w:t>
      </w:r>
      <w:r w:rsidRPr="00CB0094">
        <w:rPr>
          <w:rFonts w:ascii="Book Antiqua" w:hAnsi="Book Antiqua" w:cs="Times New Roman"/>
          <w:b/>
          <w:sz w:val="24"/>
          <w:szCs w:val="24"/>
        </w:rPr>
        <w:t>the UCI</w:t>
      </w:r>
      <w:r>
        <w:rPr>
          <w:rFonts w:ascii="Book Antiqua" w:hAnsi="Book Antiqua" w:cs="Times New Roman"/>
          <w:b/>
          <w:sz w:val="24"/>
          <w:szCs w:val="24"/>
        </w:rPr>
        <w:t>T</w:t>
      </w:r>
      <w:r w:rsidRPr="00CB0094">
        <w:rPr>
          <w:rFonts w:ascii="Book Antiqua" w:hAnsi="Book Antiqua" w:cs="Times New Roman"/>
          <w:b/>
          <w:sz w:val="24"/>
          <w:szCs w:val="24"/>
        </w:rPr>
        <w:t>S Directive</w:t>
      </w:r>
      <w:r w:rsidRPr="001B29AE">
        <w:rPr>
          <w:rFonts w:ascii="Book Antiqua" w:hAnsi="Book Antiqua" w:cs="Times New Roman"/>
          <w:sz w:val="24"/>
          <w:szCs w:val="24"/>
        </w:rPr>
        <w:t xml:space="preserve">”). </w:t>
      </w:r>
    </w:p>
    <w:p w14:paraId="590D02B8" w14:textId="78162ABC" w:rsidR="008C1882"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r>
        <w:rPr>
          <w:rFonts w:ascii="Book Antiqua" w:hAnsi="Book Antiqua" w:cs="Times New Roman"/>
          <w:sz w:val="24"/>
          <w:szCs w:val="24"/>
        </w:rPr>
        <w:t>T</w:t>
      </w:r>
      <w:r w:rsidRPr="001B29AE">
        <w:rPr>
          <w:rFonts w:ascii="Book Antiqua" w:hAnsi="Book Antiqua" w:cs="Times New Roman"/>
          <w:sz w:val="24"/>
          <w:szCs w:val="24"/>
        </w:rPr>
        <w:t xml:space="preserve">he likely impact of </w:t>
      </w:r>
      <w:proofErr w:type="spellStart"/>
      <w:r w:rsidRPr="001B29AE">
        <w:rPr>
          <w:rFonts w:ascii="Book Antiqua" w:hAnsi="Book Antiqua" w:cs="Times New Roman"/>
          <w:sz w:val="24"/>
          <w:szCs w:val="24"/>
        </w:rPr>
        <w:t>Brexit</w:t>
      </w:r>
      <w:proofErr w:type="spellEnd"/>
      <w:r w:rsidRPr="001B29AE">
        <w:rPr>
          <w:rFonts w:ascii="Book Antiqua" w:hAnsi="Book Antiqua" w:cs="Times New Roman"/>
          <w:sz w:val="24"/>
          <w:szCs w:val="24"/>
        </w:rPr>
        <w:t xml:space="preserve"> on AIFMs and on UCITS funds will </w:t>
      </w:r>
      <w:r>
        <w:rPr>
          <w:rFonts w:ascii="Book Antiqua" w:hAnsi="Book Antiqua" w:cs="Times New Roman"/>
          <w:sz w:val="24"/>
          <w:szCs w:val="24"/>
        </w:rPr>
        <w:t xml:space="preserve">obviously </w:t>
      </w:r>
      <w:r w:rsidRPr="001B29AE">
        <w:rPr>
          <w:rFonts w:ascii="Book Antiqua" w:hAnsi="Book Antiqua" w:cs="Times New Roman"/>
          <w:sz w:val="24"/>
          <w:szCs w:val="24"/>
        </w:rPr>
        <w:t xml:space="preserve">largely depend on the form that </w:t>
      </w:r>
      <w:proofErr w:type="spellStart"/>
      <w:r w:rsidRPr="001B29AE">
        <w:rPr>
          <w:rFonts w:ascii="Book Antiqua" w:hAnsi="Book Antiqua" w:cs="Times New Roman"/>
          <w:sz w:val="24"/>
          <w:szCs w:val="24"/>
        </w:rPr>
        <w:t>Brexit</w:t>
      </w:r>
      <w:proofErr w:type="spellEnd"/>
      <w:r w:rsidRPr="001B29AE">
        <w:rPr>
          <w:rFonts w:ascii="Book Antiqua" w:hAnsi="Book Antiqua" w:cs="Times New Roman"/>
          <w:sz w:val="24"/>
          <w:szCs w:val="24"/>
        </w:rPr>
        <w:t xml:space="preserve"> ultimately takes. If the UK remains as a member of the E</w:t>
      </w:r>
      <w:r>
        <w:rPr>
          <w:rFonts w:ascii="Book Antiqua" w:hAnsi="Book Antiqua" w:cs="Times New Roman"/>
          <w:sz w:val="24"/>
          <w:szCs w:val="24"/>
        </w:rPr>
        <w:t>EA</w:t>
      </w:r>
      <w:r w:rsidRPr="001B29AE">
        <w:rPr>
          <w:rFonts w:ascii="Book Antiqua" w:hAnsi="Book Antiqua" w:cs="Times New Roman"/>
          <w:sz w:val="24"/>
          <w:szCs w:val="24"/>
        </w:rPr>
        <w:t xml:space="preserve">, it will retain its access to the single market, including the financial services markets. In </w:t>
      </w:r>
      <w:r>
        <w:rPr>
          <w:rFonts w:ascii="Book Antiqua" w:hAnsi="Book Antiqua" w:cs="Times New Roman"/>
          <w:sz w:val="24"/>
          <w:szCs w:val="24"/>
        </w:rPr>
        <w:t>that</w:t>
      </w:r>
      <w:r w:rsidRPr="001B29AE">
        <w:rPr>
          <w:rFonts w:ascii="Book Antiqua" w:hAnsi="Book Antiqua" w:cs="Times New Roman"/>
          <w:sz w:val="24"/>
          <w:szCs w:val="24"/>
        </w:rPr>
        <w:t xml:space="preserve"> case</w:t>
      </w:r>
      <w:r>
        <w:rPr>
          <w:rFonts w:ascii="Book Antiqua" w:hAnsi="Book Antiqua" w:cs="Times New Roman"/>
          <w:sz w:val="24"/>
          <w:szCs w:val="24"/>
        </w:rPr>
        <w:t>,</w:t>
      </w:r>
      <w:r w:rsidRPr="001B29AE">
        <w:rPr>
          <w:rFonts w:ascii="Book Antiqua" w:hAnsi="Book Antiqua" w:cs="Times New Roman"/>
          <w:sz w:val="24"/>
          <w:szCs w:val="24"/>
        </w:rPr>
        <w:t xml:space="preserve"> the regulation of AIFMs and UCITS funds is likely to remain unchanged. This note considers the likely position if </w:t>
      </w:r>
      <w:proofErr w:type="spellStart"/>
      <w:r w:rsidRPr="001B29AE">
        <w:rPr>
          <w:rFonts w:ascii="Book Antiqua" w:hAnsi="Book Antiqua" w:cs="Times New Roman"/>
          <w:sz w:val="24"/>
          <w:szCs w:val="24"/>
        </w:rPr>
        <w:t>Brexit</w:t>
      </w:r>
      <w:proofErr w:type="spellEnd"/>
      <w:r w:rsidRPr="001B29AE">
        <w:rPr>
          <w:rFonts w:ascii="Book Antiqua" w:hAnsi="Book Antiqua" w:cs="Times New Roman"/>
          <w:sz w:val="24"/>
          <w:szCs w:val="24"/>
        </w:rPr>
        <w:t xml:space="preserve"> involves a withdrawal by the UK from the single market. However, it</w:t>
      </w:r>
      <w:r>
        <w:rPr>
          <w:rFonts w:ascii="Book Antiqua" w:hAnsi="Book Antiqua" w:cs="Times New Roman"/>
          <w:sz w:val="24"/>
          <w:szCs w:val="24"/>
        </w:rPr>
        <w:t xml:space="preserve"> </w:t>
      </w:r>
      <w:r>
        <w:rPr>
          <w:rFonts w:ascii="Book Antiqua" w:hAnsi="Book Antiqua" w:cs="Times New Roman"/>
          <w:sz w:val="24"/>
          <w:szCs w:val="24"/>
        </w:rPr>
        <w:lastRenderedPageBreak/>
        <w:t>will</w:t>
      </w:r>
      <w:r w:rsidRPr="001B29AE">
        <w:rPr>
          <w:rFonts w:ascii="Book Antiqua" w:hAnsi="Book Antiqua" w:cs="Times New Roman"/>
          <w:sz w:val="24"/>
          <w:szCs w:val="24"/>
        </w:rPr>
        <w:t xml:space="preserve"> be recognised that these two scenarios exist at opposite </w:t>
      </w:r>
      <w:r w:rsidR="00FC4C1B">
        <w:rPr>
          <w:rFonts w:ascii="Book Antiqua" w:hAnsi="Book Antiqua" w:cs="Times New Roman"/>
          <w:sz w:val="24"/>
          <w:szCs w:val="24"/>
        </w:rPr>
        <w:t xml:space="preserve">ends </w:t>
      </w:r>
      <w:r w:rsidRPr="001B29AE">
        <w:rPr>
          <w:rFonts w:ascii="Book Antiqua" w:hAnsi="Book Antiqua" w:cs="Times New Roman"/>
          <w:sz w:val="24"/>
          <w:szCs w:val="24"/>
        </w:rPr>
        <w:t xml:space="preserve">of a spectrum of possible outcomes, with a number of possibilities in between. </w:t>
      </w:r>
    </w:p>
    <w:p w14:paraId="632E246F" w14:textId="77777777" w:rsidR="008C1882" w:rsidRPr="001B29AE"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r w:rsidRPr="001B29AE">
        <w:rPr>
          <w:rFonts w:ascii="Book Antiqua" w:hAnsi="Book Antiqua" w:cs="Times New Roman"/>
          <w:sz w:val="24"/>
          <w:szCs w:val="24"/>
        </w:rPr>
        <w:t>Fund management under Directive 2004/39 on Markets in Financial Instruments (“</w:t>
      </w:r>
      <w:proofErr w:type="spellStart"/>
      <w:r w:rsidRPr="00CB0094">
        <w:rPr>
          <w:rFonts w:ascii="Book Antiqua" w:hAnsi="Book Antiqua" w:cs="Times New Roman"/>
          <w:b/>
          <w:sz w:val="24"/>
          <w:szCs w:val="24"/>
        </w:rPr>
        <w:t>MiFID</w:t>
      </w:r>
      <w:proofErr w:type="spellEnd"/>
      <w:r w:rsidRPr="001B29AE">
        <w:rPr>
          <w:rFonts w:ascii="Book Antiqua" w:hAnsi="Book Antiqua" w:cs="Times New Roman"/>
          <w:sz w:val="24"/>
          <w:szCs w:val="24"/>
        </w:rPr>
        <w:t xml:space="preserve">”) is dealt with in </w:t>
      </w:r>
      <w:r>
        <w:rPr>
          <w:rFonts w:ascii="Book Antiqua" w:hAnsi="Book Antiqua" w:cs="Times New Roman"/>
          <w:sz w:val="24"/>
          <w:szCs w:val="24"/>
        </w:rPr>
        <w:t>Chapter 2</w:t>
      </w:r>
      <w:r w:rsidRPr="001B29AE">
        <w:rPr>
          <w:rFonts w:ascii="Book Antiqua" w:hAnsi="Book Antiqua" w:cs="Times New Roman"/>
          <w:sz w:val="24"/>
          <w:szCs w:val="24"/>
        </w:rPr>
        <w:t xml:space="preserve"> </w:t>
      </w:r>
      <w:r w:rsidRPr="007137D8">
        <w:rPr>
          <w:rFonts w:ascii="Book Antiqua" w:hAnsi="Book Antiqua" w:cs="Times New Roman"/>
          <w:sz w:val="24"/>
          <w:szCs w:val="24"/>
        </w:rPr>
        <w:t>of this Report</w:t>
      </w:r>
      <w:r w:rsidRPr="001B29AE">
        <w:rPr>
          <w:rFonts w:ascii="Book Antiqua" w:hAnsi="Book Antiqua" w:cs="Times New Roman"/>
          <w:sz w:val="24"/>
          <w:szCs w:val="24"/>
        </w:rPr>
        <w:t xml:space="preserve">. However, it should be noted that changes to the </w:t>
      </w:r>
      <w:proofErr w:type="spellStart"/>
      <w:r w:rsidRPr="001B29AE">
        <w:rPr>
          <w:rFonts w:ascii="Book Antiqua" w:hAnsi="Book Antiqua" w:cs="Times New Roman"/>
          <w:sz w:val="24"/>
          <w:szCs w:val="24"/>
        </w:rPr>
        <w:t>MiFID</w:t>
      </w:r>
      <w:proofErr w:type="spellEnd"/>
      <w:r w:rsidRPr="001B29AE">
        <w:rPr>
          <w:rFonts w:ascii="Book Antiqua" w:hAnsi="Book Antiqua" w:cs="Times New Roman"/>
          <w:sz w:val="24"/>
          <w:szCs w:val="24"/>
        </w:rPr>
        <w:t xml:space="preserve"> regime following </w:t>
      </w:r>
      <w:proofErr w:type="spellStart"/>
      <w:r w:rsidRPr="001B29AE">
        <w:rPr>
          <w:rFonts w:ascii="Book Antiqua" w:hAnsi="Book Antiqua" w:cs="Times New Roman"/>
          <w:sz w:val="24"/>
          <w:szCs w:val="24"/>
        </w:rPr>
        <w:t>Brexit</w:t>
      </w:r>
      <w:proofErr w:type="spellEnd"/>
      <w:r w:rsidRPr="001B29AE">
        <w:rPr>
          <w:rFonts w:ascii="Book Antiqua" w:hAnsi="Book Antiqua" w:cs="Times New Roman"/>
          <w:sz w:val="24"/>
          <w:szCs w:val="24"/>
        </w:rPr>
        <w:t xml:space="preserve"> </w:t>
      </w:r>
      <w:proofErr w:type="gramStart"/>
      <w:r w:rsidRPr="001B29AE">
        <w:rPr>
          <w:rFonts w:ascii="Book Antiqua" w:hAnsi="Book Antiqua" w:cs="Times New Roman"/>
          <w:sz w:val="24"/>
          <w:szCs w:val="24"/>
        </w:rPr>
        <w:t>will</w:t>
      </w:r>
      <w:proofErr w:type="gramEnd"/>
      <w:r w:rsidRPr="001B29AE">
        <w:rPr>
          <w:rFonts w:ascii="Book Antiqua" w:hAnsi="Book Antiqua" w:cs="Times New Roman"/>
          <w:sz w:val="24"/>
          <w:szCs w:val="24"/>
        </w:rPr>
        <w:t xml:space="preserve"> also apply to UK investment firms providing investment advisory and management services to UC</w:t>
      </w:r>
      <w:r>
        <w:rPr>
          <w:rFonts w:ascii="Book Antiqua" w:hAnsi="Book Antiqua" w:cs="Times New Roman"/>
          <w:sz w:val="24"/>
          <w:szCs w:val="24"/>
        </w:rPr>
        <w:t>IT</w:t>
      </w:r>
      <w:r w:rsidRPr="001B29AE">
        <w:rPr>
          <w:rFonts w:ascii="Book Antiqua" w:hAnsi="Book Antiqua" w:cs="Times New Roman"/>
          <w:sz w:val="24"/>
          <w:szCs w:val="24"/>
        </w:rPr>
        <w:t xml:space="preserve">S funds and AIFMs in EU Member States under a </w:t>
      </w:r>
      <w:proofErr w:type="spellStart"/>
      <w:r w:rsidRPr="001B29AE">
        <w:rPr>
          <w:rFonts w:ascii="Book Antiqua" w:hAnsi="Book Antiqua" w:cs="Times New Roman"/>
          <w:sz w:val="24"/>
          <w:szCs w:val="24"/>
        </w:rPr>
        <w:t>MiFID</w:t>
      </w:r>
      <w:proofErr w:type="spellEnd"/>
      <w:r w:rsidRPr="001B29AE">
        <w:rPr>
          <w:rFonts w:ascii="Book Antiqua" w:hAnsi="Book Antiqua" w:cs="Times New Roman"/>
          <w:sz w:val="24"/>
          <w:szCs w:val="24"/>
        </w:rPr>
        <w:t xml:space="preserve"> permission. </w:t>
      </w:r>
    </w:p>
    <w:p w14:paraId="7C389D1F" w14:textId="77777777" w:rsidR="008C1882" w:rsidRDefault="008C1882" w:rsidP="008C1882">
      <w:pPr>
        <w:spacing w:line="360" w:lineRule="auto"/>
        <w:ind w:left="567" w:hanging="567"/>
        <w:jc w:val="both"/>
        <w:rPr>
          <w:rFonts w:ascii="Book Antiqua" w:hAnsi="Book Antiqua" w:cs="Times New Roman"/>
          <w:b/>
          <w:sz w:val="24"/>
          <w:szCs w:val="24"/>
          <w:u w:val="single"/>
        </w:rPr>
      </w:pPr>
    </w:p>
    <w:p w14:paraId="22F0B68F" w14:textId="77777777" w:rsidR="008C1882" w:rsidRPr="00873800" w:rsidRDefault="008C1882" w:rsidP="008C1882">
      <w:pPr>
        <w:spacing w:line="360" w:lineRule="auto"/>
        <w:ind w:left="567" w:hanging="567"/>
        <w:jc w:val="both"/>
        <w:rPr>
          <w:rFonts w:ascii="Book Antiqua" w:hAnsi="Book Antiqua" w:cs="Times New Roman"/>
          <w:b/>
          <w:sz w:val="24"/>
          <w:szCs w:val="24"/>
          <w:u w:val="single"/>
        </w:rPr>
      </w:pPr>
      <w:r>
        <w:rPr>
          <w:rFonts w:ascii="Book Antiqua" w:hAnsi="Book Antiqua" w:cs="Times New Roman"/>
          <w:b/>
          <w:sz w:val="24"/>
          <w:szCs w:val="24"/>
          <w:u w:val="single"/>
        </w:rPr>
        <w:t xml:space="preserve">B. </w:t>
      </w:r>
      <w:proofErr w:type="spellStart"/>
      <w:r>
        <w:rPr>
          <w:rFonts w:ascii="Book Antiqua" w:hAnsi="Book Antiqua" w:cs="Times New Roman"/>
          <w:b/>
          <w:sz w:val="24"/>
          <w:szCs w:val="24"/>
          <w:u w:val="single"/>
        </w:rPr>
        <w:t>Brexit</w:t>
      </w:r>
      <w:proofErr w:type="spellEnd"/>
      <w:r w:rsidRPr="00873800">
        <w:rPr>
          <w:rFonts w:ascii="Book Antiqua" w:hAnsi="Book Antiqua" w:cs="Times New Roman"/>
          <w:b/>
          <w:sz w:val="24"/>
          <w:szCs w:val="24"/>
          <w:u w:val="single"/>
        </w:rPr>
        <w:t xml:space="preserve"> and AIFMs</w:t>
      </w:r>
    </w:p>
    <w:p w14:paraId="07984F04" w14:textId="77777777" w:rsidR="008C1882"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r w:rsidRPr="001B29AE">
        <w:rPr>
          <w:rFonts w:ascii="Book Antiqua" w:hAnsi="Book Antiqua" w:cs="Times New Roman"/>
          <w:sz w:val="24"/>
          <w:szCs w:val="24"/>
        </w:rPr>
        <w:t>Under AIFMD, EU authorised AIFMs (“</w:t>
      </w:r>
      <w:r w:rsidRPr="00CB0094">
        <w:rPr>
          <w:rFonts w:ascii="Book Antiqua" w:hAnsi="Book Antiqua" w:cs="Times New Roman"/>
          <w:b/>
          <w:sz w:val="24"/>
          <w:szCs w:val="24"/>
        </w:rPr>
        <w:t>EU AIFMS</w:t>
      </w:r>
      <w:r w:rsidRPr="001B29AE">
        <w:rPr>
          <w:rFonts w:ascii="Book Antiqua" w:hAnsi="Book Antiqua" w:cs="Times New Roman"/>
          <w:sz w:val="24"/>
          <w:szCs w:val="24"/>
        </w:rPr>
        <w:t>”) can sell EU-domiciled alternative investments funds (“</w:t>
      </w:r>
      <w:r w:rsidRPr="00CB0094">
        <w:rPr>
          <w:rFonts w:ascii="Book Antiqua" w:hAnsi="Book Antiqua" w:cs="Times New Roman"/>
          <w:b/>
          <w:sz w:val="24"/>
          <w:szCs w:val="24"/>
        </w:rPr>
        <w:t>EU AIFs</w:t>
      </w:r>
      <w:r w:rsidRPr="001B29AE">
        <w:rPr>
          <w:rFonts w:ascii="Book Antiqua" w:hAnsi="Book Antiqua" w:cs="Times New Roman"/>
          <w:sz w:val="24"/>
          <w:szCs w:val="24"/>
        </w:rPr>
        <w:t>”) to professional investors</w:t>
      </w:r>
      <w:r w:rsidRPr="00873800">
        <w:rPr>
          <w:rStyle w:val="FootnoteReference"/>
          <w:rFonts w:ascii="Book Antiqua" w:hAnsi="Book Antiqua" w:cs="Times New Roman"/>
          <w:sz w:val="24"/>
          <w:szCs w:val="24"/>
        </w:rPr>
        <w:footnoteReference w:id="100"/>
      </w:r>
      <w:r w:rsidRPr="001B29AE">
        <w:rPr>
          <w:rFonts w:ascii="Book Antiqua" w:hAnsi="Book Antiqua" w:cs="Times New Roman"/>
          <w:sz w:val="24"/>
          <w:szCs w:val="24"/>
        </w:rPr>
        <w:t xml:space="preserve"> across the EU. This “</w:t>
      </w:r>
      <w:proofErr w:type="spellStart"/>
      <w:r w:rsidRPr="001B29AE">
        <w:rPr>
          <w:rFonts w:ascii="Book Antiqua" w:hAnsi="Book Antiqua" w:cs="Times New Roman"/>
          <w:sz w:val="24"/>
          <w:szCs w:val="24"/>
        </w:rPr>
        <w:t>passporting</w:t>
      </w:r>
      <w:proofErr w:type="spellEnd"/>
      <w:r w:rsidRPr="001B29AE">
        <w:rPr>
          <w:rFonts w:ascii="Book Antiqua" w:hAnsi="Book Antiqua" w:cs="Times New Roman"/>
          <w:sz w:val="24"/>
          <w:szCs w:val="24"/>
        </w:rPr>
        <w:t>” regime applies only to EU AIFMs and to EU-domiciled AIFs. A third country AIFM or an EU AIFM seeking to sell a non-EU AIF within the EU must do so under the national private placement regimes (“</w:t>
      </w:r>
      <w:r w:rsidRPr="00CB0094">
        <w:rPr>
          <w:rFonts w:ascii="Book Antiqua" w:hAnsi="Book Antiqua" w:cs="Times New Roman"/>
          <w:b/>
          <w:sz w:val="24"/>
          <w:szCs w:val="24"/>
        </w:rPr>
        <w:t>NPPRs</w:t>
      </w:r>
      <w:r w:rsidRPr="001B29AE">
        <w:rPr>
          <w:rFonts w:ascii="Book Antiqua" w:hAnsi="Book Antiqua" w:cs="Times New Roman"/>
          <w:sz w:val="24"/>
          <w:szCs w:val="24"/>
        </w:rPr>
        <w:t xml:space="preserve">”) in place in the relevant EU member states. </w:t>
      </w:r>
    </w:p>
    <w:p w14:paraId="791BEF5E" w14:textId="77777777" w:rsidR="008C1882" w:rsidRPr="001B29AE"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proofErr w:type="spellStart"/>
      <w:r w:rsidRPr="001B29AE">
        <w:rPr>
          <w:rFonts w:ascii="Book Antiqua" w:hAnsi="Book Antiqua" w:cs="Times New Roman"/>
          <w:sz w:val="24"/>
          <w:szCs w:val="24"/>
        </w:rPr>
        <w:t>Passporting</w:t>
      </w:r>
      <w:proofErr w:type="spellEnd"/>
      <w:r w:rsidRPr="001B29AE">
        <w:rPr>
          <w:rFonts w:ascii="Book Antiqua" w:hAnsi="Book Antiqua" w:cs="Times New Roman"/>
          <w:sz w:val="24"/>
          <w:szCs w:val="24"/>
        </w:rPr>
        <w:t xml:space="preserve"> under AIFMD confers significant benefits on AIFMs. From an investor perspective, AIFMD provides for a standardised and transparent governance regime, which should increase investor protection and provide for transparency as to how such funds hold and manage their assets.   From the perspective of the funds themselves, the main benefit of AIMFD is the access that it provides to investors throughout Europe as a result of </w:t>
      </w:r>
      <w:proofErr w:type="spellStart"/>
      <w:r w:rsidRPr="001B29AE">
        <w:rPr>
          <w:rFonts w:ascii="Book Antiqua" w:hAnsi="Book Antiqua" w:cs="Times New Roman"/>
          <w:sz w:val="24"/>
          <w:szCs w:val="24"/>
        </w:rPr>
        <w:t>passporting</w:t>
      </w:r>
      <w:proofErr w:type="spellEnd"/>
      <w:r w:rsidRPr="001B29AE">
        <w:rPr>
          <w:rFonts w:ascii="Book Antiqua" w:hAnsi="Book Antiqua" w:cs="Times New Roman"/>
          <w:sz w:val="24"/>
          <w:szCs w:val="24"/>
        </w:rPr>
        <w:t xml:space="preserve">. The NPPRs impose more onerous burdens in terms of regulatory compliance and coordination as compared to the “one stop shop” provided for under AIFMD. Further, the NPPRs in place in certain </w:t>
      </w:r>
      <w:proofErr w:type="gramStart"/>
      <w:r w:rsidRPr="001B29AE">
        <w:rPr>
          <w:rFonts w:ascii="Book Antiqua" w:hAnsi="Book Antiqua" w:cs="Times New Roman"/>
          <w:sz w:val="24"/>
          <w:szCs w:val="24"/>
        </w:rPr>
        <w:t>EU Member States</w:t>
      </w:r>
      <w:proofErr w:type="gramEnd"/>
      <w:r w:rsidRPr="001B29AE">
        <w:rPr>
          <w:rFonts w:ascii="Book Antiqua" w:hAnsi="Book Antiqua" w:cs="Times New Roman"/>
          <w:sz w:val="24"/>
          <w:szCs w:val="24"/>
        </w:rPr>
        <w:t xml:space="preserve"> (such as France and Italy) are very limited, such that those jurisdictions are effectively closed to AIFs that cannot bring themselves within the </w:t>
      </w:r>
      <w:proofErr w:type="spellStart"/>
      <w:r w:rsidRPr="001B29AE">
        <w:rPr>
          <w:rFonts w:ascii="Book Antiqua" w:hAnsi="Book Antiqua" w:cs="Times New Roman"/>
          <w:sz w:val="24"/>
          <w:szCs w:val="24"/>
        </w:rPr>
        <w:t>passporting</w:t>
      </w:r>
      <w:proofErr w:type="spellEnd"/>
      <w:r w:rsidRPr="001B29AE">
        <w:rPr>
          <w:rFonts w:ascii="Book Antiqua" w:hAnsi="Book Antiqua" w:cs="Times New Roman"/>
          <w:sz w:val="24"/>
          <w:szCs w:val="24"/>
        </w:rPr>
        <w:t xml:space="preserve"> regime.</w:t>
      </w:r>
    </w:p>
    <w:p w14:paraId="3FBADBB7" w14:textId="77777777" w:rsidR="008C1882" w:rsidRPr="001B29AE" w:rsidRDefault="008C1882" w:rsidP="008C1882">
      <w:pPr>
        <w:spacing w:line="360" w:lineRule="auto"/>
        <w:ind w:left="567" w:hanging="567"/>
        <w:jc w:val="both"/>
        <w:rPr>
          <w:rFonts w:ascii="Book Antiqua" w:hAnsi="Book Antiqua" w:cs="Times New Roman"/>
          <w:b/>
          <w:i/>
          <w:sz w:val="24"/>
          <w:szCs w:val="24"/>
        </w:rPr>
      </w:pPr>
      <w:r>
        <w:rPr>
          <w:rFonts w:ascii="Book Antiqua" w:hAnsi="Book Antiqua" w:cs="Times New Roman"/>
          <w:b/>
          <w:i/>
          <w:sz w:val="24"/>
          <w:szCs w:val="24"/>
        </w:rPr>
        <w:lastRenderedPageBreak/>
        <w:t xml:space="preserve">(1) </w:t>
      </w:r>
      <w:r w:rsidRPr="001B29AE">
        <w:rPr>
          <w:rFonts w:ascii="Book Antiqua" w:hAnsi="Book Antiqua" w:cs="Times New Roman"/>
          <w:b/>
          <w:i/>
          <w:sz w:val="24"/>
          <w:szCs w:val="24"/>
        </w:rPr>
        <w:t xml:space="preserve">Marketing </w:t>
      </w:r>
    </w:p>
    <w:p w14:paraId="7E8BCAFA" w14:textId="77777777" w:rsidR="008C1882"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r w:rsidRPr="001B29AE">
        <w:rPr>
          <w:rFonts w:ascii="Book Antiqua" w:hAnsi="Book Antiqua" w:cs="Times New Roman"/>
          <w:sz w:val="24"/>
          <w:szCs w:val="24"/>
        </w:rPr>
        <w:t xml:space="preserve">Following </w:t>
      </w:r>
      <w:r>
        <w:rPr>
          <w:rFonts w:ascii="Book Antiqua" w:hAnsi="Book Antiqua" w:cs="Times New Roman"/>
          <w:sz w:val="24"/>
          <w:szCs w:val="24"/>
        </w:rPr>
        <w:t xml:space="preserve">a Hard </w:t>
      </w:r>
      <w:proofErr w:type="spellStart"/>
      <w:r w:rsidRPr="001B29AE">
        <w:rPr>
          <w:rFonts w:ascii="Book Antiqua" w:hAnsi="Book Antiqua" w:cs="Times New Roman"/>
          <w:sz w:val="24"/>
          <w:szCs w:val="24"/>
        </w:rPr>
        <w:t>Brexit</w:t>
      </w:r>
      <w:proofErr w:type="spellEnd"/>
      <w:r w:rsidRPr="001B29AE">
        <w:rPr>
          <w:rFonts w:ascii="Book Antiqua" w:hAnsi="Book Antiqua" w:cs="Times New Roman"/>
          <w:sz w:val="24"/>
          <w:szCs w:val="24"/>
        </w:rPr>
        <w:t xml:space="preserve">, UK authorised AIFMs will no longer be EU AIFMs. As a result, they will be unable to avail themselves of the </w:t>
      </w:r>
      <w:proofErr w:type="spellStart"/>
      <w:r w:rsidRPr="001B29AE">
        <w:rPr>
          <w:rFonts w:ascii="Book Antiqua" w:hAnsi="Book Antiqua" w:cs="Times New Roman"/>
          <w:sz w:val="24"/>
          <w:szCs w:val="24"/>
        </w:rPr>
        <w:t>passporting</w:t>
      </w:r>
      <w:proofErr w:type="spellEnd"/>
      <w:r w:rsidRPr="001B29AE">
        <w:rPr>
          <w:rFonts w:ascii="Book Antiqua" w:hAnsi="Book Antiqua" w:cs="Times New Roman"/>
          <w:sz w:val="24"/>
          <w:szCs w:val="24"/>
        </w:rPr>
        <w:t xml:space="preserve"> arrangements conferred by AIFMD,</w:t>
      </w:r>
      <w:r w:rsidRPr="00873800">
        <w:rPr>
          <w:rStyle w:val="FootnoteReference"/>
          <w:rFonts w:ascii="Book Antiqua" w:hAnsi="Book Antiqua" w:cs="Times New Roman"/>
          <w:sz w:val="24"/>
          <w:szCs w:val="24"/>
        </w:rPr>
        <w:footnoteReference w:id="101"/>
      </w:r>
      <w:r w:rsidRPr="001B29AE">
        <w:rPr>
          <w:rFonts w:ascii="Book Antiqua" w:hAnsi="Book Antiqua" w:cs="Times New Roman"/>
          <w:sz w:val="24"/>
          <w:szCs w:val="24"/>
        </w:rPr>
        <w:t xml:space="preserve"> and will have to comply with the NPPRs of each Member State for marketing into EU jurisdictions. Similarly, UK-domiciled AIFs will no longer count as EU AIFs and will also fall outside the AIFMD </w:t>
      </w:r>
      <w:proofErr w:type="spellStart"/>
      <w:r w:rsidRPr="001B29AE">
        <w:rPr>
          <w:rFonts w:ascii="Book Antiqua" w:hAnsi="Book Antiqua" w:cs="Times New Roman"/>
          <w:sz w:val="24"/>
          <w:szCs w:val="24"/>
        </w:rPr>
        <w:t>passporting</w:t>
      </w:r>
      <w:proofErr w:type="spellEnd"/>
      <w:r w:rsidRPr="001B29AE">
        <w:rPr>
          <w:rFonts w:ascii="Book Antiqua" w:hAnsi="Book Antiqua" w:cs="Times New Roman"/>
          <w:sz w:val="24"/>
          <w:szCs w:val="24"/>
        </w:rPr>
        <w:t xml:space="preserve"> arrangements. AIFMs and AIFs from other EU Member States will no longer be able to passport into the UK market, but instead will have to rely on the UK NPPR. </w:t>
      </w:r>
    </w:p>
    <w:p w14:paraId="53F6CE4F" w14:textId="77777777" w:rsidR="008C1882"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r w:rsidRPr="001B29AE">
        <w:rPr>
          <w:rFonts w:ascii="Book Antiqua" w:hAnsi="Book Antiqua" w:cs="Times New Roman"/>
          <w:sz w:val="24"/>
          <w:szCs w:val="24"/>
        </w:rPr>
        <w:t xml:space="preserve">The sale of non-EU AIFs by UK AIFMs to professional investors within the EU will no longer take place pursuant to the </w:t>
      </w:r>
      <w:proofErr w:type="spellStart"/>
      <w:r w:rsidRPr="001B29AE">
        <w:rPr>
          <w:rFonts w:ascii="Book Antiqua" w:hAnsi="Book Antiqua" w:cs="Times New Roman"/>
          <w:sz w:val="24"/>
          <w:szCs w:val="24"/>
        </w:rPr>
        <w:t>passporting</w:t>
      </w:r>
      <w:proofErr w:type="spellEnd"/>
      <w:r w:rsidRPr="001B29AE">
        <w:rPr>
          <w:rFonts w:ascii="Book Antiqua" w:hAnsi="Book Antiqua" w:cs="Times New Roman"/>
          <w:sz w:val="24"/>
          <w:szCs w:val="24"/>
        </w:rPr>
        <w:t xml:space="preserve"> procedure set out in AIFMD Article 35. Instead, UK AIFMs, as third country firms, would need to comply with requirements imposed by Article 42</w:t>
      </w:r>
      <w:r w:rsidRPr="00873800">
        <w:rPr>
          <w:rStyle w:val="FootnoteReference"/>
          <w:rFonts w:ascii="Book Antiqua" w:hAnsi="Book Antiqua" w:cs="Times New Roman"/>
          <w:sz w:val="24"/>
          <w:szCs w:val="24"/>
        </w:rPr>
        <w:footnoteReference w:id="102"/>
      </w:r>
      <w:r w:rsidRPr="001B29AE">
        <w:rPr>
          <w:rFonts w:ascii="Book Antiqua" w:hAnsi="Book Antiqua" w:cs="Times New Roman"/>
          <w:sz w:val="24"/>
          <w:szCs w:val="24"/>
        </w:rPr>
        <w:t xml:space="preserve"> of the AIFMD in addition to the requirements imposed by any relevant NPPRs. In this regard, it is anticipated that the FCA will seek to enter into regulator cooperation agreements with each of its EU counterparties in order to satisfy the requirements of Article 42(1).</w:t>
      </w:r>
      <w:r>
        <w:rPr>
          <w:rFonts w:ascii="Book Antiqua" w:hAnsi="Book Antiqua" w:cs="Times New Roman"/>
          <w:sz w:val="24"/>
          <w:szCs w:val="24"/>
        </w:rPr>
        <w:t xml:space="preserve">  </w:t>
      </w:r>
      <w:r w:rsidRPr="00D55F3B">
        <w:rPr>
          <w:rFonts w:ascii="Book Antiqua" w:hAnsi="Book Antiqua" w:cs="Times New Roman"/>
          <w:sz w:val="24"/>
          <w:szCs w:val="24"/>
        </w:rPr>
        <w:t>The AIFMD makes provision for the passport, which is currently reserved to EU AIFMs and AIFs, to be potentially extended in future. However, for the reasons explained in paragraph 19(b) below, this is, from the perspective of any non-EU country seeking to acquire passport rights, likely to prove a detai</w:t>
      </w:r>
      <w:r>
        <w:rPr>
          <w:rFonts w:ascii="Book Antiqua" w:hAnsi="Book Antiqua" w:cs="Times New Roman"/>
          <w:sz w:val="24"/>
          <w:szCs w:val="24"/>
        </w:rPr>
        <w:t>led and time-consuming process that suffers from a number of significant shortcomings.</w:t>
      </w:r>
    </w:p>
    <w:p w14:paraId="3E557F58" w14:textId="77777777" w:rsidR="008C1882" w:rsidRPr="001B29AE"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r w:rsidRPr="001B29AE">
        <w:rPr>
          <w:rFonts w:ascii="Book Antiqua" w:hAnsi="Book Antiqua" w:cs="Times New Roman"/>
          <w:sz w:val="24"/>
          <w:szCs w:val="24"/>
        </w:rPr>
        <w:lastRenderedPageBreak/>
        <w:t>Non-EU AIFs sold by UK AIFMs will no longer be subject to the regime imposed by Article 36 of AIFMD, which sets out the conditions under which a non-EU AIF managed by an EU AIFM may be marketed in Member States without a passport,</w:t>
      </w:r>
      <w:r w:rsidRPr="00873800">
        <w:rPr>
          <w:rStyle w:val="FootnoteReference"/>
          <w:rFonts w:ascii="Book Antiqua" w:hAnsi="Book Antiqua" w:cs="Times New Roman"/>
          <w:sz w:val="24"/>
          <w:szCs w:val="24"/>
        </w:rPr>
        <w:footnoteReference w:id="103"/>
      </w:r>
      <w:r w:rsidRPr="001B29AE">
        <w:rPr>
          <w:rFonts w:ascii="Book Antiqua" w:hAnsi="Book Antiqua" w:cs="Times New Roman"/>
          <w:sz w:val="24"/>
          <w:szCs w:val="24"/>
        </w:rPr>
        <w:t xml:space="preserve"> and will also be governed by the Article 42 regime following </w:t>
      </w:r>
      <w:proofErr w:type="spellStart"/>
      <w:r w:rsidRPr="001B29AE">
        <w:rPr>
          <w:rFonts w:ascii="Book Antiqua" w:hAnsi="Book Antiqua" w:cs="Times New Roman"/>
          <w:sz w:val="24"/>
          <w:szCs w:val="24"/>
        </w:rPr>
        <w:t>Brexit</w:t>
      </w:r>
      <w:proofErr w:type="spellEnd"/>
      <w:r w:rsidRPr="001B29AE">
        <w:rPr>
          <w:rFonts w:ascii="Book Antiqua" w:hAnsi="Book Antiqua" w:cs="Times New Roman"/>
          <w:sz w:val="24"/>
          <w:szCs w:val="24"/>
        </w:rPr>
        <w:t xml:space="preserve">. </w:t>
      </w:r>
    </w:p>
    <w:p w14:paraId="71033A38" w14:textId="77777777" w:rsidR="008C1882" w:rsidRPr="001B29AE" w:rsidRDefault="008C1882" w:rsidP="008C1882">
      <w:pPr>
        <w:spacing w:line="360" w:lineRule="auto"/>
        <w:ind w:left="567" w:hanging="567"/>
        <w:jc w:val="both"/>
        <w:rPr>
          <w:rFonts w:ascii="Book Antiqua" w:hAnsi="Book Antiqua" w:cs="Times New Roman"/>
          <w:b/>
          <w:i/>
          <w:sz w:val="24"/>
          <w:szCs w:val="24"/>
        </w:rPr>
      </w:pPr>
      <w:r>
        <w:rPr>
          <w:rFonts w:ascii="Book Antiqua" w:hAnsi="Book Antiqua" w:cs="Times New Roman"/>
          <w:b/>
          <w:i/>
          <w:sz w:val="24"/>
          <w:szCs w:val="24"/>
        </w:rPr>
        <w:t xml:space="preserve">(2) </w:t>
      </w:r>
      <w:r w:rsidRPr="001B29AE">
        <w:rPr>
          <w:rFonts w:ascii="Book Antiqua" w:hAnsi="Book Antiqua" w:cs="Times New Roman"/>
          <w:b/>
          <w:i/>
          <w:sz w:val="24"/>
          <w:szCs w:val="24"/>
        </w:rPr>
        <w:t xml:space="preserve">Management </w:t>
      </w:r>
    </w:p>
    <w:p w14:paraId="23DD5BB9" w14:textId="77777777" w:rsidR="008C1882" w:rsidRPr="001B29AE"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r w:rsidRPr="001B29AE">
        <w:rPr>
          <w:rFonts w:ascii="Book Antiqua" w:hAnsi="Book Antiqua" w:cs="Times New Roman"/>
          <w:sz w:val="24"/>
          <w:szCs w:val="24"/>
        </w:rPr>
        <w:t xml:space="preserve">Article 33 of AIFMD provides that EU AIFMs may, directly or by establishing a branch, manage EU AIFs established in another Member State. Following </w:t>
      </w:r>
      <w:proofErr w:type="spellStart"/>
      <w:r w:rsidRPr="001B29AE">
        <w:rPr>
          <w:rFonts w:ascii="Book Antiqua" w:hAnsi="Book Antiqua" w:cs="Times New Roman"/>
          <w:sz w:val="24"/>
          <w:szCs w:val="24"/>
        </w:rPr>
        <w:t>Brexit</w:t>
      </w:r>
      <w:proofErr w:type="spellEnd"/>
      <w:r w:rsidRPr="001B29AE">
        <w:rPr>
          <w:rFonts w:ascii="Book Antiqua" w:hAnsi="Book Antiqua" w:cs="Times New Roman"/>
          <w:sz w:val="24"/>
          <w:szCs w:val="24"/>
        </w:rPr>
        <w:t>, UK AIFMs will no longer have an automatic entitlement to manage AIFs established in other EU Member States under Article 33.</w:t>
      </w:r>
      <w:r w:rsidRPr="00873800">
        <w:rPr>
          <w:rStyle w:val="FootnoteReference"/>
          <w:rFonts w:ascii="Book Antiqua" w:hAnsi="Book Antiqua" w:cs="Times New Roman"/>
          <w:sz w:val="24"/>
          <w:szCs w:val="24"/>
        </w:rPr>
        <w:footnoteReference w:id="104"/>
      </w:r>
      <w:r w:rsidRPr="001B29AE">
        <w:rPr>
          <w:rFonts w:ascii="Book Antiqua" w:hAnsi="Book Antiqua" w:cs="Times New Roman"/>
          <w:sz w:val="24"/>
          <w:szCs w:val="24"/>
        </w:rPr>
        <w:t xml:space="preserve"> However, Article 20 of AIFMD permits delegation of management activities to non-EU managers, provided certain minimal conditions are satisfied, which may permit UK managers to continue to market such AIFs within the EU where those conditions are met.   </w:t>
      </w:r>
    </w:p>
    <w:p w14:paraId="7E1498E7" w14:textId="77777777" w:rsidR="008C1882" w:rsidRPr="001B29AE" w:rsidRDefault="008C1882" w:rsidP="008C1882">
      <w:pPr>
        <w:spacing w:line="360" w:lineRule="auto"/>
        <w:ind w:left="567" w:hanging="567"/>
        <w:jc w:val="both"/>
        <w:rPr>
          <w:rFonts w:ascii="Book Antiqua" w:hAnsi="Book Antiqua" w:cs="Times New Roman"/>
          <w:b/>
          <w:i/>
          <w:sz w:val="24"/>
          <w:szCs w:val="24"/>
        </w:rPr>
      </w:pPr>
      <w:r>
        <w:rPr>
          <w:rFonts w:ascii="Book Antiqua" w:hAnsi="Book Antiqua" w:cs="Times New Roman"/>
          <w:b/>
          <w:i/>
          <w:sz w:val="24"/>
          <w:szCs w:val="24"/>
        </w:rPr>
        <w:t xml:space="preserve">(3) </w:t>
      </w:r>
      <w:r w:rsidRPr="001B29AE">
        <w:rPr>
          <w:rFonts w:ascii="Book Antiqua" w:hAnsi="Book Antiqua" w:cs="Times New Roman"/>
          <w:b/>
          <w:i/>
          <w:sz w:val="24"/>
          <w:szCs w:val="24"/>
        </w:rPr>
        <w:t xml:space="preserve">Depositories </w:t>
      </w:r>
    </w:p>
    <w:p w14:paraId="773AC7CE" w14:textId="77777777" w:rsidR="008C1882" w:rsidRPr="005C0F12" w:rsidRDefault="008C1882" w:rsidP="008C1882">
      <w:pPr>
        <w:pStyle w:val="ListParagraph"/>
        <w:numPr>
          <w:ilvl w:val="0"/>
          <w:numId w:val="35"/>
        </w:numPr>
        <w:spacing w:line="360" w:lineRule="auto"/>
        <w:ind w:left="567" w:hanging="567"/>
        <w:contextualSpacing w:val="0"/>
        <w:jc w:val="both"/>
        <w:rPr>
          <w:rFonts w:ascii="Book Antiqua" w:hAnsi="Book Antiqua" w:cs="Times New Roman"/>
          <w:sz w:val="24"/>
          <w:szCs w:val="24"/>
        </w:rPr>
      </w:pPr>
      <w:r w:rsidRPr="005C0F12">
        <w:rPr>
          <w:rFonts w:ascii="Book Antiqua" w:hAnsi="Book Antiqua" w:cs="Times New Roman"/>
          <w:sz w:val="24"/>
          <w:szCs w:val="24"/>
        </w:rPr>
        <w:t>EU AIFs are required to appoint a depositary having the same domicile as the AIF.</w:t>
      </w:r>
      <w:r w:rsidRPr="005C0F12">
        <w:rPr>
          <w:rStyle w:val="FootnoteReference"/>
          <w:rFonts w:ascii="Book Antiqua" w:hAnsi="Book Antiqua" w:cs="Times New Roman"/>
          <w:sz w:val="24"/>
          <w:szCs w:val="24"/>
        </w:rPr>
        <w:footnoteReference w:id="105"/>
      </w:r>
      <w:r w:rsidRPr="005C0F12">
        <w:rPr>
          <w:rFonts w:ascii="Book Antiqua" w:hAnsi="Book Antiqua" w:cs="Times New Roman"/>
          <w:sz w:val="24"/>
          <w:szCs w:val="24"/>
        </w:rPr>
        <w:t xml:space="preserve"> If the UK ceases to be part of the single market, a UK depositary will not meet the domicile requirements under AIFM. As a result, EU AIFs would not be able to use UK banks as depositories and UK AIFs would not be able to use EU banks as depositaries. Non-EU domiciled AIFs marketed within the EU are </w:t>
      </w:r>
      <w:r w:rsidRPr="005C0F12">
        <w:rPr>
          <w:rFonts w:ascii="Book Antiqua" w:hAnsi="Book Antiqua" w:cs="Times New Roman"/>
          <w:sz w:val="24"/>
          <w:szCs w:val="24"/>
        </w:rPr>
        <w:lastRenderedPageBreak/>
        <w:t>required to comply with the ‘depositary-</w:t>
      </w:r>
      <w:proofErr w:type="spellStart"/>
      <w:r w:rsidRPr="005C0F12">
        <w:rPr>
          <w:rFonts w:ascii="Book Antiqua" w:hAnsi="Book Antiqua" w:cs="Times New Roman"/>
          <w:sz w:val="24"/>
          <w:szCs w:val="24"/>
        </w:rPr>
        <w:t>lite</w:t>
      </w:r>
      <w:proofErr w:type="spellEnd"/>
      <w:r w:rsidRPr="005C0F12">
        <w:rPr>
          <w:rFonts w:ascii="Book Antiqua" w:hAnsi="Book Antiqua" w:cs="Times New Roman"/>
          <w:sz w:val="24"/>
          <w:szCs w:val="24"/>
        </w:rPr>
        <w:t>’ regime, which does require the depository to be EU-domiciled.</w:t>
      </w:r>
      <w:r w:rsidRPr="005C0F12">
        <w:rPr>
          <w:rStyle w:val="FootnoteReference"/>
          <w:rFonts w:ascii="Book Antiqua" w:hAnsi="Book Antiqua" w:cs="Times New Roman"/>
          <w:sz w:val="24"/>
          <w:szCs w:val="24"/>
        </w:rPr>
        <w:footnoteReference w:id="106"/>
      </w:r>
      <w:r w:rsidRPr="005C0F12">
        <w:rPr>
          <w:rFonts w:ascii="Book Antiqua" w:hAnsi="Book Antiqua" w:cs="Times New Roman"/>
          <w:sz w:val="24"/>
          <w:szCs w:val="24"/>
        </w:rPr>
        <w:t xml:space="preserve"> </w:t>
      </w:r>
    </w:p>
    <w:p w14:paraId="25102DA3" w14:textId="77777777" w:rsidR="008C1882" w:rsidRDefault="008C1882" w:rsidP="008C1882">
      <w:pPr>
        <w:spacing w:line="360" w:lineRule="auto"/>
        <w:ind w:left="567" w:hanging="567"/>
        <w:jc w:val="both"/>
        <w:rPr>
          <w:rFonts w:ascii="Book Antiqua" w:hAnsi="Book Antiqua" w:cs="Times New Roman"/>
          <w:b/>
          <w:sz w:val="24"/>
          <w:szCs w:val="24"/>
          <w:u w:val="single"/>
        </w:rPr>
      </w:pPr>
    </w:p>
    <w:p w14:paraId="78B38D2B" w14:textId="77777777" w:rsidR="008C1882" w:rsidRPr="00873800" w:rsidRDefault="008C1882" w:rsidP="008C1882">
      <w:pPr>
        <w:spacing w:line="360" w:lineRule="auto"/>
        <w:ind w:left="567" w:hanging="567"/>
        <w:jc w:val="both"/>
        <w:rPr>
          <w:rFonts w:ascii="Book Antiqua" w:hAnsi="Book Antiqua" w:cs="Times New Roman"/>
          <w:b/>
          <w:sz w:val="24"/>
          <w:szCs w:val="24"/>
          <w:u w:val="single"/>
        </w:rPr>
      </w:pPr>
      <w:r>
        <w:rPr>
          <w:rFonts w:ascii="Book Antiqua" w:hAnsi="Book Antiqua" w:cs="Times New Roman"/>
          <w:b/>
          <w:sz w:val="24"/>
          <w:szCs w:val="24"/>
          <w:u w:val="single"/>
        </w:rPr>
        <w:t xml:space="preserve">C. </w:t>
      </w:r>
      <w:proofErr w:type="spellStart"/>
      <w:r w:rsidRPr="00873800">
        <w:rPr>
          <w:rFonts w:ascii="Book Antiqua" w:hAnsi="Book Antiqua" w:cs="Times New Roman"/>
          <w:b/>
          <w:sz w:val="24"/>
          <w:szCs w:val="24"/>
          <w:u w:val="single"/>
        </w:rPr>
        <w:t>Brexit</w:t>
      </w:r>
      <w:proofErr w:type="spellEnd"/>
      <w:r w:rsidRPr="00873800">
        <w:rPr>
          <w:rFonts w:ascii="Book Antiqua" w:hAnsi="Book Antiqua" w:cs="Times New Roman"/>
          <w:b/>
          <w:sz w:val="24"/>
          <w:szCs w:val="24"/>
          <w:u w:val="single"/>
        </w:rPr>
        <w:t xml:space="preserve"> and UCITS </w:t>
      </w:r>
    </w:p>
    <w:p w14:paraId="1B3BAB5A" w14:textId="77777777" w:rsidR="008C1882" w:rsidRPr="005C0F12" w:rsidRDefault="008C1882" w:rsidP="008C1882">
      <w:pPr>
        <w:tabs>
          <w:tab w:val="left" w:pos="4395"/>
        </w:tabs>
        <w:spacing w:line="360" w:lineRule="auto"/>
        <w:ind w:left="567" w:hanging="567"/>
        <w:jc w:val="both"/>
        <w:rPr>
          <w:rFonts w:ascii="Book Antiqua" w:hAnsi="Book Antiqua" w:cs="Times New Roman"/>
          <w:b/>
          <w:i/>
          <w:sz w:val="24"/>
          <w:szCs w:val="24"/>
        </w:rPr>
      </w:pPr>
      <w:r>
        <w:rPr>
          <w:rFonts w:ascii="Book Antiqua" w:hAnsi="Book Antiqua" w:cs="Times New Roman"/>
          <w:b/>
          <w:i/>
          <w:sz w:val="24"/>
          <w:szCs w:val="24"/>
        </w:rPr>
        <w:t xml:space="preserve">(1) </w:t>
      </w:r>
      <w:r w:rsidRPr="005C0F12">
        <w:rPr>
          <w:rFonts w:ascii="Book Antiqua" w:hAnsi="Book Antiqua" w:cs="Times New Roman"/>
          <w:b/>
          <w:i/>
          <w:sz w:val="24"/>
          <w:szCs w:val="24"/>
        </w:rPr>
        <w:t xml:space="preserve">Marketing </w:t>
      </w:r>
    </w:p>
    <w:p w14:paraId="5B295191" w14:textId="77777777" w:rsidR="008C1882" w:rsidRDefault="008C1882" w:rsidP="008C1882">
      <w:pPr>
        <w:pStyle w:val="ListParagraph"/>
        <w:numPr>
          <w:ilvl w:val="0"/>
          <w:numId w:val="35"/>
        </w:numPr>
        <w:tabs>
          <w:tab w:val="left" w:pos="4395"/>
        </w:tabs>
        <w:spacing w:line="360" w:lineRule="auto"/>
        <w:ind w:left="567" w:hanging="567"/>
        <w:contextualSpacing w:val="0"/>
        <w:jc w:val="both"/>
        <w:rPr>
          <w:rFonts w:ascii="Book Antiqua" w:hAnsi="Book Antiqua" w:cs="Times New Roman"/>
          <w:sz w:val="24"/>
          <w:szCs w:val="24"/>
        </w:rPr>
      </w:pPr>
      <w:proofErr w:type="spellStart"/>
      <w:r w:rsidRPr="005C0F12">
        <w:rPr>
          <w:rFonts w:ascii="Book Antiqua" w:hAnsi="Book Antiqua" w:cs="Times New Roman"/>
          <w:sz w:val="24"/>
          <w:szCs w:val="24"/>
        </w:rPr>
        <w:t>Brexit</w:t>
      </w:r>
      <w:proofErr w:type="spellEnd"/>
      <w:r w:rsidRPr="005C0F12">
        <w:rPr>
          <w:rFonts w:ascii="Book Antiqua" w:hAnsi="Book Antiqua" w:cs="Times New Roman"/>
          <w:sz w:val="24"/>
          <w:szCs w:val="24"/>
        </w:rPr>
        <w:t xml:space="preserve"> will also affect the ability of UCTIS funds to be marketed in EU Member States.</w:t>
      </w:r>
      <w:r w:rsidRPr="00873800">
        <w:rPr>
          <w:rStyle w:val="FootnoteReference"/>
          <w:rFonts w:ascii="Book Antiqua" w:hAnsi="Book Antiqua" w:cs="Times New Roman"/>
          <w:sz w:val="24"/>
          <w:szCs w:val="24"/>
        </w:rPr>
        <w:footnoteReference w:id="107"/>
      </w:r>
      <w:r w:rsidRPr="005C0F12">
        <w:rPr>
          <w:rFonts w:ascii="Book Antiqua" w:hAnsi="Book Antiqua" w:cs="Times New Roman"/>
          <w:sz w:val="24"/>
          <w:szCs w:val="24"/>
        </w:rPr>
        <w:t xml:space="preserve"> In order to avail itself of the </w:t>
      </w:r>
      <w:proofErr w:type="spellStart"/>
      <w:r w:rsidRPr="005C0F12">
        <w:rPr>
          <w:rFonts w:ascii="Book Antiqua" w:hAnsi="Book Antiqua" w:cs="Times New Roman"/>
          <w:sz w:val="24"/>
          <w:szCs w:val="24"/>
        </w:rPr>
        <w:t>passporting</w:t>
      </w:r>
      <w:proofErr w:type="spellEnd"/>
      <w:r w:rsidRPr="005C0F12">
        <w:rPr>
          <w:rFonts w:ascii="Book Antiqua" w:hAnsi="Book Antiqua" w:cs="Times New Roman"/>
          <w:sz w:val="24"/>
          <w:szCs w:val="24"/>
        </w:rPr>
        <w:t xml:space="preserve"> provisions of the UCTIS Directive, a UCITS fund must be domiciled in the EU and managed by </w:t>
      </w:r>
      <w:proofErr w:type="gramStart"/>
      <w:r w:rsidRPr="005C0F12">
        <w:rPr>
          <w:rFonts w:ascii="Book Antiqua" w:hAnsi="Book Antiqua" w:cs="Times New Roman"/>
          <w:sz w:val="24"/>
          <w:szCs w:val="24"/>
        </w:rPr>
        <w:t>an</w:t>
      </w:r>
      <w:proofErr w:type="gramEnd"/>
      <w:r w:rsidRPr="005C0F12">
        <w:rPr>
          <w:rFonts w:ascii="Book Antiqua" w:hAnsi="Book Antiqua" w:cs="Times New Roman"/>
          <w:sz w:val="24"/>
          <w:szCs w:val="24"/>
        </w:rPr>
        <w:t xml:space="preserve"> EU management company.</w:t>
      </w:r>
      <w:r w:rsidRPr="005C0F12">
        <w:rPr>
          <w:rStyle w:val="FootnoteReference"/>
          <w:rFonts w:ascii="Book Antiqua" w:hAnsi="Book Antiqua" w:cs="Times New Roman"/>
          <w:sz w:val="24"/>
          <w:szCs w:val="24"/>
        </w:rPr>
        <w:t xml:space="preserve"> </w:t>
      </w:r>
      <w:r w:rsidRPr="00873800">
        <w:rPr>
          <w:rStyle w:val="FootnoteReference"/>
          <w:rFonts w:ascii="Book Antiqua" w:hAnsi="Book Antiqua" w:cs="Times New Roman"/>
          <w:sz w:val="24"/>
          <w:szCs w:val="24"/>
        </w:rPr>
        <w:footnoteReference w:id="108"/>
      </w:r>
      <w:r w:rsidRPr="005C0F12">
        <w:rPr>
          <w:rFonts w:ascii="Book Antiqua" w:hAnsi="Book Antiqua" w:cs="Times New Roman"/>
          <w:sz w:val="24"/>
          <w:szCs w:val="24"/>
        </w:rPr>
        <w:t xml:space="preserve"> Following </w:t>
      </w:r>
      <w:proofErr w:type="spellStart"/>
      <w:r w:rsidRPr="005C0F12">
        <w:rPr>
          <w:rFonts w:ascii="Book Antiqua" w:hAnsi="Book Antiqua" w:cs="Times New Roman"/>
          <w:sz w:val="24"/>
          <w:szCs w:val="24"/>
        </w:rPr>
        <w:t>Brexit</w:t>
      </w:r>
      <w:proofErr w:type="spellEnd"/>
      <w:r w:rsidRPr="005C0F12">
        <w:rPr>
          <w:rFonts w:ascii="Book Antiqua" w:hAnsi="Book Antiqua" w:cs="Times New Roman"/>
          <w:sz w:val="24"/>
          <w:szCs w:val="24"/>
        </w:rPr>
        <w:t xml:space="preserve">, UK established UCTIS funds will no longer be EU domiciled and UK management companies will not constitute an authorised management company. Therefore, such funds will fall outside the scope of the applicable </w:t>
      </w:r>
      <w:proofErr w:type="spellStart"/>
      <w:r w:rsidRPr="005C0F12">
        <w:rPr>
          <w:rFonts w:ascii="Book Antiqua" w:hAnsi="Book Antiqua" w:cs="Times New Roman"/>
          <w:sz w:val="24"/>
          <w:szCs w:val="24"/>
        </w:rPr>
        <w:t>passporting</w:t>
      </w:r>
      <w:proofErr w:type="spellEnd"/>
      <w:r w:rsidRPr="005C0F12">
        <w:rPr>
          <w:rFonts w:ascii="Book Antiqua" w:hAnsi="Book Antiqua" w:cs="Times New Roman"/>
          <w:sz w:val="24"/>
          <w:szCs w:val="24"/>
        </w:rPr>
        <w:t xml:space="preserve"> provisions. Such funds would fall to be categorised as an AIF, and could only be marketed to professional investors in the EU pursuant to the Article 42 regime under AIFMD. Similarly, </w:t>
      </w:r>
      <w:proofErr w:type="gramStart"/>
      <w:r w:rsidRPr="005C0F12">
        <w:rPr>
          <w:rFonts w:ascii="Book Antiqua" w:hAnsi="Book Antiqua" w:cs="Times New Roman"/>
          <w:sz w:val="24"/>
          <w:szCs w:val="24"/>
        </w:rPr>
        <w:t>an</w:t>
      </w:r>
      <w:proofErr w:type="gramEnd"/>
      <w:r w:rsidRPr="005C0F12">
        <w:rPr>
          <w:rFonts w:ascii="Book Antiqua" w:hAnsi="Book Antiqua" w:cs="Times New Roman"/>
          <w:sz w:val="24"/>
          <w:szCs w:val="24"/>
        </w:rPr>
        <w:t xml:space="preserve"> EU established and managed UCTIS would no longer have automatic access to the UK market and would have to comply with the UK NPPR. </w:t>
      </w:r>
    </w:p>
    <w:p w14:paraId="5B2B1884" w14:textId="77777777" w:rsidR="008C1882" w:rsidRDefault="008C1882" w:rsidP="008C1882">
      <w:pPr>
        <w:pStyle w:val="ListParagraph"/>
        <w:numPr>
          <w:ilvl w:val="0"/>
          <w:numId w:val="35"/>
        </w:numPr>
        <w:tabs>
          <w:tab w:val="left" w:pos="4395"/>
        </w:tabs>
        <w:spacing w:line="360" w:lineRule="auto"/>
        <w:ind w:left="567" w:hanging="567"/>
        <w:contextualSpacing w:val="0"/>
        <w:jc w:val="both"/>
        <w:rPr>
          <w:rFonts w:ascii="Book Antiqua" w:hAnsi="Book Antiqua" w:cs="Times New Roman"/>
          <w:sz w:val="24"/>
          <w:szCs w:val="24"/>
        </w:rPr>
      </w:pPr>
      <w:r w:rsidRPr="005C0F12">
        <w:rPr>
          <w:rFonts w:ascii="Book Antiqua" w:hAnsi="Book Antiqua" w:cs="Times New Roman"/>
          <w:sz w:val="24"/>
          <w:szCs w:val="24"/>
        </w:rPr>
        <w:t xml:space="preserve">It will therefore be seen that loss of the marketing passport under the UCTIS Directive will cause the market available to UK UCTIS funds to contract, as they will no longer be able to market to retail investors. This, added to the difficulties in accessing other EU markets’ under their NPPRs, will mean that many UK UCTIS funds are likely to look to </w:t>
      </w:r>
      <w:proofErr w:type="spellStart"/>
      <w:r w:rsidRPr="005C0F12">
        <w:rPr>
          <w:rFonts w:ascii="Book Antiqua" w:hAnsi="Book Antiqua" w:cs="Times New Roman"/>
          <w:sz w:val="24"/>
          <w:szCs w:val="24"/>
        </w:rPr>
        <w:t>redomicile</w:t>
      </w:r>
      <w:proofErr w:type="spellEnd"/>
      <w:r w:rsidRPr="005C0F12">
        <w:rPr>
          <w:rFonts w:ascii="Book Antiqua" w:hAnsi="Book Antiqua" w:cs="Times New Roman"/>
          <w:sz w:val="24"/>
          <w:szCs w:val="24"/>
        </w:rPr>
        <w:t xml:space="preserve"> in other EU member states, particularly if it appears that any settlement negotiated with the UK will involve the loss of </w:t>
      </w:r>
      <w:proofErr w:type="spellStart"/>
      <w:r w:rsidRPr="005C0F12">
        <w:rPr>
          <w:rFonts w:ascii="Book Antiqua" w:hAnsi="Book Antiqua" w:cs="Times New Roman"/>
          <w:sz w:val="24"/>
          <w:szCs w:val="24"/>
        </w:rPr>
        <w:t>passporting</w:t>
      </w:r>
      <w:proofErr w:type="spellEnd"/>
      <w:r w:rsidRPr="005C0F12">
        <w:rPr>
          <w:rFonts w:ascii="Book Antiqua" w:hAnsi="Book Antiqua" w:cs="Times New Roman"/>
          <w:sz w:val="24"/>
          <w:szCs w:val="24"/>
        </w:rPr>
        <w:t xml:space="preserve"> rights for financial services. Similarly, UK management companies may decide to </w:t>
      </w:r>
      <w:proofErr w:type="spellStart"/>
      <w:r w:rsidRPr="005C0F12">
        <w:rPr>
          <w:rFonts w:ascii="Book Antiqua" w:hAnsi="Book Antiqua" w:cs="Times New Roman"/>
          <w:sz w:val="24"/>
          <w:szCs w:val="24"/>
        </w:rPr>
        <w:t>redomicile</w:t>
      </w:r>
      <w:proofErr w:type="spellEnd"/>
      <w:r w:rsidRPr="005C0F12">
        <w:rPr>
          <w:rFonts w:ascii="Book Antiqua" w:hAnsi="Book Antiqua" w:cs="Times New Roman"/>
          <w:sz w:val="24"/>
          <w:szCs w:val="24"/>
        </w:rPr>
        <w:t xml:space="preserve"> in </w:t>
      </w:r>
      <w:proofErr w:type="gramStart"/>
      <w:r w:rsidRPr="005C0F12">
        <w:rPr>
          <w:rFonts w:ascii="Book Antiqua" w:hAnsi="Book Antiqua" w:cs="Times New Roman"/>
          <w:sz w:val="24"/>
          <w:szCs w:val="24"/>
        </w:rPr>
        <w:t>an</w:t>
      </w:r>
      <w:proofErr w:type="gramEnd"/>
      <w:r w:rsidRPr="005C0F12">
        <w:rPr>
          <w:rFonts w:ascii="Book Antiqua" w:hAnsi="Book Antiqua" w:cs="Times New Roman"/>
          <w:sz w:val="24"/>
          <w:szCs w:val="24"/>
        </w:rPr>
        <w:t xml:space="preserve"> EU Member State, or establish a new management company in the EU.  </w:t>
      </w:r>
    </w:p>
    <w:p w14:paraId="1F586EED" w14:textId="77777777" w:rsidR="008C1882" w:rsidRDefault="008C1882" w:rsidP="008C1882">
      <w:pPr>
        <w:spacing w:line="360" w:lineRule="auto"/>
        <w:ind w:left="567" w:hanging="567"/>
        <w:jc w:val="both"/>
        <w:rPr>
          <w:rFonts w:ascii="Book Antiqua" w:hAnsi="Book Antiqua" w:cs="Times New Roman"/>
          <w:b/>
          <w:sz w:val="24"/>
          <w:szCs w:val="24"/>
          <w:u w:val="single"/>
        </w:rPr>
      </w:pPr>
    </w:p>
    <w:p w14:paraId="1EA42DF3" w14:textId="77777777" w:rsidR="008C1882" w:rsidRPr="00873800" w:rsidRDefault="008C1882" w:rsidP="008C1882">
      <w:pPr>
        <w:spacing w:line="360" w:lineRule="auto"/>
        <w:ind w:left="567" w:hanging="567"/>
        <w:jc w:val="both"/>
        <w:rPr>
          <w:rFonts w:ascii="Book Antiqua" w:hAnsi="Book Antiqua" w:cs="Times New Roman"/>
          <w:b/>
          <w:sz w:val="24"/>
          <w:szCs w:val="24"/>
          <w:u w:val="single"/>
        </w:rPr>
      </w:pPr>
      <w:r>
        <w:rPr>
          <w:rFonts w:ascii="Book Antiqua" w:hAnsi="Book Antiqua" w:cs="Times New Roman"/>
          <w:b/>
          <w:sz w:val="24"/>
          <w:szCs w:val="24"/>
          <w:u w:val="single"/>
        </w:rPr>
        <w:t xml:space="preserve">D. </w:t>
      </w:r>
      <w:r w:rsidRPr="00873800">
        <w:rPr>
          <w:rFonts w:ascii="Book Antiqua" w:hAnsi="Book Antiqua" w:cs="Times New Roman"/>
          <w:b/>
          <w:sz w:val="24"/>
          <w:szCs w:val="24"/>
          <w:u w:val="single"/>
        </w:rPr>
        <w:t xml:space="preserve">Conclusions </w:t>
      </w:r>
    </w:p>
    <w:p w14:paraId="1B83916E" w14:textId="77777777" w:rsidR="008C1882" w:rsidRDefault="008C1882" w:rsidP="008C1882">
      <w:pPr>
        <w:pStyle w:val="ListParagraph"/>
        <w:numPr>
          <w:ilvl w:val="0"/>
          <w:numId w:val="35"/>
        </w:numPr>
        <w:tabs>
          <w:tab w:val="left" w:pos="4395"/>
        </w:tabs>
        <w:spacing w:line="360" w:lineRule="auto"/>
        <w:ind w:left="567" w:hanging="567"/>
        <w:contextualSpacing w:val="0"/>
        <w:jc w:val="both"/>
        <w:rPr>
          <w:rFonts w:ascii="Book Antiqua" w:hAnsi="Book Antiqua" w:cs="Times New Roman"/>
          <w:sz w:val="24"/>
          <w:szCs w:val="24"/>
        </w:rPr>
      </w:pPr>
      <w:r w:rsidRPr="005C0F12">
        <w:rPr>
          <w:rFonts w:ascii="Book Antiqua" w:hAnsi="Book Antiqua" w:cs="Times New Roman"/>
          <w:sz w:val="24"/>
          <w:szCs w:val="24"/>
        </w:rPr>
        <w:t xml:space="preserve">The marketing of </w:t>
      </w:r>
      <w:r>
        <w:rPr>
          <w:rFonts w:ascii="Book Antiqua" w:hAnsi="Book Antiqua" w:cs="Times New Roman"/>
          <w:sz w:val="24"/>
          <w:szCs w:val="24"/>
        </w:rPr>
        <w:t xml:space="preserve">these </w:t>
      </w:r>
      <w:r w:rsidRPr="005C0F12">
        <w:rPr>
          <w:rFonts w:ascii="Book Antiqua" w:hAnsi="Book Antiqua" w:cs="Times New Roman"/>
          <w:sz w:val="24"/>
          <w:szCs w:val="24"/>
        </w:rPr>
        <w:t xml:space="preserve">financial products within the EU is now heavily dependent on </w:t>
      </w:r>
      <w:proofErr w:type="spellStart"/>
      <w:r w:rsidRPr="005C0F12">
        <w:rPr>
          <w:rFonts w:ascii="Book Antiqua" w:hAnsi="Book Antiqua" w:cs="Times New Roman"/>
          <w:sz w:val="24"/>
          <w:szCs w:val="24"/>
        </w:rPr>
        <w:t>passporting</w:t>
      </w:r>
      <w:proofErr w:type="spellEnd"/>
      <w:r w:rsidRPr="005C0F12">
        <w:rPr>
          <w:rFonts w:ascii="Book Antiqua" w:hAnsi="Book Antiqua" w:cs="Times New Roman"/>
          <w:sz w:val="24"/>
          <w:szCs w:val="24"/>
        </w:rPr>
        <w:t xml:space="preserve">. </w:t>
      </w:r>
      <w:r>
        <w:rPr>
          <w:rFonts w:ascii="Book Antiqua" w:hAnsi="Book Antiqua" w:cs="Times New Roman"/>
          <w:sz w:val="24"/>
          <w:szCs w:val="24"/>
        </w:rPr>
        <w:t>T</w:t>
      </w:r>
      <w:r w:rsidRPr="005C0F12">
        <w:rPr>
          <w:rFonts w:ascii="Book Antiqua" w:hAnsi="Book Antiqua" w:cs="Times New Roman"/>
          <w:sz w:val="24"/>
          <w:szCs w:val="24"/>
        </w:rPr>
        <w:t xml:space="preserve">he loss of management and marketing passport rights following </w:t>
      </w:r>
      <w:proofErr w:type="spellStart"/>
      <w:r w:rsidRPr="005C0F12">
        <w:rPr>
          <w:rFonts w:ascii="Book Antiqua" w:hAnsi="Book Antiqua" w:cs="Times New Roman"/>
          <w:sz w:val="24"/>
          <w:szCs w:val="24"/>
        </w:rPr>
        <w:t>Brexit</w:t>
      </w:r>
      <w:proofErr w:type="spellEnd"/>
      <w:r w:rsidRPr="005C0F12">
        <w:rPr>
          <w:rFonts w:ascii="Book Antiqua" w:hAnsi="Book Antiqua" w:cs="Times New Roman"/>
          <w:sz w:val="24"/>
          <w:szCs w:val="24"/>
        </w:rPr>
        <w:t xml:space="preserve"> will be the most significant consequence of </w:t>
      </w:r>
      <w:proofErr w:type="spellStart"/>
      <w:r w:rsidRPr="005C0F12">
        <w:rPr>
          <w:rFonts w:ascii="Book Antiqua" w:hAnsi="Book Antiqua" w:cs="Times New Roman"/>
          <w:sz w:val="24"/>
          <w:szCs w:val="24"/>
        </w:rPr>
        <w:t>Brexit</w:t>
      </w:r>
      <w:proofErr w:type="spellEnd"/>
      <w:r w:rsidRPr="005C0F12">
        <w:rPr>
          <w:rFonts w:ascii="Book Antiqua" w:hAnsi="Book Antiqua" w:cs="Times New Roman"/>
          <w:sz w:val="24"/>
          <w:szCs w:val="24"/>
        </w:rPr>
        <w:t xml:space="preserve"> from the perspective of AIFMD and the UCITS Directive. </w:t>
      </w:r>
    </w:p>
    <w:p w14:paraId="216EEDBF" w14:textId="37BCF353" w:rsidR="008C1882" w:rsidRDefault="008C1882" w:rsidP="008C1882">
      <w:pPr>
        <w:pStyle w:val="ListParagraph"/>
        <w:numPr>
          <w:ilvl w:val="0"/>
          <w:numId w:val="35"/>
        </w:numPr>
        <w:tabs>
          <w:tab w:val="left" w:pos="4395"/>
        </w:tabs>
        <w:spacing w:line="360" w:lineRule="auto"/>
        <w:ind w:left="567" w:hanging="567"/>
        <w:contextualSpacing w:val="0"/>
        <w:jc w:val="both"/>
        <w:rPr>
          <w:rFonts w:ascii="Book Antiqua" w:hAnsi="Book Antiqua" w:cs="Times New Roman"/>
          <w:sz w:val="24"/>
          <w:szCs w:val="24"/>
        </w:rPr>
      </w:pPr>
      <w:r w:rsidRPr="005C0F12">
        <w:rPr>
          <w:rFonts w:ascii="Book Antiqua" w:hAnsi="Book Antiqua" w:cs="Times New Roman"/>
          <w:sz w:val="24"/>
          <w:szCs w:val="24"/>
        </w:rPr>
        <w:t>This is likely to have significant repercussions for the UK, in view of the importance of cross border marketing of these products. In order to give a sense of the scale of the problem, recent European Commission calculations indicate that the UCITS market has €8 trillion assets under management. Around 80% of UCITS funds are marketed cross-border. The commission also estimates that there are currently about €5 trillion of assets under management by AIFs, with 40% of such funds marketed across border.  Overall, t</w:t>
      </w:r>
      <w:r w:rsidR="00E67168">
        <w:rPr>
          <w:rFonts w:ascii="Book Antiqua" w:hAnsi="Book Antiqua" w:cs="Times New Roman"/>
          <w:sz w:val="24"/>
          <w:szCs w:val="24"/>
        </w:rPr>
        <w:t>he Commission estimates that 57</w:t>
      </w:r>
      <w:r w:rsidRPr="005C0F12">
        <w:rPr>
          <w:rFonts w:ascii="Book Antiqua" w:hAnsi="Book Antiqua" w:cs="Times New Roman"/>
          <w:sz w:val="24"/>
          <w:szCs w:val="24"/>
        </w:rPr>
        <w:t xml:space="preserve">% of the funds (UCITS and AIFs) are marketed on </w:t>
      </w:r>
      <w:r>
        <w:rPr>
          <w:rFonts w:ascii="Book Antiqua" w:hAnsi="Book Antiqua" w:cs="Times New Roman"/>
          <w:sz w:val="24"/>
          <w:szCs w:val="24"/>
        </w:rPr>
        <w:t xml:space="preserve">a </w:t>
      </w:r>
      <w:r w:rsidRPr="005C0F12">
        <w:rPr>
          <w:rFonts w:ascii="Book Antiqua" w:hAnsi="Book Antiqua" w:cs="Times New Roman"/>
          <w:sz w:val="24"/>
          <w:szCs w:val="24"/>
        </w:rPr>
        <w:t>cross-border basis.</w:t>
      </w:r>
      <w:r w:rsidRPr="00873800">
        <w:rPr>
          <w:rStyle w:val="FootnoteReference"/>
          <w:rFonts w:ascii="Book Antiqua" w:hAnsi="Book Antiqua" w:cs="Times New Roman"/>
          <w:sz w:val="24"/>
          <w:szCs w:val="24"/>
        </w:rPr>
        <w:footnoteReference w:id="109"/>
      </w:r>
    </w:p>
    <w:p w14:paraId="37A3887C" w14:textId="77777777" w:rsidR="008C1882" w:rsidRDefault="008C1882" w:rsidP="008C1882">
      <w:pPr>
        <w:pStyle w:val="ListParagraph"/>
        <w:numPr>
          <w:ilvl w:val="0"/>
          <w:numId w:val="35"/>
        </w:numPr>
        <w:tabs>
          <w:tab w:val="left" w:pos="4395"/>
        </w:tabs>
        <w:spacing w:line="360" w:lineRule="auto"/>
        <w:ind w:left="567" w:hanging="567"/>
        <w:contextualSpacing w:val="0"/>
        <w:jc w:val="both"/>
        <w:rPr>
          <w:rFonts w:ascii="Book Antiqua" w:hAnsi="Book Antiqua" w:cs="Times New Roman"/>
          <w:sz w:val="24"/>
          <w:szCs w:val="24"/>
        </w:rPr>
      </w:pPr>
      <w:r w:rsidRPr="005C0F12">
        <w:rPr>
          <w:rFonts w:ascii="Book Antiqua" w:hAnsi="Book Antiqua" w:cs="Times New Roman"/>
          <w:sz w:val="24"/>
          <w:szCs w:val="24"/>
        </w:rPr>
        <w:t xml:space="preserve">A </w:t>
      </w:r>
      <w:proofErr w:type="spellStart"/>
      <w:r w:rsidRPr="005C0F12">
        <w:rPr>
          <w:rFonts w:ascii="Book Antiqua" w:hAnsi="Book Antiqua" w:cs="Times New Roman"/>
          <w:sz w:val="24"/>
          <w:szCs w:val="24"/>
        </w:rPr>
        <w:t>Brexit</w:t>
      </w:r>
      <w:proofErr w:type="spellEnd"/>
      <w:r w:rsidRPr="005C0F12">
        <w:rPr>
          <w:rFonts w:ascii="Book Antiqua" w:hAnsi="Book Antiqua" w:cs="Times New Roman"/>
          <w:sz w:val="24"/>
          <w:szCs w:val="24"/>
        </w:rPr>
        <w:t xml:space="preserve"> solution that would allow the UK to continue to access the EU single market for financial services would cause the least disruption to AIFMD and UC</w:t>
      </w:r>
      <w:r>
        <w:rPr>
          <w:rFonts w:ascii="Book Antiqua" w:hAnsi="Book Antiqua" w:cs="Times New Roman"/>
          <w:sz w:val="24"/>
          <w:szCs w:val="24"/>
        </w:rPr>
        <w:t>IT</w:t>
      </w:r>
      <w:r w:rsidRPr="005C0F12">
        <w:rPr>
          <w:rFonts w:ascii="Book Antiqua" w:hAnsi="Book Antiqua" w:cs="Times New Roman"/>
          <w:sz w:val="24"/>
          <w:szCs w:val="24"/>
        </w:rPr>
        <w:t xml:space="preserve">S activities currently taking place in the UK. </w:t>
      </w:r>
      <w:r>
        <w:rPr>
          <w:rFonts w:ascii="Book Antiqua" w:hAnsi="Book Antiqua" w:cs="Times New Roman"/>
          <w:sz w:val="24"/>
          <w:szCs w:val="24"/>
        </w:rPr>
        <w:t>The</w:t>
      </w:r>
      <w:r w:rsidRPr="005C0F12">
        <w:rPr>
          <w:rFonts w:ascii="Book Antiqua" w:hAnsi="Book Antiqua" w:cs="Times New Roman"/>
          <w:sz w:val="24"/>
          <w:szCs w:val="24"/>
        </w:rPr>
        <w:t xml:space="preserve"> UK </w:t>
      </w:r>
      <w:r>
        <w:rPr>
          <w:rFonts w:ascii="Book Antiqua" w:hAnsi="Book Antiqua" w:cs="Times New Roman"/>
          <w:sz w:val="24"/>
          <w:szCs w:val="24"/>
        </w:rPr>
        <w:t>c</w:t>
      </w:r>
      <w:r w:rsidRPr="005C0F12">
        <w:rPr>
          <w:rFonts w:ascii="Book Antiqua" w:hAnsi="Book Antiqua" w:cs="Times New Roman"/>
          <w:sz w:val="24"/>
          <w:szCs w:val="24"/>
        </w:rPr>
        <w:t xml:space="preserve">ould seek to retain this access as a full member of the member of the EEA or by way of a more limited alternative that would allow the UK to retain access to the single market in respect of certain industries and sectors, but not others. </w:t>
      </w:r>
    </w:p>
    <w:p w14:paraId="17B7DD8F" w14:textId="77777777" w:rsidR="008C1882" w:rsidRDefault="008C1882" w:rsidP="008C1882">
      <w:pPr>
        <w:pStyle w:val="ListParagraph"/>
        <w:numPr>
          <w:ilvl w:val="0"/>
          <w:numId w:val="35"/>
        </w:numPr>
        <w:tabs>
          <w:tab w:val="left" w:pos="4395"/>
        </w:tabs>
        <w:spacing w:line="360" w:lineRule="auto"/>
        <w:ind w:left="567" w:hanging="567"/>
        <w:contextualSpacing w:val="0"/>
        <w:jc w:val="both"/>
        <w:rPr>
          <w:rFonts w:ascii="Book Antiqua" w:hAnsi="Book Antiqua" w:cs="Times New Roman"/>
          <w:sz w:val="24"/>
          <w:szCs w:val="24"/>
        </w:rPr>
      </w:pPr>
      <w:r w:rsidRPr="005C0F12">
        <w:rPr>
          <w:rFonts w:ascii="Book Antiqua" w:hAnsi="Book Antiqua" w:cs="Times New Roman"/>
          <w:sz w:val="24"/>
          <w:szCs w:val="24"/>
        </w:rPr>
        <w:t xml:space="preserve">If the UK does not retain access to the EU single market, it </w:t>
      </w:r>
      <w:r>
        <w:rPr>
          <w:rFonts w:ascii="Book Antiqua" w:hAnsi="Book Antiqua" w:cs="Times New Roman"/>
          <w:sz w:val="24"/>
          <w:szCs w:val="24"/>
        </w:rPr>
        <w:t>will have to</w:t>
      </w:r>
      <w:r w:rsidRPr="005C0F12">
        <w:rPr>
          <w:rFonts w:ascii="Book Antiqua" w:hAnsi="Book Antiqua" w:cs="Times New Roman"/>
          <w:sz w:val="24"/>
          <w:szCs w:val="24"/>
        </w:rPr>
        <w:t xml:space="preserve"> seek to rely on </w:t>
      </w:r>
      <w:r>
        <w:rPr>
          <w:rFonts w:ascii="Book Antiqua" w:hAnsi="Book Antiqua" w:cs="Times New Roman"/>
          <w:sz w:val="24"/>
          <w:szCs w:val="24"/>
        </w:rPr>
        <w:t>“</w:t>
      </w:r>
      <w:r w:rsidRPr="005C0F12">
        <w:rPr>
          <w:rFonts w:ascii="Book Antiqua" w:hAnsi="Book Antiqua" w:cs="Times New Roman"/>
          <w:sz w:val="24"/>
          <w:szCs w:val="24"/>
        </w:rPr>
        <w:t>third country</w:t>
      </w:r>
      <w:r>
        <w:rPr>
          <w:rFonts w:ascii="Book Antiqua" w:hAnsi="Book Antiqua" w:cs="Times New Roman"/>
          <w:sz w:val="24"/>
          <w:szCs w:val="24"/>
        </w:rPr>
        <w:t>”</w:t>
      </w:r>
      <w:r w:rsidRPr="005C0F12">
        <w:rPr>
          <w:rFonts w:ascii="Book Antiqua" w:hAnsi="Book Antiqua" w:cs="Times New Roman"/>
          <w:sz w:val="24"/>
          <w:szCs w:val="24"/>
        </w:rPr>
        <w:t xml:space="preserve"> regimes, which allow non-EU entities to access the single market, provided that: (1) the entity is are authorised in a third country that has in place a regulatory regime in place that is equivalent to that operating within the EU, (2) the third country offers reciprocal access to its </w:t>
      </w:r>
      <w:r w:rsidRPr="005C0F12">
        <w:rPr>
          <w:rFonts w:ascii="Book Antiqua" w:hAnsi="Book Antiqua" w:cs="Times New Roman"/>
          <w:sz w:val="24"/>
          <w:szCs w:val="24"/>
        </w:rPr>
        <w:lastRenderedPageBreak/>
        <w:t>market to EU domiciled firms, and (3) the regulator in that third country has entered into a regulator cooperation agreement with the EU.</w:t>
      </w:r>
      <w:r w:rsidRPr="00873800">
        <w:rPr>
          <w:rStyle w:val="FootnoteReference"/>
          <w:rFonts w:ascii="Book Antiqua" w:hAnsi="Book Antiqua" w:cs="Times New Roman"/>
          <w:sz w:val="24"/>
          <w:szCs w:val="24"/>
        </w:rPr>
        <w:footnoteReference w:id="110"/>
      </w:r>
      <w:r w:rsidRPr="005C0F12">
        <w:rPr>
          <w:rFonts w:ascii="Book Antiqua" w:hAnsi="Book Antiqua" w:cs="Times New Roman"/>
          <w:sz w:val="24"/>
          <w:szCs w:val="24"/>
        </w:rPr>
        <w:t xml:space="preserve"> </w:t>
      </w:r>
    </w:p>
    <w:p w14:paraId="03BB68A1" w14:textId="77777777" w:rsidR="008C1882" w:rsidRDefault="008C1882" w:rsidP="008C1882">
      <w:pPr>
        <w:pStyle w:val="ListParagraph"/>
        <w:numPr>
          <w:ilvl w:val="0"/>
          <w:numId w:val="35"/>
        </w:numPr>
        <w:tabs>
          <w:tab w:val="left" w:pos="4395"/>
        </w:tabs>
        <w:spacing w:line="360" w:lineRule="auto"/>
        <w:ind w:left="567" w:hanging="567"/>
        <w:contextualSpacing w:val="0"/>
        <w:jc w:val="both"/>
        <w:rPr>
          <w:rFonts w:ascii="Book Antiqua" w:hAnsi="Book Antiqua" w:cs="Times New Roman"/>
          <w:sz w:val="24"/>
          <w:szCs w:val="24"/>
        </w:rPr>
      </w:pPr>
      <w:r w:rsidRPr="005C0F12">
        <w:rPr>
          <w:rFonts w:ascii="Book Antiqua" w:hAnsi="Book Antiqua" w:cs="Times New Roman"/>
          <w:sz w:val="24"/>
          <w:szCs w:val="24"/>
        </w:rPr>
        <w:t>Because the UK currently implements the EU’s regulatory regime for financial services, it is</w:t>
      </w:r>
      <w:r>
        <w:rPr>
          <w:rFonts w:ascii="Book Antiqua" w:hAnsi="Book Antiqua" w:cs="Times New Roman"/>
          <w:sz w:val="24"/>
          <w:szCs w:val="24"/>
        </w:rPr>
        <w:t xml:space="preserve"> in theory</w:t>
      </w:r>
      <w:r w:rsidRPr="005C0F12">
        <w:rPr>
          <w:rFonts w:ascii="Book Antiqua" w:hAnsi="Book Antiqua" w:cs="Times New Roman"/>
          <w:sz w:val="24"/>
          <w:szCs w:val="24"/>
        </w:rPr>
        <w:t xml:space="preserve"> well placed to avail itself of such third country regimes. </w:t>
      </w:r>
      <w:r>
        <w:rPr>
          <w:rFonts w:ascii="Book Antiqua" w:hAnsi="Book Antiqua" w:cs="Times New Roman"/>
          <w:sz w:val="24"/>
          <w:szCs w:val="24"/>
        </w:rPr>
        <w:t>In order to do so</w:t>
      </w:r>
      <w:r w:rsidRPr="005C0F12">
        <w:rPr>
          <w:rFonts w:ascii="Book Antiqua" w:hAnsi="Book Antiqua" w:cs="Times New Roman"/>
          <w:sz w:val="24"/>
          <w:szCs w:val="24"/>
        </w:rPr>
        <w:t xml:space="preserve">, it is anticipated that the FCA will have to retain many of the existing regulatory provisions applying to AIFMs and UCTIS funds following </w:t>
      </w:r>
      <w:proofErr w:type="spellStart"/>
      <w:r w:rsidRPr="005C0F12">
        <w:rPr>
          <w:rFonts w:ascii="Book Antiqua" w:hAnsi="Book Antiqua" w:cs="Times New Roman"/>
          <w:sz w:val="24"/>
          <w:szCs w:val="24"/>
        </w:rPr>
        <w:t>Brexit</w:t>
      </w:r>
      <w:proofErr w:type="spellEnd"/>
      <w:r w:rsidRPr="005C0F12">
        <w:rPr>
          <w:rFonts w:ascii="Book Antiqua" w:hAnsi="Book Antiqua" w:cs="Times New Roman"/>
          <w:sz w:val="24"/>
          <w:szCs w:val="24"/>
        </w:rPr>
        <w:t>.</w:t>
      </w:r>
      <w:r w:rsidRPr="00873800">
        <w:rPr>
          <w:rStyle w:val="FootnoteReference"/>
          <w:rFonts w:ascii="Book Antiqua" w:hAnsi="Book Antiqua" w:cs="Times New Roman"/>
          <w:sz w:val="24"/>
          <w:szCs w:val="24"/>
        </w:rPr>
        <w:footnoteReference w:id="111"/>
      </w:r>
      <w:r w:rsidRPr="005C0F12">
        <w:rPr>
          <w:rFonts w:ascii="Book Antiqua" w:hAnsi="Book Antiqua" w:cs="Times New Roman"/>
          <w:sz w:val="24"/>
          <w:szCs w:val="24"/>
        </w:rPr>
        <w:t xml:space="preserve"> However, </w:t>
      </w:r>
      <w:r>
        <w:rPr>
          <w:rFonts w:ascii="Book Antiqua" w:hAnsi="Book Antiqua" w:cs="Times New Roman"/>
          <w:sz w:val="24"/>
          <w:szCs w:val="24"/>
        </w:rPr>
        <w:t xml:space="preserve">even if this is done, </w:t>
      </w:r>
      <w:r w:rsidRPr="005C0F12">
        <w:rPr>
          <w:rFonts w:ascii="Book Antiqua" w:hAnsi="Book Antiqua" w:cs="Times New Roman"/>
          <w:sz w:val="24"/>
          <w:szCs w:val="24"/>
        </w:rPr>
        <w:t xml:space="preserve">the efficacy of third country regimes is undermined by a number of </w:t>
      </w:r>
      <w:r>
        <w:rPr>
          <w:rFonts w:ascii="Book Antiqua" w:hAnsi="Book Antiqua" w:cs="Times New Roman"/>
          <w:sz w:val="24"/>
          <w:szCs w:val="24"/>
        </w:rPr>
        <w:t xml:space="preserve">significant </w:t>
      </w:r>
      <w:r w:rsidRPr="005C0F12">
        <w:rPr>
          <w:rFonts w:ascii="Book Antiqua" w:hAnsi="Book Antiqua" w:cs="Times New Roman"/>
          <w:sz w:val="24"/>
          <w:szCs w:val="24"/>
        </w:rPr>
        <w:t xml:space="preserve">shortcomings: </w:t>
      </w:r>
    </w:p>
    <w:p w14:paraId="47A9AC60" w14:textId="77777777" w:rsidR="008C1882" w:rsidRDefault="008C1882" w:rsidP="008C1882">
      <w:pPr>
        <w:pStyle w:val="ListParagraph"/>
        <w:numPr>
          <w:ilvl w:val="1"/>
          <w:numId w:val="35"/>
        </w:numPr>
        <w:tabs>
          <w:tab w:val="left" w:pos="4395"/>
        </w:tabs>
        <w:spacing w:line="360" w:lineRule="auto"/>
        <w:ind w:left="1134" w:hanging="567"/>
        <w:contextualSpacing w:val="0"/>
        <w:jc w:val="both"/>
        <w:rPr>
          <w:rFonts w:ascii="Book Antiqua" w:hAnsi="Book Antiqua" w:cs="Times New Roman"/>
          <w:sz w:val="24"/>
          <w:szCs w:val="24"/>
        </w:rPr>
      </w:pPr>
      <w:r w:rsidRPr="005C0F12">
        <w:rPr>
          <w:rFonts w:ascii="Book Antiqua" w:hAnsi="Book Antiqua" w:cs="Times New Roman"/>
          <w:sz w:val="24"/>
          <w:szCs w:val="24"/>
        </w:rPr>
        <w:t>First, the third country regimes that are presently available are not comprehensive. For example, the equivalence concept does not apply to the UC</w:t>
      </w:r>
      <w:r>
        <w:rPr>
          <w:rFonts w:ascii="Book Antiqua" w:hAnsi="Book Antiqua" w:cs="Times New Roman"/>
          <w:sz w:val="24"/>
          <w:szCs w:val="24"/>
        </w:rPr>
        <w:t>IT</w:t>
      </w:r>
      <w:r w:rsidRPr="005C0F12">
        <w:rPr>
          <w:rFonts w:ascii="Book Antiqua" w:hAnsi="Book Antiqua" w:cs="Times New Roman"/>
          <w:sz w:val="24"/>
          <w:szCs w:val="24"/>
        </w:rPr>
        <w:t>S Directive, with the result that UC</w:t>
      </w:r>
      <w:r>
        <w:rPr>
          <w:rFonts w:ascii="Book Antiqua" w:hAnsi="Book Antiqua" w:cs="Times New Roman"/>
          <w:sz w:val="24"/>
          <w:szCs w:val="24"/>
        </w:rPr>
        <w:t>IT</w:t>
      </w:r>
      <w:r w:rsidRPr="005C0F12">
        <w:rPr>
          <w:rFonts w:ascii="Book Antiqua" w:hAnsi="Book Antiqua" w:cs="Times New Roman"/>
          <w:sz w:val="24"/>
          <w:szCs w:val="24"/>
        </w:rPr>
        <w:t xml:space="preserve">S compliant funds from third states cannot rely on </w:t>
      </w:r>
      <w:proofErr w:type="spellStart"/>
      <w:r w:rsidRPr="005C0F12">
        <w:rPr>
          <w:rFonts w:ascii="Book Antiqua" w:hAnsi="Book Antiqua" w:cs="Times New Roman"/>
          <w:sz w:val="24"/>
          <w:szCs w:val="24"/>
        </w:rPr>
        <w:t>passporting</w:t>
      </w:r>
      <w:proofErr w:type="spellEnd"/>
      <w:r w:rsidRPr="005C0F12">
        <w:rPr>
          <w:rFonts w:ascii="Book Antiqua" w:hAnsi="Book Antiqua" w:cs="Times New Roman"/>
          <w:sz w:val="24"/>
          <w:szCs w:val="24"/>
        </w:rPr>
        <w:t xml:space="preserve"> rights. Although AIMFD contemplates that </w:t>
      </w:r>
      <w:proofErr w:type="spellStart"/>
      <w:r w:rsidRPr="005C0F12">
        <w:rPr>
          <w:rFonts w:ascii="Book Antiqua" w:hAnsi="Book Antiqua" w:cs="Times New Roman"/>
          <w:sz w:val="24"/>
          <w:szCs w:val="24"/>
        </w:rPr>
        <w:t>passporting</w:t>
      </w:r>
      <w:proofErr w:type="spellEnd"/>
      <w:r w:rsidRPr="005C0F12">
        <w:rPr>
          <w:rFonts w:ascii="Book Antiqua" w:hAnsi="Book Antiqua" w:cs="Times New Roman"/>
          <w:sz w:val="24"/>
          <w:szCs w:val="24"/>
        </w:rPr>
        <w:t xml:space="preserve"> will be available to non-EU AIFMs,</w:t>
      </w:r>
      <w:r w:rsidRPr="00873800">
        <w:rPr>
          <w:rStyle w:val="FootnoteReference"/>
          <w:rFonts w:ascii="Book Antiqua" w:hAnsi="Book Antiqua" w:cs="Times New Roman"/>
          <w:sz w:val="24"/>
          <w:szCs w:val="24"/>
        </w:rPr>
        <w:footnoteReference w:id="112"/>
      </w:r>
      <w:r w:rsidRPr="005C0F12">
        <w:rPr>
          <w:rFonts w:ascii="Book Antiqua" w:hAnsi="Book Antiqua" w:cs="Times New Roman"/>
          <w:sz w:val="24"/>
          <w:szCs w:val="24"/>
        </w:rPr>
        <w:t xml:space="preserve"> the relevant provisions have yet to be commenced. </w:t>
      </w:r>
    </w:p>
    <w:p w14:paraId="5346A814" w14:textId="77777777" w:rsidR="008C1882" w:rsidRDefault="008C1882" w:rsidP="008C1882">
      <w:pPr>
        <w:pStyle w:val="ListParagraph"/>
        <w:numPr>
          <w:ilvl w:val="1"/>
          <w:numId w:val="35"/>
        </w:numPr>
        <w:tabs>
          <w:tab w:val="left" w:pos="4395"/>
        </w:tabs>
        <w:spacing w:line="360" w:lineRule="auto"/>
        <w:ind w:left="1134" w:hanging="567"/>
        <w:contextualSpacing w:val="0"/>
        <w:jc w:val="both"/>
        <w:rPr>
          <w:rFonts w:ascii="Book Antiqua" w:hAnsi="Book Antiqua" w:cs="Times New Roman"/>
          <w:sz w:val="24"/>
          <w:szCs w:val="24"/>
        </w:rPr>
      </w:pPr>
      <w:r w:rsidRPr="005C0F12">
        <w:rPr>
          <w:rFonts w:ascii="Book Antiqua" w:hAnsi="Book Antiqua" w:cs="Times New Roman"/>
          <w:sz w:val="24"/>
          <w:szCs w:val="24"/>
        </w:rPr>
        <w:t>Second, the detailed assessment procedures adopted by the European Securities and Markets Authority (“ESMA”) for the purposes of determining whether it should recommend access to third state AIFMs is a detailed and time-consuming process. ESMA has only just completed its assessment for the first tranche of countries under consideration (Australia, Bermuda, Canada, Cayman Islands, Guernsey, Hong Kong, Japan, Jersey, Isle of Man, Singapore, Switzerland, and the United States) in July 2016.</w:t>
      </w:r>
      <w:r w:rsidRPr="00873800">
        <w:rPr>
          <w:rStyle w:val="FootnoteReference"/>
          <w:rFonts w:ascii="Book Antiqua" w:hAnsi="Book Antiqua" w:cs="Times New Roman"/>
          <w:sz w:val="24"/>
          <w:szCs w:val="24"/>
        </w:rPr>
        <w:footnoteReference w:id="113"/>
      </w:r>
      <w:r w:rsidRPr="005C0F12">
        <w:rPr>
          <w:rFonts w:ascii="Book Antiqua" w:hAnsi="Book Antiqua" w:cs="Times New Roman"/>
          <w:sz w:val="24"/>
          <w:szCs w:val="24"/>
        </w:rPr>
        <w:t xml:space="preserve"> Its advice is currently under consideration by the European Commission, Parliament and Council. If the UK was to exit the EU and the EEA, it is unclear whether its assessment by the EMSA would </w:t>
      </w:r>
      <w:r w:rsidRPr="005C0F12">
        <w:rPr>
          <w:rFonts w:ascii="Book Antiqua" w:hAnsi="Book Antiqua" w:cs="Times New Roman"/>
          <w:sz w:val="24"/>
          <w:szCs w:val="24"/>
        </w:rPr>
        <w:lastRenderedPageBreak/>
        <w:t xml:space="preserve">be fast-tracked or whether it would have to join the back of the queue of third states awaiting assessment by the EMSA, following </w:t>
      </w:r>
      <w:proofErr w:type="spellStart"/>
      <w:r w:rsidRPr="005C0F12">
        <w:rPr>
          <w:rFonts w:ascii="Book Antiqua" w:hAnsi="Book Antiqua" w:cs="Times New Roman"/>
          <w:sz w:val="24"/>
          <w:szCs w:val="24"/>
        </w:rPr>
        <w:t>Brexit</w:t>
      </w:r>
      <w:proofErr w:type="spellEnd"/>
      <w:r w:rsidRPr="005C0F12">
        <w:rPr>
          <w:rFonts w:ascii="Book Antiqua" w:hAnsi="Book Antiqua" w:cs="Times New Roman"/>
          <w:sz w:val="24"/>
          <w:szCs w:val="24"/>
        </w:rPr>
        <w:t xml:space="preserve">. </w:t>
      </w:r>
    </w:p>
    <w:p w14:paraId="58AAF2DD" w14:textId="77777777" w:rsidR="008C1882" w:rsidRDefault="008C1882" w:rsidP="008C1882">
      <w:pPr>
        <w:pStyle w:val="ListParagraph"/>
        <w:numPr>
          <w:ilvl w:val="1"/>
          <w:numId w:val="35"/>
        </w:numPr>
        <w:tabs>
          <w:tab w:val="left" w:pos="4395"/>
        </w:tabs>
        <w:spacing w:line="360" w:lineRule="auto"/>
        <w:ind w:left="1134" w:hanging="567"/>
        <w:contextualSpacing w:val="0"/>
        <w:jc w:val="both"/>
        <w:rPr>
          <w:rFonts w:ascii="Book Antiqua" w:hAnsi="Book Antiqua" w:cs="Times New Roman"/>
          <w:sz w:val="24"/>
          <w:szCs w:val="24"/>
        </w:rPr>
      </w:pPr>
      <w:r w:rsidRPr="005C0F12">
        <w:rPr>
          <w:rFonts w:ascii="Book Antiqua" w:hAnsi="Book Antiqua" w:cs="Times New Roman"/>
          <w:sz w:val="24"/>
          <w:szCs w:val="24"/>
        </w:rPr>
        <w:t>It</w:t>
      </w:r>
      <w:r>
        <w:rPr>
          <w:rFonts w:ascii="Book Antiqua" w:hAnsi="Book Antiqua" w:cs="Times New Roman"/>
          <w:sz w:val="24"/>
          <w:szCs w:val="24"/>
        </w:rPr>
        <w:t xml:space="preserve"> would be extremely important for the UK to seek to agree with the EU</w:t>
      </w:r>
      <w:r w:rsidRPr="005C0F12">
        <w:rPr>
          <w:rFonts w:ascii="Book Antiqua" w:hAnsi="Book Antiqua" w:cs="Times New Roman"/>
          <w:sz w:val="24"/>
          <w:szCs w:val="24"/>
        </w:rPr>
        <w:t xml:space="preserve"> transitional arrangements for reciprocal market access</w:t>
      </w:r>
      <w:r>
        <w:rPr>
          <w:rFonts w:ascii="Book Antiqua" w:hAnsi="Book Antiqua" w:cs="Times New Roman"/>
          <w:sz w:val="24"/>
          <w:szCs w:val="24"/>
        </w:rPr>
        <w:t>,</w:t>
      </w:r>
      <w:r w:rsidRPr="005C0F12">
        <w:rPr>
          <w:rFonts w:ascii="Book Antiqua" w:hAnsi="Book Antiqua" w:cs="Times New Roman"/>
          <w:sz w:val="24"/>
          <w:szCs w:val="24"/>
        </w:rPr>
        <w:t xml:space="preserve"> and </w:t>
      </w:r>
      <w:r>
        <w:rPr>
          <w:rFonts w:ascii="Book Antiqua" w:hAnsi="Book Antiqua" w:cs="Times New Roman"/>
          <w:sz w:val="24"/>
          <w:szCs w:val="24"/>
        </w:rPr>
        <w:t>for</w:t>
      </w:r>
      <w:r w:rsidRPr="005C0F12">
        <w:rPr>
          <w:rFonts w:ascii="Book Antiqua" w:hAnsi="Book Antiqua" w:cs="Times New Roman"/>
          <w:sz w:val="24"/>
          <w:szCs w:val="24"/>
        </w:rPr>
        <w:t xml:space="preserve"> the EU</w:t>
      </w:r>
      <w:r>
        <w:rPr>
          <w:rFonts w:ascii="Book Antiqua" w:hAnsi="Book Antiqua" w:cs="Times New Roman"/>
          <w:sz w:val="24"/>
          <w:szCs w:val="24"/>
        </w:rPr>
        <w:t xml:space="preserve"> to expedite</w:t>
      </w:r>
      <w:r w:rsidRPr="005C0F12">
        <w:rPr>
          <w:rFonts w:ascii="Book Antiqua" w:hAnsi="Book Antiqua" w:cs="Times New Roman"/>
          <w:sz w:val="24"/>
          <w:szCs w:val="24"/>
        </w:rPr>
        <w:t xml:space="preserve"> the third country assessment process for the UK. </w:t>
      </w:r>
    </w:p>
    <w:p w14:paraId="3133DBD5" w14:textId="77777777" w:rsidR="008C1882" w:rsidRDefault="008C1882" w:rsidP="008C1882">
      <w:pPr>
        <w:pStyle w:val="ListParagraph"/>
        <w:numPr>
          <w:ilvl w:val="1"/>
          <w:numId w:val="35"/>
        </w:numPr>
        <w:tabs>
          <w:tab w:val="left" w:pos="4395"/>
        </w:tabs>
        <w:spacing w:line="360" w:lineRule="auto"/>
        <w:ind w:left="1134" w:hanging="567"/>
        <w:contextualSpacing w:val="0"/>
        <w:jc w:val="both"/>
        <w:rPr>
          <w:rFonts w:ascii="Book Antiqua" w:hAnsi="Book Antiqua" w:cs="Times New Roman"/>
          <w:sz w:val="24"/>
          <w:szCs w:val="24"/>
        </w:rPr>
      </w:pPr>
      <w:r w:rsidRPr="005C0F12">
        <w:rPr>
          <w:rFonts w:ascii="Book Antiqua" w:hAnsi="Book Antiqua" w:cs="Times New Roman"/>
          <w:sz w:val="24"/>
          <w:szCs w:val="24"/>
        </w:rPr>
        <w:t xml:space="preserve">Finally, the UK will only be entitled to avail </w:t>
      </w:r>
      <w:r>
        <w:rPr>
          <w:rFonts w:ascii="Book Antiqua" w:hAnsi="Book Antiqua" w:cs="Times New Roman"/>
          <w:sz w:val="24"/>
          <w:szCs w:val="24"/>
        </w:rPr>
        <w:t xml:space="preserve">itself </w:t>
      </w:r>
      <w:r w:rsidRPr="005C0F12">
        <w:rPr>
          <w:rFonts w:ascii="Book Antiqua" w:hAnsi="Book Antiqua" w:cs="Times New Roman"/>
          <w:sz w:val="24"/>
          <w:szCs w:val="24"/>
        </w:rPr>
        <w:t xml:space="preserve">of such regimes while its regulatory regime is equivalent to that prevailing in the EU. Although the UK regulatory regime is likely to be equivalent as at the date that it leaves the EU, there is a risk of “creeping </w:t>
      </w:r>
      <w:proofErr w:type="spellStart"/>
      <w:r w:rsidRPr="005C0F12">
        <w:rPr>
          <w:rFonts w:ascii="Book Antiqua" w:hAnsi="Book Antiqua" w:cs="Times New Roman"/>
          <w:sz w:val="24"/>
          <w:szCs w:val="24"/>
        </w:rPr>
        <w:t>deharmonisation</w:t>
      </w:r>
      <w:proofErr w:type="spellEnd"/>
      <w:r w:rsidRPr="005C0F12">
        <w:rPr>
          <w:rFonts w:ascii="Book Antiqua" w:hAnsi="Book Antiqua" w:cs="Times New Roman"/>
          <w:sz w:val="24"/>
          <w:szCs w:val="24"/>
        </w:rPr>
        <w:t xml:space="preserve">” as divergences between the EU and UK regimes appear over time. As a result, third country regimes would no longer be available to the UK unless it was to </w:t>
      </w:r>
      <w:r>
        <w:rPr>
          <w:rFonts w:ascii="Book Antiqua" w:hAnsi="Book Antiqua" w:cs="Times New Roman"/>
          <w:sz w:val="24"/>
          <w:szCs w:val="24"/>
        </w:rPr>
        <w:t>maintain</w:t>
      </w:r>
      <w:r w:rsidRPr="005C0F12">
        <w:rPr>
          <w:rFonts w:ascii="Book Antiqua" w:hAnsi="Book Antiqua" w:cs="Times New Roman"/>
          <w:sz w:val="24"/>
          <w:szCs w:val="24"/>
        </w:rPr>
        <w:t xml:space="preserve"> its regulatory regime in line with that prevailing in the EU. </w:t>
      </w:r>
    </w:p>
    <w:p w14:paraId="2D854229" w14:textId="77777777" w:rsidR="008C1882" w:rsidRDefault="008C1882" w:rsidP="008C1882">
      <w:pPr>
        <w:pStyle w:val="ListParagraph"/>
        <w:numPr>
          <w:ilvl w:val="0"/>
          <w:numId w:val="35"/>
        </w:numPr>
        <w:tabs>
          <w:tab w:val="left" w:pos="4395"/>
        </w:tabs>
        <w:spacing w:line="360" w:lineRule="auto"/>
        <w:ind w:left="567" w:hanging="567"/>
        <w:contextualSpacing w:val="0"/>
        <w:jc w:val="both"/>
        <w:rPr>
          <w:rFonts w:ascii="Book Antiqua" w:hAnsi="Book Antiqua" w:cs="Times New Roman"/>
          <w:sz w:val="24"/>
          <w:szCs w:val="24"/>
        </w:rPr>
      </w:pPr>
      <w:r w:rsidRPr="005C0F12">
        <w:rPr>
          <w:rFonts w:ascii="Book Antiqua" w:hAnsi="Book Antiqua" w:cs="Times New Roman"/>
          <w:sz w:val="24"/>
          <w:szCs w:val="24"/>
        </w:rPr>
        <w:t xml:space="preserve">Given that there is likely to be a period of uncertainty before these issues are resolved, this will affect the decisions of many firms seeking to establish </w:t>
      </w:r>
      <w:proofErr w:type="gramStart"/>
      <w:r w:rsidRPr="005C0F12">
        <w:rPr>
          <w:rFonts w:ascii="Book Antiqua" w:hAnsi="Book Antiqua" w:cs="Times New Roman"/>
          <w:sz w:val="24"/>
          <w:szCs w:val="24"/>
        </w:rPr>
        <w:t>themselves</w:t>
      </w:r>
      <w:proofErr w:type="gramEnd"/>
      <w:r w:rsidRPr="005C0F12">
        <w:rPr>
          <w:rFonts w:ascii="Book Antiqua" w:hAnsi="Book Antiqua" w:cs="Times New Roman"/>
          <w:sz w:val="24"/>
          <w:szCs w:val="24"/>
        </w:rPr>
        <w:t xml:space="preserve"> or an investment fund within the EU in the near future. Third State funds seeking to establish a European AIFM are unlikely to choose the UK as its jurisdiction of domicile, or to choose a UK depository for its investments going forward. Similarly, many UK AIFMs may decide to establish an entity based in the EU to act as AIFM going forward. The result of this is that the UK financial services market is likely to be at a significant competitive disadvantage as compared to other EU jurisdictions. </w:t>
      </w:r>
      <w:r>
        <w:rPr>
          <w:rFonts w:ascii="Book Antiqua" w:hAnsi="Book Antiqua" w:cs="Times New Roman"/>
          <w:sz w:val="24"/>
          <w:szCs w:val="24"/>
        </w:rPr>
        <w:t xml:space="preserve"> There is therefore a real premium on achieving certainty, or at least a desired end point, at the earliest possible time.</w:t>
      </w:r>
    </w:p>
    <w:p w14:paraId="6C47F92E" w14:textId="33B2E68E" w:rsidR="00FF0176" w:rsidRDefault="00FF0176">
      <w:pPr>
        <w:rPr>
          <w:rFonts w:ascii="Book Antiqua" w:hAnsi="Book Antiqua" w:cs="Times New Roman"/>
          <w:sz w:val="24"/>
          <w:szCs w:val="24"/>
        </w:rPr>
      </w:pPr>
      <w:r>
        <w:rPr>
          <w:rFonts w:ascii="Book Antiqua" w:hAnsi="Book Antiqua" w:cs="Times New Roman"/>
          <w:sz w:val="24"/>
          <w:szCs w:val="24"/>
        </w:rPr>
        <w:br w:type="page"/>
      </w:r>
    </w:p>
    <w:p w14:paraId="21FC3220" w14:textId="77777777" w:rsidR="00390F62" w:rsidRPr="00F70A77" w:rsidRDefault="00390F62" w:rsidP="00C23813">
      <w:pPr>
        <w:jc w:val="both"/>
        <w:rPr>
          <w:rFonts w:ascii="Book Antiqua" w:hAnsi="Book Antiqua" w:cs="Times New Roman"/>
          <w:b/>
          <w:sz w:val="24"/>
          <w:szCs w:val="24"/>
          <w:u w:val="single"/>
        </w:rPr>
      </w:pPr>
      <w:r>
        <w:rPr>
          <w:rFonts w:ascii="Book Antiqua" w:hAnsi="Book Antiqua" w:cs="Times New Roman"/>
          <w:b/>
          <w:sz w:val="24"/>
          <w:szCs w:val="24"/>
          <w:u w:val="single"/>
        </w:rPr>
        <w:lastRenderedPageBreak/>
        <w:t xml:space="preserve">CHAPTER 6 – </w:t>
      </w:r>
      <w:r w:rsidRPr="007C41B8">
        <w:rPr>
          <w:rFonts w:ascii="Book Antiqua" w:hAnsi="Book Antiqua"/>
          <w:b/>
          <w:sz w:val="24"/>
          <w:szCs w:val="24"/>
          <w:u w:val="single"/>
        </w:rPr>
        <w:t>CAPITAL REQUIREMENTS FOR BANKS, BUILDING SOCIETIES AND INVESTMENT FIRMS</w:t>
      </w:r>
      <w:r>
        <w:rPr>
          <w:rFonts w:ascii="Book Antiqua" w:hAnsi="Book Antiqua"/>
          <w:b/>
          <w:sz w:val="24"/>
          <w:szCs w:val="24"/>
          <w:u w:val="single"/>
        </w:rPr>
        <w:t xml:space="preserve">: </w:t>
      </w:r>
      <w:r w:rsidRPr="00F70A77">
        <w:rPr>
          <w:rFonts w:ascii="Book Antiqua" w:hAnsi="Book Antiqua" w:cs="Times New Roman"/>
          <w:b/>
          <w:sz w:val="24"/>
          <w:szCs w:val="24"/>
          <w:u w:val="single"/>
        </w:rPr>
        <w:t>THE CAPITAL REQUIREMENTS DIRECTIVE</w:t>
      </w:r>
      <w:r>
        <w:rPr>
          <w:rFonts w:ascii="Book Antiqua" w:hAnsi="Book Antiqua" w:cs="Times New Roman"/>
          <w:b/>
          <w:sz w:val="24"/>
          <w:szCs w:val="24"/>
          <w:u w:val="single"/>
        </w:rPr>
        <w:t xml:space="preserve"> IV (“CRD IV”)</w:t>
      </w:r>
    </w:p>
    <w:p w14:paraId="631BC067" w14:textId="77777777" w:rsidR="00390F62" w:rsidRPr="00F70A77" w:rsidRDefault="00390F62" w:rsidP="00390F62">
      <w:pPr>
        <w:spacing w:line="360" w:lineRule="auto"/>
        <w:jc w:val="both"/>
        <w:rPr>
          <w:rFonts w:ascii="Book Antiqua" w:hAnsi="Book Antiqua" w:cs="Times New Roman"/>
          <w:sz w:val="24"/>
          <w:szCs w:val="24"/>
        </w:rPr>
      </w:pPr>
    </w:p>
    <w:p w14:paraId="3AB113E6" w14:textId="77777777" w:rsidR="00390F62" w:rsidRPr="00F70A77" w:rsidRDefault="00390F62" w:rsidP="00390F62">
      <w:pPr>
        <w:spacing w:line="360" w:lineRule="auto"/>
        <w:jc w:val="both"/>
        <w:rPr>
          <w:rFonts w:ascii="Book Antiqua" w:hAnsi="Book Antiqua" w:cs="Times New Roman"/>
          <w:sz w:val="24"/>
          <w:szCs w:val="24"/>
        </w:rPr>
      </w:pPr>
      <w:r w:rsidRPr="00F70A77">
        <w:rPr>
          <w:rFonts w:ascii="Book Antiqua" w:hAnsi="Book Antiqua" w:cs="Times New Roman"/>
          <w:b/>
          <w:sz w:val="24"/>
          <w:szCs w:val="24"/>
          <w:u w:val="single"/>
        </w:rPr>
        <w:t xml:space="preserve">A. </w:t>
      </w:r>
      <w:r>
        <w:rPr>
          <w:rFonts w:ascii="Book Antiqua" w:hAnsi="Book Antiqua" w:cs="Times New Roman"/>
          <w:b/>
          <w:sz w:val="24"/>
          <w:szCs w:val="24"/>
          <w:u w:val="single"/>
        </w:rPr>
        <w:t xml:space="preserve">CRD IV and </w:t>
      </w:r>
      <w:proofErr w:type="spellStart"/>
      <w:r>
        <w:rPr>
          <w:rFonts w:ascii="Book Antiqua" w:hAnsi="Book Antiqua" w:cs="Times New Roman"/>
          <w:b/>
          <w:sz w:val="24"/>
          <w:szCs w:val="24"/>
          <w:u w:val="single"/>
        </w:rPr>
        <w:t>Passporting</w:t>
      </w:r>
      <w:proofErr w:type="spellEnd"/>
    </w:p>
    <w:p w14:paraId="36552849"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bookmarkStart w:id="11" w:name="_Ref345536130"/>
      <w:r w:rsidRPr="00F70A77">
        <w:rPr>
          <w:rFonts w:ascii="Book Antiqua" w:hAnsi="Book Antiqua" w:cs="Times New Roman"/>
          <w:sz w:val="24"/>
          <w:szCs w:val="24"/>
        </w:rPr>
        <w:t>The Capital Requirements Directive IV (“</w:t>
      </w:r>
      <w:r w:rsidRPr="00F70A77">
        <w:rPr>
          <w:rFonts w:ascii="Book Antiqua" w:hAnsi="Book Antiqua" w:cs="Times New Roman"/>
          <w:b/>
          <w:sz w:val="24"/>
          <w:szCs w:val="24"/>
        </w:rPr>
        <w:t>CRD IV</w:t>
      </w:r>
      <w:r w:rsidRPr="00F70A77">
        <w:rPr>
          <w:rFonts w:ascii="Book Antiqua" w:hAnsi="Book Antiqua" w:cs="Times New Roman"/>
          <w:sz w:val="24"/>
          <w:szCs w:val="24"/>
        </w:rPr>
        <w:t xml:space="preserve">”) is </w:t>
      </w:r>
      <w:proofErr w:type="gramStart"/>
      <w:r w:rsidRPr="00F70A77">
        <w:rPr>
          <w:rFonts w:ascii="Book Antiqua" w:hAnsi="Book Antiqua" w:cs="Times New Roman"/>
          <w:sz w:val="24"/>
          <w:szCs w:val="24"/>
        </w:rPr>
        <w:t>an</w:t>
      </w:r>
      <w:proofErr w:type="gramEnd"/>
      <w:r w:rsidRPr="00F70A77">
        <w:rPr>
          <w:rFonts w:ascii="Book Antiqua" w:hAnsi="Book Antiqua" w:cs="Times New Roman"/>
          <w:sz w:val="24"/>
          <w:szCs w:val="24"/>
        </w:rPr>
        <w:t xml:space="preserve"> EU legislative package covering prudential rules for banks, building societies and investment firms.  It consists of two separate pieces of legislation:</w:t>
      </w:r>
      <w:bookmarkEnd w:id="11"/>
    </w:p>
    <w:p w14:paraId="7BF7482A" w14:textId="77777777" w:rsidR="00390F62" w:rsidRPr="005B7ACE" w:rsidRDefault="00390F62" w:rsidP="00390F62">
      <w:pPr>
        <w:pStyle w:val="ListParagraph"/>
        <w:numPr>
          <w:ilvl w:val="1"/>
          <w:numId w:val="36"/>
        </w:numPr>
        <w:spacing w:line="360" w:lineRule="auto"/>
        <w:ind w:left="1134" w:hanging="567"/>
        <w:contextualSpacing w:val="0"/>
        <w:jc w:val="both"/>
        <w:rPr>
          <w:rFonts w:ascii="Book Antiqua" w:hAnsi="Book Antiqua" w:cs="Times New Roman"/>
          <w:sz w:val="24"/>
          <w:szCs w:val="24"/>
        </w:rPr>
      </w:pPr>
      <w:r w:rsidRPr="00853022">
        <w:rPr>
          <w:rFonts w:ascii="Book Antiqua" w:hAnsi="Book Antiqua" w:cs="Times New Roman"/>
          <w:sz w:val="24"/>
          <w:szCs w:val="24"/>
        </w:rPr>
        <w:t>Capital Requirements Directive (2013/36/EU) (“</w:t>
      </w:r>
      <w:r w:rsidRPr="00853022">
        <w:rPr>
          <w:rFonts w:ascii="Book Antiqua" w:hAnsi="Book Antiqua" w:cs="Times New Roman"/>
          <w:b/>
          <w:sz w:val="24"/>
          <w:szCs w:val="24"/>
        </w:rPr>
        <w:t>CRD</w:t>
      </w:r>
      <w:r w:rsidRPr="00853022">
        <w:rPr>
          <w:rFonts w:ascii="Book Antiqua" w:hAnsi="Book Antiqua" w:cs="Times New Roman"/>
          <w:sz w:val="24"/>
          <w:szCs w:val="24"/>
        </w:rPr>
        <w:t xml:space="preserve">”), which must be (and </w:t>
      </w:r>
      <w:r>
        <w:rPr>
          <w:rFonts w:ascii="Book Antiqua" w:hAnsi="Book Antiqua" w:cs="Times New Roman"/>
          <w:sz w:val="24"/>
          <w:szCs w:val="24"/>
        </w:rPr>
        <w:t xml:space="preserve">in the UK </w:t>
      </w:r>
      <w:r w:rsidRPr="00853022">
        <w:rPr>
          <w:rFonts w:ascii="Book Antiqua" w:hAnsi="Book Antiqua" w:cs="Times New Roman"/>
          <w:sz w:val="24"/>
          <w:szCs w:val="24"/>
        </w:rPr>
        <w:t>has been) implemented through national law; and</w:t>
      </w:r>
    </w:p>
    <w:p w14:paraId="589876AE" w14:textId="77777777" w:rsidR="00390F62" w:rsidRPr="005B7ACE" w:rsidRDefault="00390F62" w:rsidP="00390F62">
      <w:pPr>
        <w:pStyle w:val="ListParagraph"/>
        <w:numPr>
          <w:ilvl w:val="1"/>
          <w:numId w:val="36"/>
        </w:numPr>
        <w:spacing w:line="360" w:lineRule="auto"/>
        <w:ind w:left="1134" w:hanging="567"/>
        <w:contextualSpacing w:val="0"/>
        <w:jc w:val="both"/>
        <w:rPr>
          <w:rFonts w:ascii="Book Antiqua" w:hAnsi="Book Antiqua" w:cs="Times New Roman"/>
          <w:sz w:val="24"/>
          <w:szCs w:val="24"/>
        </w:rPr>
      </w:pPr>
      <w:r w:rsidRPr="00853022">
        <w:rPr>
          <w:rFonts w:ascii="Book Antiqua" w:hAnsi="Book Antiqua" w:cs="Times New Roman"/>
          <w:sz w:val="24"/>
          <w:szCs w:val="24"/>
        </w:rPr>
        <w:t>Capital Requirements Regulation (575/2013) (“</w:t>
      </w:r>
      <w:r w:rsidRPr="00853022">
        <w:rPr>
          <w:rFonts w:ascii="Book Antiqua" w:hAnsi="Book Antiqua" w:cs="Times New Roman"/>
          <w:b/>
          <w:sz w:val="24"/>
          <w:szCs w:val="24"/>
        </w:rPr>
        <w:t>CRR</w:t>
      </w:r>
      <w:r w:rsidRPr="00853022">
        <w:rPr>
          <w:rFonts w:ascii="Book Antiqua" w:hAnsi="Book Antiqua" w:cs="Times New Roman"/>
          <w:sz w:val="24"/>
          <w:szCs w:val="24"/>
        </w:rPr>
        <w:t xml:space="preserve">”), which is directly applicable to firms across the EU. </w:t>
      </w:r>
    </w:p>
    <w:p w14:paraId="6C0DE220"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CRD IV is intended to implement the Basel III agreement in the EU.</w:t>
      </w:r>
      <w:r w:rsidRPr="00F70A77">
        <w:rPr>
          <w:rStyle w:val="FootnoteReference"/>
          <w:rFonts w:ascii="Book Antiqua" w:hAnsi="Book Antiqua" w:cs="Times New Roman"/>
          <w:sz w:val="24"/>
          <w:szCs w:val="24"/>
        </w:rPr>
        <w:footnoteReference w:id="114"/>
      </w:r>
      <w:r w:rsidRPr="00F70A77">
        <w:rPr>
          <w:rFonts w:ascii="Book Antiqua" w:hAnsi="Book Antiqua" w:cs="Times New Roman"/>
          <w:sz w:val="24"/>
          <w:szCs w:val="24"/>
        </w:rPr>
        <w:t xml:space="preserve">  This includes enhanced requirements for, inter alia, the quality and quantity of capital, a basis for new liquidity and leverage requirements, new rules for counterparty risk, and new macro-prudential standards.</w:t>
      </w:r>
    </w:p>
    <w:p w14:paraId="6BA8DB8F"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Annex I to the CRD sets outs 15 types of </w:t>
      </w:r>
      <w:proofErr w:type="gramStart"/>
      <w:r w:rsidRPr="00F70A77">
        <w:rPr>
          <w:rFonts w:ascii="Book Antiqua" w:hAnsi="Book Antiqua" w:cs="Times New Roman"/>
          <w:sz w:val="24"/>
          <w:szCs w:val="24"/>
        </w:rPr>
        <w:t>activit</w:t>
      </w:r>
      <w:r>
        <w:rPr>
          <w:rFonts w:ascii="Book Antiqua" w:hAnsi="Book Antiqua" w:cs="Times New Roman"/>
          <w:sz w:val="24"/>
          <w:szCs w:val="24"/>
        </w:rPr>
        <w:t>y</w:t>
      </w:r>
      <w:r w:rsidRPr="00F70A77">
        <w:rPr>
          <w:rFonts w:ascii="Book Antiqua" w:hAnsi="Book Antiqua" w:cs="Times New Roman"/>
          <w:sz w:val="24"/>
          <w:szCs w:val="24"/>
        </w:rPr>
        <w:t xml:space="preserve"> which</w:t>
      </w:r>
      <w:proofErr w:type="gramEnd"/>
      <w:r w:rsidRPr="00F70A77">
        <w:rPr>
          <w:rFonts w:ascii="Book Antiqua" w:hAnsi="Book Antiqua" w:cs="Times New Roman"/>
          <w:sz w:val="24"/>
          <w:szCs w:val="24"/>
        </w:rPr>
        <w:t xml:space="preserve"> can be </w:t>
      </w:r>
      <w:proofErr w:type="spellStart"/>
      <w:r w:rsidRPr="00F70A77">
        <w:rPr>
          <w:rFonts w:ascii="Book Antiqua" w:hAnsi="Book Antiqua" w:cs="Times New Roman"/>
          <w:sz w:val="24"/>
          <w:szCs w:val="24"/>
        </w:rPr>
        <w:t>passported</w:t>
      </w:r>
      <w:proofErr w:type="spellEnd"/>
      <w:r w:rsidRPr="00F70A77">
        <w:rPr>
          <w:rFonts w:ascii="Book Antiqua" w:hAnsi="Book Antiqua" w:cs="Times New Roman"/>
          <w:sz w:val="24"/>
          <w:szCs w:val="24"/>
        </w:rPr>
        <w:t xml:space="preserve"> throughout the EU.  Examples include deposit taking and lending (which includes consumer credit). </w:t>
      </w:r>
      <w:r>
        <w:rPr>
          <w:rFonts w:ascii="Book Antiqua" w:hAnsi="Book Antiqua" w:cs="Times New Roman"/>
          <w:sz w:val="24"/>
          <w:szCs w:val="24"/>
        </w:rPr>
        <w:t xml:space="preserve"> This Chapter considers the CRD regime as it impacts upon the ability of firms to make use of </w:t>
      </w:r>
      <w:proofErr w:type="spellStart"/>
      <w:r>
        <w:rPr>
          <w:rFonts w:ascii="Book Antiqua" w:hAnsi="Book Antiqua" w:cs="Times New Roman"/>
          <w:sz w:val="24"/>
          <w:szCs w:val="24"/>
        </w:rPr>
        <w:t>passporting</w:t>
      </w:r>
      <w:proofErr w:type="spellEnd"/>
      <w:r>
        <w:rPr>
          <w:rFonts w:ascii="Book Antiqua" w:hAnsi="Book Antiqua" w:cs="Times New Roman"/>
          <w:sz w:val="24"/>
          <w:szCs w:val="24"/>
        </w:rPr>
        <w:t xml:space="preserve"> arrangements.</w:t>
      </w:r>
    </w:p>
    <w:p w14:paraId="47FBF98E"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The provisions of the CRD which specifically address the ability to passport are as follows:</w:t>
      </w:r>
      <w:r w:rsidRPr="00F70A77">
        <w:rPr>
          <w:rStyle w:val="FootnoteReference"/>
          <w:rFonts w:ascii="Book Antiqua" w:hAnsi="Book Antiqua" w:cs="Times New Roman"/>
          <w:sz w:val="24"/>
          <w:szCs w:val="24"/>
        </w:rPr>
        <w:footnoteReference w:id="115"/>
      </w:r>
    </w:p>
    <w:p w14:paraId="28A19920" w14:textId="77777777" w:rsidR="00390F62" w:rsidRPr="005B7ACE" w:rsidRDefault="00390F62" w:rsidP="00390F62">
      <w:pPr>
        <w:pStyle w:val="ListParagraph"/>
        <w:numPr>
          <w:ilvl w:val="1"/>
          <w:numId w:val="36"/>
        </w:numPr>
        <w:spacing w:line="360" w:lineRule="auto"/>
        <w:ind w:left="1134" w:hanging="567"/>
        <w:contextualSpacing w:val="0"/>
        <w:jc w:val="both"/>
        <w:rPr>
          <w:rFonts w:ascii="Book Antiqua" w:hAnsi="Book Antiqua" w:cs="Times New Roman"/>
          <w:sz w:val="24"/>
          <w:szCs w:val="24"/>
        </w:rPr>
      </w:pPr>
      <w:r w:rsidRPr="00853022">
        <w:rPr>
          <w:rFonts w:ascii="Book Antiqua" w:hAnsi="Book Antiqua" w:cs="Times New Roman"/>
          <w:sz w:val="24"/>
          <w:szCs w:val="24"/>
        </w:rPr>
        <w:t>Title III, ‘</w:t>
      </w:r>
      <w:r w:rsidRPr="005B7ACE">
        <w:rPr>
          <w:rFonts w:ascii="Book Antiqua" w:hAnsi="Book Antiqua" w:cs="Times New Roman"/>
          <w:i/>
          <w:sz w:val="24"/>
          <w:szCs w:val="24"/>
        </w:rPr>
        <w:t>Requirements For Access To The Activity Of Credit Institutions</w:t>
      </w:r>
      <w:r w:rsidRPr="00853022">
        <w:rPr>
          <w:rFonts w:ascii="Book Antiqua" w:hAnsi="Book Antiqua" w:cs="Times New Roman"/>
          <w:sz w:val="24"/>
          <w:szCs w:val="24"/>
        </w:rPr>
        <w:t>’;</w:t>
      </w:r>
      <w:r w:rsidRPr="00F70A77">
        <w:rPr>
          <w:rStyle w:val="FootnoteReference"/>
          <w:rFonts w:ascii="Book Antiqua" w:hAnsi="Book Antiqua" w:cs="Times New Roman"/>
          <w:sz w:val="24"/>
          <w:szCs w:val="24"/>
        </w:rPr>
        <w:footnoteReference w:id="116"/>
      </w:r>
      <w:r w:rsidRPr="00853022">
        <w:rPr>
          <w:rFonts w:ascii="Book Antiqua" w:hAnsi="Book Antiqua" w:cs="Times New Roman"/>
          <w:sz w:val="24"/>
          <w:szCs w:val="24"/>
        </w:rPr>
        <w:t xml:space="preserve">  </w:t>
      </w:r>
    </w:p>
    <w:p w14:paraId="5A7C209D" w14:textId="77777777" w:rsidR="00390F62" w:rsidRPr="005B7ACE" w:rsidRDefault="00390F62" w:rsidP="00390F62">
      <w:pPr>
        <w:pStyle w:val="ListParagraph"/>
        <w:numPr>
          <w:ilvl w:val="1"/>
          <w:numId w:val="36"/>
        </w:numPr>
        <w:spacing w:line="360" w:lineRule="auto"/>
        <w:ind w:left="1134" w:hanging="567"/>
        <w:contextualSpacing w:val="0"/>
        <w:jc w:val="both"/>
        <w:rPr>
          <w:rFonts w:ascii="Book Antiqua" w:hAnsi="Book Antiqua" w:cs="Times New Roman"/>
          <w:sz w:val="24"/>
          <w:szCs w:val="24"/>
        </w:rPr>
      </w:pPr>
      <w:r w:rsidRPr="00853022">
        <w:rPr>
          <w:rFonts w:ascii="Book Antiqua" w:hAnsi="Book Antiqua" w:cs="Times New Roman"/>
          <w:sz w:val="24"/>
          <w:szCs w:val="24"/>
        </w:rPr>
        <w:lastRenderedPageBreak/>
        <w:t>Title IV:  ‘</w:t>
      </w:r>
      <w:r w:rsidRPr="005B7ACE">
        <w:rPr>
          <w:rFonts w:ascii="Book Antiqua" w:hAnsi="Book Antiqua" w:cs="Times New Roman"/>
          <w:i/>
          <w:sz w:val="24"/>
          <w:szCs w:val="24"/>
        </w:rPr>
        <w:t>Provisions Concerning The Freedom Of Establishment And The Freedom To Provide Services</w:t>
      </w:r>
      <w:r w:rsidRPr="00853022">
        <w:rPr>
          <w:rFonts w:ascii="Book Antiqua" w:hAnsi="Book Antiqua" w:cs="Times New Roman"/>
          <w:sz w:val="24"/>
          <w:szCs w:val="24"/>
        </w:rPr>
        <w:t>.’</w:t>
      </w:r>
      <w:r w:rsidRPr="00F70A77">
        <w:rPr>
          <w:rStyle w:val="FootnoteReference"/>
          <w:rFonts w:ascii="Book Antiqua" w:hAnsi="Book Antiqua" w:cs="Times New Roman"/>
          <w:sz w:val="24"/>
          <w:szCs w:val="24"/>
        </w:rPr>
        <w:footnoteReference w:id="117"/>
      </w:r>
    </w:p>
    <w:p w14:paraId="66FC0585" w14:textId="77777777" w:rsidR="00390F62" w:rsidRPr="007C6F09" w:rsidRDefault="00390F62" w:rsidP="00390F62">
      <w:pPr>
        <w:pStyle w:val="ListParagraph"/>
        <w:spacing w:line="360" w:lineRule="auto"/>
        <w:contextualSpacing w:val="0"/>
        <w:jc w:val="both"/>
      </w:pPr>
      <w:r>
        <w:rPr>
          <w:rFonts w:ascii="Book Antiqua" w:hAnsi="Book Antiqua" w:cs="Times New Roman"/>
          <w:sz w:val="24"/>
          <w:szCs w:val="24"/>
        </w:rPr>
        <w:t>We address each in turn.</w:t>
      </w:r>
    </w:p>
    <w:p w14:paraId="6D6C9B07" w14:textId="77777777" w:rsidR="00390F62" w:rsidRPr="005B7ACE" w:rsidRDefault="00390F62" w:rsidP="00390F62">
      <w:pPr>
        <w:pStyle w:val="ListParagraph"/>
        <w:numPr>
          <w:ilvl w:val="0"/>
          <w:numId w:val="37"/>
        </w:numPr>
        <w:spacing w:line="360" w:lineRule="auto"/>
        <w:ind w:left="567" w:hanging="567"/>
        <w:contextualSpacing w:val="0"/>
        <w:rPr>
          <w:rFonts w:ascii="Book Antiqua" w:hAnsi="Book Antiqua" w:cs="Times New Roman"/>
          <w:sz w:val="24"/>
          <w:szCs w:val="24"/>
        </w:rPr>
      </w:pPr>
      <w:r w:rsidRPr="00853022">
        <w:rPr>
          <w:rFonts w:ascii="Book Antiqua" w:hAnsi="Book Antiqua" w:cs="Times New Roman"/>
          <w:b/>
          <w:i/>
          <w:sz w:val="24"/>
          <w:szCs w:val="24"/>
        </w:rPr>
        <w:t>Title III: Access Requirements</w:t>
      </w:r>
    </w:p>
    <w:p w14:paraId="7A8441F7"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At the core of the access requirements is </w:t>
      </w:r>
      <w:r>
        <w:rPr>
          <w:rFonts w:ascii="Book Antiqua" w:hAnsi="Book Antiqua" w:cs="Times New Roman"/>
          <w:sz w:val="24"/>
          <w:szCs w:val="24"/>
        </w:rPr>
        <w:t>A</w:t>
      </w:r>
      <w:r w:rsidRPr="00F70A77">
        <w:rPr>
          <w:rFonts w:ascii="Book Antiqua" w:hAnsi="Book Antiqua" w:cs="Times New Roman"/>
          <w:sz w:val="24"/>
          <w:szCs w:val="24"/>
        </w:rPr>
        <w:t xml:space="preserve">rticle 8, which specifies that credit institutions need to be authorised by a Member State before commencing the activity specified in Annex I. </w:t>
      </w:r>
    </w:p>
    <w:p w14:paraId="3EE3AC9F" w14:textId="77777777" w:rsidR="00390F62" w:rsidRPr="005B7ACE" w:rsidRDefault="00390F62" w:rsidP="00390F62">
      <w:pPr>
        <w:pStyle w:val="ListParagraph"/>
        <w:numPr>
          <w:ilvl w:val="0"/>
          <w:numId w:val="36"/>
        </w:numPr>
        <w:spacing w:line="360" w:lineRule="auto"/>
        <w:ind w:left="567" w:hanging="567"/>
        <w:contextualSpacing w:val="0"/>
        <w:rPr>
          <w:rFonts w:ascii="Book Antiqua" w:hAnsi="Book Antiqua" w:cs="Times New Roman"/>
          <w:sz w:val="24"/>
          <w:szCs w:val="24"/>
        </w:rPr>
      </w:pPr>
      <w:r w:rsidRPr="00F70A77">
        <w:rPr>
          <w:rFonts w:ascii="Book Antiqua" w:hAnsi="Book Antiqua" w:cs="Times New Roman"/>
          <w:sz w:val="24"/>
          <w:szCs w:val="24"/>
        </w:rPr>
        <w:t>Article 17 provides that:</w:t>
      </w:r>
    </w:p>
    <w:p w14:paraId="3F622E66" w14:textId="77777777" w:rsidR="00390F62" w:rsidRPr="007C6F09" w:rsidRDefault="00390F62" w:rsidP="00390F62">
      <w:pPr>
        <w:pStyle w:val="ListParagraph"/>
        <w:spacing w:line="360" w:lineRule="auto"/>
        <w:ind w:left="851"/>
        <w:contextualSpacing w:val="0"/>
        <w:jc w:val="both"/>
      </w:pPr>
      <w:r w:rsidRPr="00F70A77">
        <w:rPr>
          <w:rFonts w:ascii="Book Antiqua" w:hAnsi="Book Antiqua" w:cs="Times New Roman"/>
          <w:sz w:val="24"/>
          <w:szCs w:val="24"/>
        </w:rPr>
        <w:t>“</w:t>
      </w:r>
      <w:r w:rsidRPr="005B7ACE">
        <w:rPr>
          <w:rFonts w:ascii="Book Antiqua" w:hAnsi="Book Antiqua" w:cs="Times New Roman"/>
          <w:i/>
          <w:sz w:val="24"/>
          <w:szCs w:val="24"/>
        </w:rPr>
        <w:t>Host Member States shall not require authorisation or endowment capital for branches of credit institutions authorised in other Member States</w:t>
      </w:r>
      <w:r w:rsidRPr="00F70A77">
        <w:rPr>
          <w:rFonts w:ascii="Book Antiqua" w:hAnsi="Book Antiqua" w:cs="Times New Roman"/>
          <w:sz w:val="24"/>
          <w:szCs w:val="24"/>
        </w:rPr>
        <w:t>.”</w:t>
      </w:r>
    </w:p>
    <w:p w14:paraId="349AC257"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Hence </w:t>
      </w:r>
      <w:r>
        <w:rPr>
          <w:rFonts w:ascii="Book Antiqua" w:hAnsi="Book Antiqua" w:cs="Times New Roman"/>
          <w:sz w:val="24"/>
          <w:szCs w:val="24"/>
        </w:rPr>
        <w:t>A</w:t>
      </w:r>
      <w:r w:rsidRPr="00F70A77">
        <w:rPr>
          <w:rFonts w:ascii="Book Antiqua" w:hAnsi="Book Antiqua" w:cs="Times New Roman"/>
          <w:sz w:val="24"/>
          <w:szCs w:val="24"/>
        </w:rPr>
        <w:t xml:space="preserve">rticle 17 provides a dispensation from the need to obtain authorisation in other Member States, when authorisation has already been given under article 8 by the home Member State.  From a purely commercial perspective, the fact that the branch does not have to be separately capitalised is also a </w:t>
      </w:r>
      <w:r>
        <w:rPr>
          <w:rFonts w:ascii="Book Antiqua" w:hAnsi="Book Antiqua" w:cs="Times New Roman"/>
          <w:sz w:val="24"/>
          <w:szCs w:val="24"/>
        </w:rPr>
        <w:t>significant</w:t>
      </w:r>
      <w:r w:rsidRPr="00F70A77">
        <w:rPr>
          <w:rFonts w:ascii="Book Antiqua" w:hAnsi="Book Antiqua" w:cs="Times New Roman"/>
          <w:sz w:val="24"/>
          <w:szCs w:val="24"/>
        </w:rPr>
        <w:t xml:space="preserve"> advantage.</w:t>
      </w:r>
    </w:p>
    <w:p w14:paraId="301E61CB" w14:textId="77777777" w:rsidR="00390F62" w:rsidRPr="005B7ACE" w:rsidRDefault="00390F62" w:rsidP="00390F62">
      <w:pPr>
        <w:pStyle w:val="ListParagraph"/>
        <w:numPr>
          <w:ilvl w:val="0"/>
          <w:numId w:val="37"/>
        </w:numPr>
        <w:spacing w:line="360" w:lineRule="auto"/>
        <w:ind w:left="567" w:hanging="567"/>
        <w:contextualSpacing w:val="0"/>
        <w:rPr>
          <w:rFonts w:ascii="Book Antiqua" w:hAnsi="Book Antiqua" w:cs="Times New Roman"/>
          <w:sz w:val="24"/>
          <w:szCs w:val="24"/>
        </w:rPr>
      </w:pPr>
      <w:r w:rsidRPr="00853022">
        <w:rPr>
          <w:rFonts w:ascii="Book Antiqua" w:hAnsi="Book Antiqua" w:cs="Times New Roman"/>
          <w:b/>
          <w:i/>
          <w:sz w:val="24"/>
          <w:szCs w:val="24"/>
        </w:rPr>
        <w:t>Title IV: Freedom Of Establishment And Freedom To Provide Services</w:t>
      </w:r>
    </w:p>
    <w:p w14:paraId="189A6896" w14:textId="77777777" w:rsidR="00390F62" w:rsidRPr="00F70A77" w:rsidRDefault="00390F62" w:rsidP="00390F62">
      <w:pPr>
        <w:pStyle w:val="ListParagraph"/>
        <w:numPr>
          <w:ilvl w:val="0"/>
          <w:numId w:val="36"/>
        </w:numPr>
        <w:spacing w:line="360" w:lineRule="auto"/>
        <w:ind w:left="567" w:hanging="567"/>
        <w:contextualSpacing w:val="0"/>
        <w:rPr>
          <w:rFonts w:ascii="Book Antiqua" w:hAnsi="Book Antiqua" w:cs="Times New Roman"/>
          <w:sz w:val="24"/>
          <w:szCs w:val="24"/>
        </w:rPr>
      </w:pPr>
      <w:r w:rsidRPr="00F70A77">
        <w:rPr>
          <w:rFonts w:ascii="Book Antiqua" w:hAnsi="Book Antiqua" w:cs="Times New Roman"/>
          <w:sz w:val="24"/>
          <w:szCs w:val="24"/>
        </w:rPr>
        <w:t>Article 33 provides:</w:t>
      </w:r>
    </w:p>
    <w:p w14:paraId="76AB1309" w14:textId="77777777" w:rsidR="00390F62" w:rsidRPr="007C6F09" w:rsidRDefault="00390F62" w:rsidP="00390F62">
      <w:pPr>
        <w:pStyle w:val="ListParagraph"/>
        <w:spacing w:line="360" w:lineRule="auto"/>
        <w:ind w:left="851"/>
        <w:contextualSpacing w:val="0"/>
        <w:jc w:val="both"/>
      </w:pPr>
      <w:r w:rsidRPr="00F70A77">
        <w:rPr>
          <w:rFonts w:ascii="Book Antiqua" w:hAnsi="Book Antiqua" w:cs="Times New Roman"/>
          <w:sz w:val="24"/>
          <w:szCs w:val="24"/>
        </w:rPr>
        <w:t>“</w:t>
      </w:r>
      <w:r w:rsidRPr="005B7ACE">
        <w:rPr>
          <w:rFonts w:ascii="Book Antiqua" w:hAnsi="Book Antiqua" w:cs="Times New Roman"/>
          <w:i/>
          <w:sz w:val="24"/>
          <w:szCs w:val="24"/>
        </w:rPr>
        <w:t>Member States shall provide that the activities listed in Annex I may be carried out within their territories…either by establishing a branch or by providing services, by any credit institution authorised and supervised by the competent authorities of another Member State, provided that such activities are covered by the authorisation</w:t>
      </w:r>
      <w:r w:rsidRPr="00F70A77">
        <w:rPr>
          <w:rFonts w:ascii="Book Antiqua" w:hAnsi="Book Antiqua" w:cs="Times New Roman"/>
          <w:sz w:val="24"/>
          <w:szCs w:val="24"/>
        </w:rPr>
        <w:t>.”</w:t>
      </w:r>
    </w:p>
    <w:p w14:paraId="1C064A97"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The effect of article 33 is that if a credit institution is authorised in one member state, it has the freedom to establish a branch in, or to provide services to, any other EEA member state without prior approval.  All that the credit institution </w:t>
      </w:r>
      <w:r w:rsidRPr="00F70A77">
        <w:rPr>
          <w:rFonts w:ascii="Book Antiqua" w:hAnsi="Book Antiqua" w:cs="Times New Roman"/>
          <w:sz w:val="24"/>
          <w:szCs w:val="24"/>
        </w:rPr>
        <w:lastRenderedPageBreak/>
        <w:t>has to do, if it wishes to exercise this freedom</w:t>
      </w:r>
      <w:r>
        <w:rPr>
          <w:rFonts w:ascii="Book Antiqua" w:hAnsi="Book Antiqua" w:cs="Times New Roman"/>
          <w:sz w:val="24"/>
          <w:szCs w:val="24"/>
        </w:rPr>
        <w:t>,</w:t>
      </w:r>
      <w:r w:rsidRPr="00F70A77">
        <w:rPr>
          <w:rFonts w:ascii="Book Antiqua" w:hAnsi="Book Antiqua" w:cs="Times New Roman"/>
          <w:sz w:val="24"/>
          <w:szCs w:val="24"/>
        </w:rPr>
        <w:t xml:space="preserve"> is to notify the host country supervisor.</w:t>
      </w:r>
      <w:r w:rsidRPr="00F70A77">
        <w:rPr>
          <w:rStyle w:val="FootnoteReference"/>
          <w:rFonts w:ascii="Book Antiqua" w:hAnsi="Book Antiqua" w:cs="Times New Roman"/>
          <w:sz w:val="24"/>
          <w:szCs w:val="24"/>
        </w:rPr>
        <w:footnoteReference w:id="118"/>
      </w:r>
    </w:p>
    <w:p w14:paraId="38684252" w14:textId="77777777" w:rsidR="00390F62"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The ability to establish a branch is important from a commercial perspective as it enables banks to avoid the costly and burdensome route of having to set up a separately capitalised subsidiary.  Subsidiaries are separate legal entities subject to host country licensing and supervision that have to meet capital requirements on a solo basis.  Using </w:t>
      </w:r>
      <w:proofErr w:type="spellStart"/>
      <w:r w:rsidRPr="00F70A77">
        <w:rPr>
          <w:rFonts w:ascii="Book Antiqua" w:hAnsi="Book Antiqua" w:cs="Times New Roman"/>
          <w:sz w:val="24"/>
          <w:szCs w:val="24"/>
        </w:rPr>
        <w:t>passporting</w:t>
      </w:r>
      <w:proofErr w:type="spellEnd"/>
      <w:r w:rsidRPr="00F70A77">
        <w:rPr>
          <w:rFonts w:ascii="Book Antiqua" w:hAnsi="Book Antiqua" w:cs="Times New Roman"/>
          <w:sz w:val="24"/>
          <w:szCs w:val="24"/>
        </w:rPr>
        <w:t xml:space="preserve"> rights to operate branches across the EU is therefore more time and cost effective.</w:t>
      </w:r>
    </w:p>
    <w:p w14:paraId="12C517DD" w14:textId="77777777" w:rsidR="00390F62" w:rsidRPr="00853022" w:rsidRDefault="00390F62" w:rsidP="00390F62">
      <w:pPr>
        <w:spacing w:line="360" w:lineRule="auto"/>
        <w:jc w:val="both"/>
        <w:rPr>
          <w:rFonts w:ascii="Book Antiqua" w:hAnsi="Book Antiqua" w:cs="Times New Roman"/>
          <w:sz w:val="24"/>
          <w:szCs w:val="24"/>
        </w:rPr>
      </w:pPr>
    </w:p>
    <w:p w14:paraId="2E31251F" w14:textId="77777777" w:rsidR="00390F62" w:rsidRPr="00F70A77" w:rsidRDefault="00390F62" w:rsidP="00390F62">
      <w:pPr>
        <w:spacing w:line="360" w:lineRule="auto"/>
        <w:jc w:val="both"/>
        <w:rPr>
          <w:rFonts w:ascii="Book Antiqua" w:hAnsi="Book Antiqua" w:cs="Times New Roman"/>
          <w:sz w:val="24"/>
          <w:szCs w:val="24"/>
        </w:rPr>
      </w:pPr>
      <w:r w:rsidRPr="00853022">
        <w:rPr>
          <w:rFonts w:ascii="Book Antiqua" w:hAnsi="Book Antiqua" w:cs="Times New Roman"/>
          <w:b/>
          <w:sz w:val="24"/>
          <w:szCs w:val="24"/>
          <w:u w:val="single"/>
        </w:rPr>
        <w:t>B. Third Country Access</w:t>
      </w:r>
    </w:p>
    <w:p w14:paraId="2E69D3B4"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On</w:t>
      </w:r>
      <w:r>
        <w:rPr>
          <w:rFonts w:ascii="Book Antiqua" w:hAnsi="Book Antiqua" w:cs="Times New Roman"/>
          <w:sz w:val="24"/>
          <w:szCs w:val="24"/>
        </w:rPr>
        <w:t xml:space="preserve"> </w:t>
      </w:r>
      <w:proofErr w:type="spellStart"/>
      <w:r>
        <w:rPr>
          <w:rFonts w:ascii="Book Antiqua" w:hAnsi="Book Antiqua" w:cs="Times New Roman"/>
          <w:sz w:val="24"/>
          <w:szCs w:val="24"/>
        </w:rPr>
        <w:t>Brexit</w:t>
      </w:r>
      <w:proofErr w:type="spellEnd"/>
      <w:r w:rsidRPr="00F70A77">
        <w:rPr>
          <w:rFonts w:ascii="Book Antiqua" w:hAnsi="Book Antiqua" w:cs="Times New Roman"/>
          <w:sz w:val="24"/>
          <w:szCs w:val="24"/>
        </w:rPr>
        <w:t>, UK banks</w:t>
      </w:r>
      <w:r>
        <w:rPr>
          <w:rFonts w:ascii="Book Antiqua" w:hAnsi="Book Antiqua" w:cs="Times New Roman"/>
          <w:sz w:val="24"/>
          <w:szCs w:val="24"/>
        </w:rPr>
        <w:t xml:space="preserve"> would (subject to arrangements which preserve the existing position) </w:t>
      </w:r>
      <w:r w:rsidRPr="00F70A77">
        <w:rPr>
          <w:rFonts w:ascii="Book Antiqua" w:hAnsi="Book Antiqua" w:cs="Times New Roman"/>
          <w:sz w:val="24"/>
          <w:szCs w:val="24"/>
        </w:rPr>
        <w:t xml:space="preserve">lose their </w:t>
      </w:r>
      <w:proofErr w:type="spellStart"/>
      <w:r w:rsidRPr="00F70A77">
        <w:rPr>
          <w:rFonts w:ascii="Book Antiqua" w:hAnsi="Book Antiqua" w:cs="Times New Roman"/>
          <w:sz w:val="24"/>
          <w:szCs w:val="24"/>
        </w:rPr>
        <w:t>passporting</w:t>
      </w:r>
      <w:proofErr w:type="spellEnd"/>
      <w:r w:rsidRPr="00F70A77">
        <w:rPr>
          <w:rFonts w:ascii="Book Antiqua" w:hAnsi="Book Antiqua" w:cs="Times New Roman"/>
          <w:sz w:val="24"/>
          <w:szCs w:val="24"/>
        </w:rPr>
        <w:t xml:space="preserve"> rights.  However, the CRD does not provide any framework for third country access to the single market, even for wholesale banking.   This is hugely problematic.</w:t>
      </w:r>
    </w:p>
    <w:p w14:paraId="2CEB7822" w14:textId="77777777" w:rsidR="00390F62" w:rsidRPr="00F70A77"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Paragraph 23 of the recital to the CRD, provides as follows:</w:t>
      </w:r>
    </w:p>
    <w:p w14:paraId="606C7EBA" w14:textId="77777777" w:rsidR="00390F62" w:rsidRPr="00F70A77" w:rsidRDefault="00390F62" w:rsidP="00390F62">
      <w:pPr>
        <w:pStyle w:val="ListParagraph"/>
        <w:spacing w:line="360" w:lineRule="auto"/>
        <w:ind w:left="851"/>
        <w:contextualSpacing w:val="0"/>
        <w:jc w:val="both"/>
      </w:pPr>
      <w:r w:rsidRPr="005B7ACE">
        <w:rPr>
          <w:rFonts w:ascii="Book Antiqua" w:hAnsi="Book Antiqua" w:cs="Times New Roman"/>
          <w:i/>
          <w:sz w:val="24"/>
          <w:szCs w:val="24"/>
        </w:rPr>
        <w:t xml:space="preserve">“…The Union should be able to conclude agreements with third countries providing for the application of rules which accord such branches the same treatment throughout its territory. </w:t>
      </w:r>
      <w:r w:rsidRPr="00385C32">
        <w:rPr>
          <w:rFonts w:ascii="Book Antiqua" w:hAnsi="Book Antiqua" w:cs="Times New Roman"/>
          <w:b/>
          <w:i/>
          <w:sz w:val="24"/>
          <w:szCs w:val="24"/>
        </w:rPr>
        <w:t>Branches of credit institutions authorised in third countries should not enjoy the freedom to provide services or the freedom of establishment</w:t>
      </w:r>
      <w:r w:rsidRPr="00F70A77">
        <w:rPr>
          <w:rFonts w:ascii="Book Antiqua" w:hAnsi="Book Antiqua" w:cs="Times New Roman"/>
          <w:b/>
          <w:i/>
          <w:sz w:val="24"/>
          <w:szCs w:val="24"/>
        </w:rPr>
        <w:t xml:space="preserve"> in Member States other than those in which they are established</w:t>
      </w:r>
      <w:r w:rsidRPr="00F70A77">
        <w:rPr>
          <w:rFonts w:ascii="Book Antiqua" w:hAnsi="Book Antiqua" w:cs="Times New Roman"/>
          <w:sz w:val="24"/>
          <w:szCs w:val="24"/>
        </w:rPr>
        <w:t>.”  (Emphasis added).</w:t>
      </w:r>
    </w:p>
    <w:p w14:paraId="3D467F43"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It follows from this that</w:t>
      </w:r>
      <w:r>
        <w:rPr>
          <w:rFonts w:ascii="Book Antiqua" w:hAnsi="Book Antiqua" w:cs="Times New Roman"/>
          <w:sz w:val="24"/>
          <w:szCs w:val="24"/>
        </w:rPr>
        <w:t>,</w:t>
      </w:r>
      <w:r w:rsidRPr="00F70A77">
        <w:rPr>
          <w:rFonts w:ascii="Book Antiqua" w:hAnsi="Book Antiqua" w:cs="Times New Roman"/>
          <w:sz w:val="24"/>
          <w:szCs w:val="24"/>
        </w:rPr>
        <w:t xml:space="preserve"> whilst the EU can theoretically enter into arrangements with third countries under CRD, those arrangements will not create any </w:t>
      </w:r>
      <w:proofErr w:type="spellStart"/>
      <w:r w:rsidRPr="00F70A77">
        <w:rPr>
          <w:rFonts w:ascii="Book Antiqua" w:hAnsi="Book Antiqua" w:cs="Times New Roman"/>
          <w:sz w:val="24"/>
          <w:szCs w:val="24"/>
        </w:rPr>
        <w:t>passporting</w:t>
      </w:r>
      <w:proofErr w:type="spellEnd"/>
      <w:r w:rsidRPr="00F70A77">
        <w:rPr>
          <w:rFonts w:ascii="Book Antiqua" w:hAnsi="Book Antiqua" w:cs="Times New Roman"/>
          <w:sz w:val="24"/>
          <w:szCs w:val="24"/>
        </w:rPr>
        <w:t xml:space="preserve"> rights, with the effect that a third country credit institution would therefore need to be separately authorised in each of the Member States in which it wished to do business.</w:t>
      </w:r>
    </w:p>
    <w:p w14:paraId="548CF113"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lastRenderedPageBreak/>
        <w:t>Other than the requirement that a Member State cannot treat a branch of an institution that has its head office in a third country more favourably than a branch of an institution that has its head office in the EU (article 47(1) CRD) the CRD does not provide any specific requirements as to the treatment of credit institutions of third country. Nor does the CRD specify the conditions that a third country credit institution would have to meet in order to offer cross-border services into the EU.    As such, member states are, in principle, free to determine themselves how to apply authorisation and other regulatory requirements to non-EU credit institutions that want to provide services to the EU, either through cross-border activity or by establishing a subsidiary.</w:t>
      </w:r>
    </w:p>
    <w:p w14:paraId="3E094789"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At present therefore, if, post-</w:t>
      </w:r>
      <w:proofErr w:type="spellStart"/>
      <w:r w:rsidRPr="00F70A77">
        <w:rPr>
          <w:rFonts w:ascii="Book Antiqua" w:hAnsi="Book Antiqua" w:cs="Times New Roman"/>
          <w:sz w:val="24"/>
          <w:szCs w:val="24"/>
        </w:rPr>
        <w:t>Brexit</w:t>
      </w:r>
      <w:proofErr w:type="spellEnd"/>
      <w:r w:rsidRPr="00F70A77">
        <w:rPr>
          <w:rFonts w:ascii="Book Antiqua" w:hAnsi="Book Antiqua" w:cs="Times New Roman"/>
          <w:sz w:val="24"/>
          <w:szCs w:val="24"/>
        </w:rPr>
        <w:t xml:space="preserve">, a bank with its head office in the UK wanted to offer cross-border services, it would have to comply with the local law of each </w:t>
      </w:r>
      <w:r>
        <w:rPr>
          <w:rFonts w:ascii="Book Antiqua" w:hAnsi="Book Antiqua" w:cs="Times New Roman"/>
          <w:sz w:val="24"/>
          <w:szCs w:val="24"/>
        </w:rPr>
        <w:t>M</w:t>
      </w:r>
      <w:r w:rsidRPr="00F70A77">
        <w:rPr>
          <w:rFonts w:ascii="Book Antiqua" w:hAnsi="Book Antiqua" w:cs="Times New Roman"/>
          <w:sz w:val="24"/>
          <w:szCs w:val="24"/>
        </w:rPr>
        <w:t xml:space="preserve">ember </w:t>
      </w:r>
      <w:r>
        <w:rPr>
          <w:rFonts w:ascii="Book Antiqua" w:hAnsi="Book Antiqua" w:cs="Times New Roman"/>
          <w:sz w:val="24"/>
          <w:szCs w:val="24"/>
        </w:rPr>
        <w:t>S</w:t>
      </w:r>
      <w:r w:rsidRPr="00F70A77">
        <w:rPr>
          <w:rFonts w:ascii="Book Antiqua" w:hAnsi="Book Antiqua" w:cs="Times New Roman"/>
          <w:sz w:val="24"/>
          <w:szCs w:val="24"/>
        </w:rPr>
        <w:t>tate into which it intended to offer its products or services.  National laws may vary as to what kind of licensing is required to provide cross-border services, what capital requirements are applicable and whether the licence would be available in relation to services provided to all categories of client.</w:t>
      </w:r>
    </w:p>
    <w:p w14:paraId="050A2040"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Article 47(3) of Title VI (‘Relations With Third Countries’) provides as material:</w:t>
      </w:r>
    </w:p>
    <w:p w14:paraId="7083E3AE" w14:textId="77777777" w:rsidR="00390F62" w:rsidRPr="007C6F09" w:rsidRDefault="00390F62" w:rsidP="00390F62">
      <w:pPr>
        <w:pStyle w:val="ListParagraph"/>
        <w:spacing w:line="360" w:lineRule="auto"/>
        <w:ind w:left="851"/>
        <w:contextualSpacing w:val="0"/>
        <w:jc w:val="both"/>
      </w:pPr>
      <w:r>
        <w:rPr>
          <w:rFonts w:ascii="Book Antiqua" w:hAnsi="Book Antiqua" w:cs="Times New Roman"/>
          <w:sz w:val="24"/>
          <w:szCs w:val="24"/>
        </w:rPr>
        <w:t>“</w:t>
      </w:r>
      <w:r w:rsidRPr="005B7ACE">
        <w:rPr>
          <w:rFonts w:ascii="Book Antiqua" w:hAnsi="Book Antiqua" w:cs="Times New Roman"/>
          <w:i/>
          <w:sz w:val="24"/>
          <w:szCs w:val="24"/>
        </w:rPr>
        <w:t>The Union may, through agreements concluded with one or more third countries, agree to apply provisions which accord to branches of a credit institution having its head office in a third country identical treatment throughout the territory of the Union</w:t>
      </w:r>
      <w:r>
        <w:rPr>
          <w:rFonts w:ascii="Book Antiqua" w:hAnsi="Book Antiqua" w:cs="Times New Roman"/>
          <w:i/>
          <w:sz w:val="24"/>
          <w:szCs w:val="24"/>
        </w:rPr>
        <w:t>”</w:t>
      </w:r>
      <w:r w:rsidRPr="00F70A77">
        <w:rPr>
          <w:rFonts w:ascii="Book Antiqua" w:hAnsi="Book Antiqua" w:cs="Times New Roman"/>
          <w:sz w:val="24"/>
          <w:szCs w:val="24"/>
        </w:rPr>
        <w:t>.</w:t>
      </w:r>
    </w:p>
    <w:p w14:paraId="0EC27F67" w14:textId="77777777" w:rsidR="00390F62" w:rsidRPr="00F70A77"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Accordingly article 47(3) at least conceives of the possibility that the EU and the third country could agree requirements as regards the establishment of branches that would apply uniformly across the EU.   Hence, this may be one means by which the UK and the EU could reach agreement to preserve – in some form – </w:t>
      </w:r>
      <w:proofErr w:type="spellStart"/>
      <w:r w:rsidRPr="00F70A77">
        <w:rPr>
          <w:rFonts w:ascii="Book Antiqua" w:hAnsi="Book Antiqua" w:cs="Times New Roman"/>
          <w:sz w:val="24"/>
          <w:szCs w:val="24"/>
        </w:rPr>
        <w:t>passporting</w:t>
      </w:r>
      <w:proofErr w:type="spellEnd"/>
      <w:r w:rsidRPr="00F70A77">
        <w:rPr>
          <w:rFonts w:ascii="Book Antiqua" w:hAnsi="Book Antiqua" w:cs="Times New Roman"/>
          <w:sz w:val="24"/>
          <w:szCs w:val="24"/>
        </w:rPr>
        <w:t xml:space="preserve"> rights for banks located in the UK.  However, beyond this generic statement, there is no guidance in the CRD either as to how the agreement should be reached or the substance of the requirements.</w:t>
      </w:r>
    </w:p>
    <w:p w14:paraId="569E4931" w14:textId="77777777" w:rsidR="00390F62" w:rsidRPr="00F70A77" w:rsidRDefault="00390F62" w:rsidP="00390F62">
      <w:pPr>
        <w:spacing w:line="360" w:lineRule="auto"/>
        <w:jc w:val="both"/>
        <w:rPr>
          <w:rFonts w:ascii="Book Antiqua" w:hAnsi="Book Antiqua" w:cs="Times New Roman"/>
          <w:sz w:val="24"/>
          <w:szCs w:val="24"/>
        </w:rPr>
      </w:pPr>
    </w:p>
    <w:p w14:paraId="116AAE2D" w14:textId="77777777" w:rsidR="00390F62" w:rsidRPr="005B7ACE" w:rsidRDefault="00390F62" w:rsidP="00390F62">
      <w:pPr>
        <w:spacing w:line="360" w:lineRule="auto"/>
        <w:rPr>
          <w:rFonts w:ascii="Book Antiqua" w:hAnsi="Book Antiqua" w:cs="Times New Roman"/>
          <w:sz w:val="24"/>
          <w:szCs w:val="24"/>
        </w:rPr>
      </w:pPr>
      <w:r>
        <w:rPr>
          <w:rFonts w:ascii="Book Antiqua" w:hAnsi="Book Antiqua" w:cs="Times New Roman"/>
          <w:b/>
          <w:sz w:val="24"/>
          <w:szCs w:val="24"/>
          <w:u w:val="single"/>
        </w:rPr>
        <w:lastRenderedPageBreak/>
        <w:t>C. Equivalence</w:t>
      </w:r>
    </w:p>
    <w:p w14:paraId="44A8B1DD"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The equivalence provisions under CRD IV are extremely limited, dealing essentially with prudential requirements.  This is of no relevance to the critical issue of whether or not, post-</w:t>
      </w:r>
      <w:proofErr w:type="spellStart"/>
      <w:r w:rsidRPr="00F70A77">
        <w:rPr>
          <w:rFonts w:ascii="Book Antiqua" w:hAnsi="Book Antiqua" w:cs="Times New Roman"/>
          <w:sz w:val="24"/>
          <w:szCs w:val="24"/>
        </w:rPr>
        <w:t>Brexit</w:t>
      </w:r>
      <w:proofErr w:type="spellEnd"/>
      <w:r w:rsidRPr="00F70A77">
        <w:rPr>
          <w:rFonts w:ascii="Book Antiqua" w:hAnsi="Book Antiqua" w:cs="Times New Roman"/>
          <w:sz w:val="24"/>
          <w:szCs w:val="24"/>
        </w:rPr>
        <w:t>, a UK</w:t>
      </w:r>
      <w:r>
        <w:rPr>
          <w:rFonts w:ascii="Book Antiqua" w:hAnsi="Book Antiqua" w:cs="Times New Roman"/>
          <w:sz w:val="24"/>
          <w:szCs w:val="24"/>
        </w:rPr>
        <w:t>-</w:t>
      </w:r>
      <w:r w:rsidRPr="00F70A77">
        <w:rPr>
          <w:rFonts w:ascii="Book Antiqua" w:hAnsi="Book Antiqua" w:cs="Times New Roman"/>
          <w:sz w:val="24"/>
          <w:szCs w:val="24"/>
        </w:rPr>
        <w:t>authorised credit institution will be able to offer cross-border services to the whole o</w:t>
      </w:r>
      <w:r>
        <w:rPr>
          <w:rFonts w:ascii="Book Antiqua" w:hAnsi="Book Antiqua" w:cs="Times New Roman"/>
          <w:sz w:val="24"/>
          <w:szCs w:val="24"/>
        </w:rPr>
        <w:t>f</w:t>
      </w:r>
      <w:r w:rsidRPr="00F70A77">
        <w:rPr>
          <w:rFonts w:ascii="Book Antiqua" w:hAnsi="Book Antiqua" w:cs="Times New Roman"/>
          <w:sz w:val="24"/>
          <w:szCs w:val="24"/>
        </w:rPr>
        <w:t xml:space="preserve"> the EU, and/or establish a branch there without seeking authorisation in each Member State.  The effect of this is that</w:t>
      </w:r>
      <w:r>
        <w:rPr>
          <w:rFonts w:ascii="Book Antiqua" w:hAnsi="Book Antiqua" w:cs="Times New Roman"/>
          <w:sz w:val="24"/>
          <w:szCs w:val="24"/>
        </w:rPr>
        <w:t>,</w:t>
      </w:r>
      <w:r w:rsidRPr="00F70A77">
        <w:rPr>
          <w:rFonts w:ascii="Book Antiqua" w:hAnsi="Book Antiqua" w:cs="Times New Roman"/>
          <w:sz w:val="24"/>
          <w:szCs w:val="24"/>
        </w:rPr>
        <w:t xml:space="preserve"> based on the current drafting of CRD IV, there is no </w:t>
      </w:r>
      <w:proofErr w:type="spellStart"/>
      <w:r w:rsidRPr="00F70A77">
        <w:rPr>
          <w:rFonts w:ascii="Book Antiqua" w:hAnsi="Book Antiqua" w:cs="Times New Roman"/>
          <w:sz w:val="24"/>
          <w:szCs w:val="24"/>
        </w:rPr>
        <w:t>fallback</w:t>
      </w:r>
      <w:proofErr w:type="spellEnd"/>
      <w:r w:rsidRPr="00F70A77">
        <w:rPr>
          <w:rFonts w:ascii="Book Antiqua" w:hAnsi="Book Antiqua" w:cs="Times New Roman"/>
          <w:sz w:val="24"/>
          <w:szCs w:val="24"/>
        </w:rPr>
        <w:t xml:space="preserve"> position in the event of a loss of </w:t>
      </w:r>
      <w:proofErr w:type="spellStart"/>
      <w:r w:rsidRPr="00F70A77">
        <w:rPr>
          <w:rFonts w:ascii="Book Antiqua" w:hAnsi="Book Antiqua" w:cs="Times New Roman"/>
          <w:sz w:val="24"/>
          <w:szCs w:val="24"/>
        </w:rPr>
        <w:t>passporting</w:t>
      </w:r>
      <w:proofErr w:type="spellEnd"/>
      <w:r w:rsidRPr="00F70A77">
        <w:rPr>
          <w:rFonts w:ascii="Book Antiqua" w:hAnsi="Book Antiqua" w:cs="Times New Roman"/>
          <w:sz w:val="24"/>
          <w:szCs w:val="24"/>
        </w:rPr>
        <w:t xml:space="preserve"> rights.</w:t>
      </w:r>
    </w:p>
    <w:p w14:paraId="16BC49FF"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For the sake of completeness, it is as well to note the equivalence provisions that do exist in the CRD and the CRR, and the impact on UK institutions if no equivalence determination is forthcoming in this area.</w:t>
      </w:r>
    </w:p>
    <w:p w14:paraId="506F85E4"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In the CRD, article 127(1) specifies that where the parent undertaking of an institution in the Member State is outside the EU, the authorities must assess the third country supervisory authorities to decide whether they carry out consolidated supervision equivalent to that of the CRD and CRR.  If no equivalence determination is forthcoming, article 127(3) provides that an EU bank</w:t>
      </w:r>
      <w:r>
        <w:rPr>
          <w:rFonts w:ascii="Book Antiqua" w:hAnsi="Book Antiqua" w:cs="Times New Roman"/>
          <w:sz w:val="24"/>
          <w:szCs w:val="24"/>
        </w:rPr>
        <w:t>,</w:t>
      </w:r>
      <w:r w:rsidRPr="00F70A77">
        <w:rPr>
          <w:rFonts w:ascii="Book Antiqua" w:hAnsi="Book Antiqua" w:cs="Times New Roman"/>
          <w:sz w:val="24"/>
          <w:szCs w:val="24"/>
        </w:rPr>
        <w:t xml:space="preserve"> which has a UK parent which is a financial holding company or mixed financial holding company, would either be subject to the full requirements of CRD IV, or alternatively, the EU authority can apply “</w:t>
      </w:r>
      <w:r w:rsidRPr="005B7ACE">
        <w:rPr>
          <w:rFonts w:ascii="Book Antiqua" w:hAnsi="Book Antiqua" w:cs="Times New Roman"/>
          <w:i/>
          <w:sz w:val="24"/>
          <w:szCs w:val="24"/>
        </w:rPr>
        <w:t>other appropriate supervisory techniques</w:t>
      </w:r>
      <w:r w:rsidRPr="00F70A77">
        <w:rPr>
          <w:rFonts w:ascii="Book Antiqua" w:hAnsi="Book Antiqua" w:cs="Times New Roman"/>
          <w:sz w:val="24"/>
          <w:szCs w:val="24"/>
        </w:rPr>
        <w:t xml:space="preserve">” which also achieve the objectives of consolidated supervision, as determined by the national laws of the </w:t>
      </w:r>
      <w:r>
        <w:rPr>
          <w:rFonts w:ascii="Book Antiqua" w:hAnsi="Book Antiqua" w:cs="Times New Roman"/>
          <w:sz w:val="24"/>
          <w:szCs w:val="24"/>
        </w:rPr>
        <w:t>M</w:t>
      </w:r>
      <w:r w:rsidRPr="00F70A77">
        <w:rPr>
          <w:rFonts w:ascii="Book Antiqua" w:hAnsi="Book Antiqua" w:cs="Times New Roman"/>
          <w:sz w:val="24"/>
          <w:szCs w:val="24"/>
        </w:rPr>
        <w:t xml:space="preserve">ember </w:t>
      </w:r>
      <w:r>
        <w:rPr>
          <w:rFonts w:ascii="Book Antiqua" w:hAnsi="Book Antiqua" w:cs="Times New Roman"/>
          <w:sz w:val="24"/>
          <w:szCs w:val="24"/>
        </w:rPr>
        <w:t>S</w:t>
      </w:r>
      <w:r w:rsidRPr="00F70A77">
        <w:rPr>
          <w:rFonts w:ascii="Book Antiqua" w:hAnsi="Book Antiqua" w:cs="Times New Roman"/>
          <w:sz w:val="24"/>
          <w:szCs w:val="24"/>
        </w:rPr>
        <w:t>tate where the EU bank is established, which may include requiring the establishment of a holding company in the EU.  The latter requirement would be an additional burden for non-EU banks.</w:t>
      </w:r>
    </w:p>
    <w:p w14:paraId="617055E4" w14:textId="77777777" w:rsidR="00390F62" w:rsidRPr="00F70A77"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The CRR equivalence provisions are limited to the prudential treatment of certain types of credit risk exposures to entities located in non-EU countries.   The effect of article 107(3) of the CRR is that if the prudential supervisory and regulatory requirements in third countries are deemed at least equivalent to those applied in the EU, then certain categories of exposure to third country banks can benefit from the same (often more favourable) treatment applied to </w:t>
      </w:r>
      <w:r w:rsidRPr="00F70A77">
        <w:rPr>
          <w:rFonts w:ascii="Book Antiqua" w:hAnsi="Book Antiqua" w:cs="Times New Roman"/>
          <w:sz w:val="24"/>
          <w:szCs w:val="24"/>
        </w:rPr>
        <w:lastRenderedPageBreak/>
        <w:t>materially identical exposures from EU institutions, meaning lower risk weights would be applicable.</w:t>
      </w:r>
      <w:r w:rsidRPr="00F70A77">
        <w:rPr>
          <w:rStyle w:val="FootnoteReference"/>
          <w:rFonts w:ascii="Book Antiqua" w:hAnsi="Book Antiqua" w:cs="Times New Roman"/>
          <w:sz w:val="24"/>
          <w:szCs w:val="24"/>
        </w:rPr>
        <w:footnoteReference w:id="119"/>
      </w:r>
      <w:r w:rsidRPr="00F70A77">
        <w:rPr>
          <w:rStyle w:val="FootnoteReference"/>
          <w:rFonts w:ascii="Book Antiqua" w:hAnsi="Book Antiqua" w:cs="Times New Roman"/>
          <w:sz w:val="24"/>
          <w:szCs w:val="24"/>
        </w:rPr>
        <w:t xml:space="preserve"> </w:t>
      </w:r>
      <w:r w:rsidRPr="00F70A77">
        <w:rPr>
          <w:rFonts w:ascii="Book Antiqua" w:hAnsi="Book Antiqua" w:cs="Times New Roman"/>
          <w:sz w:val="24"/>
          <w:szCs w:val="24"/>
        </w:rPr>
        <w:t xml:space="preserve"> The effect of no equivalence determination under the CRR would mean that third country institutions would be subject to higher capital requirements.</w:t>
      </w:r>
    </w:p>
    <w:p w14:paraId="2D9BF268" w14:textId="77777777" w:rsidR="00390F62" w:rsidRPr="00F70A77" w:rsidRDefault="00390F62" w:rsidP="00390F62">
      <w:pPr>
        <w:spacing w:line="360" w:lineRule="auto"/>
        <w:jc w:val="both"/>
        <w:rPr>
          <w:rFonts w:ascii="Book Antiqua" w:hAnsi="Book Antiqua" w:cs="Times New Roman"/>
          <w:sz w:val="24"/>
          <w:szCs w:val="24"/>
        </w:rPr>
      </w:pPr>
    </w:p>
    <w:p w14:paraId="52AF4CCF" w14:textId="77777777" w:rsidR="00390F62" w:rsidRPr="00F70A77" w:rsidRDefault="00390F62" w:rsidP="00390F62">
      <w:pPr>
        <w:spacing w:line="360" w:lineRule="auto"/>
        <w:jc w:val="both"/>
        <w:rPr>
          <w:rFonts w:ascii="Book Antiqua" w:hAnsi="Book Antiqua" w:cs="Times New Roman"/>
          <w:sz w:val="24"/>
          <w:szCs w:val="24"/>
        </w:rPr>
      </w:pPr>
      <w:r>
        <w:rPr>
          <w:rFonts w:ascii="Book Antiqua" w:hAnsi="Book Antiqua" w:cs="Times New Roman"/>
          <w:b/>
          <w:sz w:val="24"/>
          <w:szCs w:val="24"/>
          <w:u w:val="single"/>
        </w:rPr>
        <w:t xml:space="preserve">D. </w:t>
      </w:r>
      <w:r w:rsidRPr="00730EC6">
        <w:rPr>
          <w:rFonts w:ascii="Book Antiqua" w:hAnsi="Book Antiqua" w:cs="Times New Roman"/>
          <w:b/>
          <w:sz w:val="24"/>
          <w:szCs w:val="24"/>
          <w:u w:val="single"/>
        </w:rPr>
        <w:t>Conclusion</w:t>
      </w:r>
      <w:r>
        <w:rPr>
          <w:rFonts w:ascii="Book Antiqua" w:hAnsi="Book Antiqua" w:cs="Times New Roman"/>
          <w:b/>
          <w:sz w:val="24"/>
          <w:szCs w:val="24"/>
          <w:u w:val="single"/>
        </w:rPr>
        <w:t>s</w:t>
      </w:r>
    </w:p>
    <w:p w14:paraId="2A22708D"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In short, once the UK ceases to be a member of the EU, </w:t>
      </w:r>
      <w:r>
        <w:rPr>
          <w:rFonts w:ascii="Book Antiqua" w:hAnsi="Book Antiqua" w:cs="Times New Roman"/>
          <w:sz w:val="24"/>
          <w:szCs w:val="24"/>
        </w:rPr>
        <w:t xml:space="preserve">absent an agreement to retain </w:t>
      </w:r>
      <w:proofErr w:type="spellStart"/>
      <w:r>
        <w:rPr>
          <w:rFonts w:ascii="Book Antiqua" w:hAnsi="Book Antiqua" w:cs="Times New Roman"/>
          <w:sz w:val="24"/>
          <w:szCs w:val="24"/>
        </w:rPr>
        <w:t>passporting</w:t>
      </w:r>
      <w:proofErr w:type="spellEnd"/>
      <w:r>
        <w:rPr>
          <w:rFonts w:ascii="Book Antiqua" w:hAnsi="Book Antiqua" w:cs="Times New Roman"/>
          <w:sz w:val="24"/>
          <w:szCs w:val="24"/>
        </w:rPr>
        <w:t xml:space="preserve"> rights or some other tailored solution, </w:t>
      </w:r>
      <w:r w:rsidRPr="00F70A77">
        <w:rPr>
          <w:rFonts w:ascii="Book Antiqua" w:hAnsi="Book Antiqua" w:cs="Times New Roman"/>
          <w:sz w:val="24"/>
          <w:szCs w:val="24"/>
        </w:rPr>
        <w:t>a credit institution that wants to offer services such as deposit taking and lending will be required to obtain authorisation from each of the EU member states in which it wishes to do b</w:t>
      </w:r>
      <w:r>
        <w:rPr>
          <w:rFonts w:ascii="Book Antiqua" w:hAnsi="Book Antiqua" w:cs="Times New Roman"/>
          <w:sz w:val="24"/>
          <w:szCs w:val="24"/>
        </w:rPr>
        <w:t>usiness</w:t>
      </w:r>
      <w:r w:rsidRPr="00F70A77">
        <w:rPr>
          <w:rFonts w:ascii="Book Antiqua" w:hAnsi="Book Antiqua" w:cs="Times New Roman"/>
          <w:sz w:val="24"/>
          <w:szCs w:val="24"/>
        </w:rPr>
        <w:t xml:space="preserve">.  There is no equivalence regime in this respect.   </w:t>
      </w:r>
    </w:p>
    <w:p w14:paraId="0644926A"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Pr>
          <w:rFonts w:ascii="Book Antiqua" w:hAnsi="Book Antiqua" w:cs="Times New Roman"/>
          <w:sz w:val="24"/>
          <w:szCs w:val="24"/>
        </w:rPr>
        <w:t>W</w:t>
      </w:r>
      <w:r w:rsidRPr="00F70A77">
        <w:rPr>
          <w:rFonts w:ascii="Book Antiqua" w:hAnsi="Book Antiqua" w:cs="Times New Roman"/>
          <w:sz w:val="24"/>
          <w:szCs w:val="24"/>
        </w:rPr>
        <w:t>here institutions wish to have a physical presence in the EU, they may have to set up costly separately capitalised subsidiaries.    This has the potential to undermine the UK’s status (and particularly that of London) as a global financial centre.</w:t>
      </w:r>
      <w:r w:rsidRPr="00F70A77">
        <w:rPr>
          <w:rStyle w:val="FootnoteReference"/>
          <w:rFonts w:ascii="Book Antiqua" w:hAnsi="Book Antiqua" w:cs="Times New Roman"/>
          <w:sz w:val="24"/>
          <w:szCs w:val="24"/>
        </w:rPr>
        <w:t xml:space="preserve"> </w:t>
      </w:r>
      <w:r w:rsidRPr="00F70A77">
        <w:rPr>
          <w:rStyle w:val="FootnoteReference"/>
          <w:rFonts w:ascii="Book Antiqua" w:hAnsi="Book Antiqua" w:cs="Times New Roman"/>
          <w:sz w:val="24"/>
          <w:szCs w:val="24"/>
        </w:rPr>
        <w:footnoteReference w:id="120"/>
      </w:r>
    </w:p>
    <w:p w14:paraId="0FB1A109"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Accordingly, </w:t>
      </w:r>
      <w:r>
        <w:rPr>
          <w:rFonts w:ascii="Book Antiqua" w:hAnsi="Book Antiqua" w:cs="Times New Roman"/>
          <w:sz w:val="24"/>
          <w:szCs w:val="24"/>
        </w:rPr>
        <w:t xml:space="preserve">absent a specific UK solution, or </w:t>
      </w:r>
      <w:r w:rsidRPr="00F70A77">
        <w:rPr>
          <w:rFonts w:ascii="Book Antiqua" w:hAnsi="Book Antiqua" w:cs="Times New Roman"/>
          <w:sz w:val="24"/>
          <w:szCs w:val="24"/>
        </w:rPr>
        <w:t xml:space="preserve">unless CRD IV is amended so as to expressly incorporate a third country regime or the existing equivalence regime is extended, there is a real concern that institutions currently authorised by the PRA/FCA may seek to relocate some of their operations to an EU Member State in order to benefit from the </w:t>
      </w:r>
      <w:proofErr w:type="spellStart"/>
      <w:r w:rsidRPr="00F70A77">
        <w:rPr>
          <w:rFonts w:ascii="Book Antiqua" w:hAnsi="Book Antiqua" w:cs="Times New Roman"/>
          <w:sz w:val="24"/>
          <w:szCs w:val="24"/>
        </w:rPr>
        <w:t>passporting</w:t>
      </w:r>
      <w:proofErr w:type="spellEnd"/>
      <w:r w:rsidRPr="00F70A77">
        <w:rPr>
          <w:rFonts w:ascii="Book Antiqua" w:hAnsi="Book Antiqua" w:cs="Times New Roman"/>
          <w:sz w:val="24"/>
          <w:szCs w:val="24"/>
        </w:rPr>
        <w:t xml:space="preserve"> provisions under CRD IV.</w:t>
      </w:r>
    </w:p>
    <w:p w14:paraId="2C7B9669" w14:textId="77777777" w:rsidR="00390F62" w:rsidRPr="005B7ACE" w:rsidRDefault="00390F62" w:rsidP="00390F62">
      <w:pPr>
        <w:pStyle w:val="ListParagraph"/>
        <w:numPr>
          <w:ilvl w:val="0"/>
          <w:numId w:val="36"/>
        </w:numPr>
        <w:spacing w:line="360" w:lineRule="auto"/>
        <w:ind w:left="567" w:hanging="567"/>
        <w:contextualSpacing w:val="0"/>
        <w:jc w:val="both"/>
        <w:rPr>
          <w:rFonts w:ascii="Book Antiqua" w:hAnsi="Book Antiqua"/>
        </w:rPr>
      </w:pPr>
      <w:r w:rsidRPr="00F70A77">
        <w:rPr>
          <w:rFonts w:ascii="Book Antiqua" w:hAnsi="Book Antiqua" w:cs="Times New Roman"/>
          <w:sz w:val="24"/>
          <w:szCs w:val="24"/>
        </w:rPr>
        <w:t xml:space="preserve">Finally, it is also important to ensure that any </w:t>
      </w:r>
      <w:proofErr w:type="gramStart"/>
      <w:r w:rsidRPr="00F70A77">
        <w:rPr>
          <w:rFonts w:ascii="Book Antiqua" w:hAnsi="Book Antiqua" w:cs="Times New Roman"/>
          <w:sz w:val="24"/>
          <w:szCs w:val="24"/>
        </w:rPr>
        <w:t>agreement which takes effect upon the UK’s exit</w:t>
      </w:r>
      <w:proofErr w:type="gramEnd"/>
      <w:r w:rsidRPr="00F70A77">
        <w:rPr>
          <w:rFonts w:ascii="Book Antiqua" w:hAnsi="Book Antiqua" w:cs="Times New Roman"/>
          <w:sz w:val="24"/>
          <w:szCs w:val="24"/>
        </w:rPr>
        <w:t xml:space="preserve"> also sets out coherent transitional arrangements.   Ideally, institutions ought to be able to continue operating under their existing </w:t>
      </w:r>
      <w:r w:rsidRPr="00F70A77">
        <w:rPr>
          <w:rFonts w:ascii="Book Antiqua" w:hAnsi="Book Antiqua" w:cs="Times New Roman"/>
          <w:sz w:val="24"/>
          <w:szCs w:val="24"/>
        </w:rPr>
        <w:lastRenderedPageBreak/>
        <w:t>passports until a replacement arrangement is implemented or until they are fully authorised in another EU Member State.</w:t>
      </w:r>
    </w:p>
    <w:p w14:paraId="714393ED" w14:textId="3DB04161" w:rsidR="00390F62" w:rsidRDefault="00390F62">
      <w:pPr>
        <w:rPr>
          <w:rFonts w:ascii="Book Antiqua" w:hAnsi="Book Antiqua" w:cs="Times New Roman"/>
          <w:sz w:val="24"/>
          <w:szCs w:val="24"/>
        </w:rPr>
      </w:pPr>
      <w:r>
        <w:rPr>
          <w:rFonts w:ascii="Book Antiqua" w:hAnsi="Book Antiqua" w:cs="Times New Roman"/>
          <w:sz w:val="24"/>
          <w:szCs w:val="24"/>
        </w:rPr>
        <w:br w:type="page"/>
      </w:r>
    </w:p>
    <w:p w14:paraId="406CBC59" w14:textId="77777777" w:rsidR="009024BF" w:rsidRPr="00730EC6" w:rsidRDefault="009024BF" w:rsidP="00D55723">
      <w:pPr>
        <w:jc w:val="both"/>
        <w:rPr>
          <w:rFonts w:ascii="Book Antiqua" w:hAnsi="Book Antiqua" w:cs="Times New Roman"/>
          <w:b/>
          <w:sz w:val="24"/>
          <w:szCs w:val="24"/>
          <w:u w:val="single"/>
        </w:rPr>
      </w:pPr>
      <w:r>
        <w:rPr>
          <w:rFonts w:ascii="Book Antiqua" w:hAnsi="Book Antiqua" w:cs="Times New Roman"/>
          <w:b/>
          <w:sz w:val="24"/>
          <w:szCs w:val="24"/>
          <w:u w:val="single"/>
        </w:rPr>
        <w:lastRenderedPageBreak/>
        <w:t xml:space="preserve">CHAPTER 7 - </w:t>
      </w:r>
      <w:r w:rsidRPr="00730EC6">
        <w:rPr>
          <w:rFonts w:ascii="Book Antiqua" w:hAnsi="Book Antiqua" w:cs="Times New Roman"/>
          <w:b/>
          <w:sz w:val="24"/>
          <w:szCs w:val="24"/>
          <w:u w:val="single"/>
        </w:rPr>
        <w:t xml:space="preserve">CENTRAL COUNTERPARTIES AND TRADE REPOSITORIES UNDER </w:t>
      </w:r>
      <w:r>
        <w:rPr>
          <w:rFonts w:ascii="Book Antiqua" w:hAnsi="Book Antiqua" w:cs="Times New Roman"/>
          <w:b/>
          <w:sz w:val="24"/>
          <w:szCs w:val="24"/>
          <w:u w:val="single"/>
        </w:rPr>
        <w:t xml:space="preserve">THE </w:t>
      </w:r>
      <w:r w:rsidRPr="00730EC6">
        <w:rPr>
          <w:rFonts w:ascii="Book Antiqua" w:hAnsi="Book Antiqua" w:cs="Times New Roman"/>
          <w:b/>
          <w:sz w:val="24"/>
          <w:szCs w:val="24"/>
          <w:u w:val="single"/>
        </w:rPr>
        <w:t>EUROPEAN MARKET INFRASTRUCTURE REGULATION</w:t>
      </w:r>
    </w:p>
    <w:p w14:paraId="268281B8" w14:textId="77777777" w:rsidR="009024BF" w:rsidRPr="00F70A77" w:rsidRDefault="009024BF" w:rsidP="009024BF">
      <w:pPr>
        <w:spacing w:line="360" w:lineRule="auto"/>
        <w:jc w:val="both"/>
        <w:rPr>
          <w:rFonts w:ascii="Book Antiqua" w:hAnsi="Book Antiqua" w:cs="Times New Roman"/>
          <w:sz w:val="24"/>
          <w:szCs w:val="24"/>
        </w:rPr>
      </w:pPr>
    </w:p>
    <w:p w14:paraId="77B72C15" w14:textId="77777777" w:rsidR="009024BF" w:rsidRPr="00F70A77" w:rsidRDefault="009024BF" w:rsidP="009024BF">
      <w:pPr>
        <w:spacing w:line="360" w:lineRule="auto"/>
        <w:jc w:val="both"/>
        <w:rPr>
          <w:rFonts w:ascii="Book Antiqua" w:hAnsi="Book Antiqua" w:cs="Times New Roman"/>
          <w:sz w:val="24"/>
          <w:szCs w:val="24"/>
        </w:rPr>
      </w:pPr>
      <w:r w:rsidRPr="00730EC6">
        <w:rPr>
          <w:rFonts w:ascii="Book Antiqua" w:hAnsi="Book Antiqua" w:cs="Times New Roman"/>
          <w:b/>
          <w:sz w:val="24"/>
          <w:szCs w:val="24"/>
          <w:u w:val="single"/>
        </w:rPr>
        <w:t>A. What Is The European Market Infrastructure Regulation?</w:t>
      </w:r>
    </w:p>
    <w:p w14:paraId="49232354" w14:textId="77777777" w:rsidR="009024BF" w:rsidRPr="002B487F"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bookmarkStart w:id="12" w:name="_Ref345536193"/>
      <w:r w:rsidRPr="00F70A77">
        <w:rPr>
          <w:rFonts w:ascii="Book Antiqua" w:hAnsi="Book Antiqua" w:cs="Times New Roman"/>
          <w:sz w:val="24"/>
          <w:szCs w:val="24"/>
        </w:rPr>
        <w:t>The European Market Infrastructure Regulation on OTC derivatives, central counterparties and trade repositories</w:t>
      </w:r>
      <w:r w:rsidRPr="00F70A77">
        <w:rPr>
          <w:rStyle w:val="FootnoteReference"/>
          <w:rFonts w:ascii="Book Antiqua" w:hAnsi="Book Antiqua" w:cs="Times New Roman"/>
          <w:sz w:val="24"/>
          <w:szCs w:val="24"/>
        </w:rPr>
        <w:footnoteReference w:id="121"/>
      </w:r>
      <w:r w:rsidRPr="00F70A77">
        <w:rPr>
          <w:rFonts w:ascii="Book Antiqua" w:hAnsi="Book Antiqua" w:cs="Times New Roman"/>
          <w:sz w:val="24"/>
          <w:szCs w:val="24"/>
        </w:rPr>
        <w:t xml:space="preserve"> (‘</w:t>
      </w:r>
      <w:r w:rsidRPr="00F70A77">
        <w:rPr>
          <w:rFonts w:ascii="Book Antiqua" w:hAnsi="Book Antiqua" w:cs="Times New Roman"/>
          <w:b/>
          <w:sz w:val="24"/>
          <w:szCs w:val="24"/>
        </w:rPr>
        <w:t>EMIR</w:t>
      </w:r>
      <w:r w:rsidRPr="00F70A77">
        <w:rPr>
          <w:rFonts w:ascii="Book Antiqua" w:hAnsi="Book Antiqua" w:cs="Times New Roman"/>
          <w:sz w:val="24"/>
          <w:szCs w:val="24"/>
        </w:rPr>
        <w:t xml:space="preserve">’) </w:t>
      </w:r>
      <w:proofErr w:type="gramStart"/>
      <w:r w:rsidRPr="00F70A77">
        <w:rPr>
          <w:rFonts w:ascii="Book Antiqua" w:hAnsi="Book Antiqua" w:cs="Times New Roman"/>
          <w:sz w:val="24"/>
          <w:szCs w:val="24"/>
        </w:rPr>
        <w:t>imposes</w:t>
      </w:r>
      <w:proofErr w:type="gramEnd"/>
      <w:r w:rsidRPr="00F70A77">
        <w:rPr>
          <w:rFonts w:ascii="Book Antiqua" w:hAnsi="Book Antiqua" w:cs="Times New Roman"/>
          <w:sz w:val="24"/>
          <w:szCs w:val="24"/>
        </w:rPr>
        <w:t xml:space="preserve"> requirements to improve transparency and reduce the risks associated with the derivatives market.   As it is a </w:t>
      </w:r>
      <w:r>
        <w:rPr>
          <w:rFonts w:ascii="Book Antiqua" w:hAnsi="Book Antiqua" w:cs="Times New Roman"/>
          <w:sz w:val="24"/>
          <w:szCs w:val="24"/>
        </w:rPr>
        <w:t>R</w:t>
      </w:r>
      <w:r w:rsidRPr="00F70A77">
        <w:rPr>
          <w:rFonts w:ascii="Book Antiqua" w:hAnsi="Book Antiqua" w:cs="Times New Roman"/>
          <w:sz w:val="24"/>
          <w:szCs w:val="24"/>
        </w:rPr>
        <w:t>egulation, it is directly applicable in all Member States.</w:t>
      </w:r>
      <w:bookmarkEnd w:id="12"/>
    </w:p>
    <w:p w14:paraId="640F378A" w14:textId="77777777" w:rsidR="009024BF" w:rsidRPr="002B487F"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Pursuant to </w:t>
      </w:r>
      <w:r>
        <w:rPr>
          <w:rFonts w:ascii="Book Antiqua" w:hAnsi="Book Antiqua" w:cs="Times New Roman"/>
          <w:sz w:val="24"/>
          <w:szCs w:val="24"/>
        </w:rPr>
        <w:t>A</w:t>
      </w:r>
      <w:r w:rsidRPr="00F70A77">
        <w:rPr>
          <w:rFonts w:ascii="Book Antiqua" w:hAnsi="Book Antiqua" w:cs="Times New Roman"/>
          <w:sz w:val="24"/>
          <w:szCs w:val="24"/>
        </w:rPr>
        <w:t>rticle 14, once a Central Counterparty (‘</w:t>
      </w:r>
      <w:r w:rsidRPr="00DD71AD">
        <w:rPr>
          <w:rFonts w:ascii="Book Antiqua" w:hAnsi="Book Antiqua" w:cs="Times New Roman"/>
          <w:b/>
          <w:sz w:val="24"/>
          <w:szCs w:val="24"/>
        </w:rPr>
        <w:t>CC</w:t>
      </w:r>
      <w:r w:rsidRPr="00F70A77">
        <w:rPr>
          <w:rFonts w:ascii="Book Antiqua" w:hAnsi="Book Antiqua" w:cs="Times New Roman"/>
          <w:b/>
          <w:sz w:val="24"/>
          <w:szCs w:val="24"/>
        </w:rPr>
        <w:t>P</w:t>
      </w:r>
      <w:r w:rsidRPr="00F70A77">
        <w:rPr>
          <w:rFonts w:ascii="Book Antiqua" w:hAnsi="Book Antiqua" w:cs="Times New Roman"/>
          <w:sz w:val="24"/>
          <w:szCs w:val="24"/>
        </w:rPr>
        <w:t xml:space="preserve">’) is authorised by a Member State, that authorisation is effective for the entire EU.   As such, once the UK exits the EU, it will have the status of a </w:t>
      </w:r>
      <w:r>
        <w:rPr>
          <w:rFonts w:ascii="Book Antiqua" w:hAnsi="Book Antiqua" w:cs="Times New Roman"/>
          <w:sz w:val="24"/>
          <w:szCs w:val="24"/>
        </w:rPr>
        <w:t>“</w:t>
      </w:r>
      <w:r w:rsidRPr="00F70A77">
        <w:rPr>
          <w:rFonts w:ascii="Book Antiqua" w:hAnsi="Book Antiqua" w:cs="Times New Roman"/>
          <w:sz w:val="24"/>
          <w:szCs w:val="24"/>
        </w:rPr>
        <w:t>third country</w:t>
      </w:r>
      <w:r>
        <w:rPr>
          <w:rFonts w:ascii="Book Antiqua" w:hAnsi="Book Antiqua" w:cs="Times New Roman"/>
          <w:sz w:val="24"/>
          <w:szCs w:val="24"/>
        </w:rPr>
        <w:t>”</w:t>
      </w:r>
      <w:r w:rsidRPr="00F70A77">
        <w:rPr>
          <w:rFonts w:ascii="Book Antiqua" w:hAnsi="Book Antiqua" w:cs="Times New Roman"/>
          <w:sz w:val="24"/>
          <w:szCs w:val="24"/>
        </w:rPr>
        <w:t>; consequently, a CCP authorised by the UK regulator will not be recognised by the rest of the EU</w:t>
      </w:r>
      <w:r>
        <w:rPr>
          <w:rFonts w:ascii="Book Antiqua" w:hAnsi="Book Antiqua" w:cs="Times New Roman"/>
          <w:sz w:val="24"/>
          <w:szCs w:val="24"/>
        </w:rPr>
        <w:t>.</w:t>
      </w:r>
    </w:p>
    <w:p w14:paraId="36D283CC" w14:textId="77777777" w:rsidR="009024BF" w:rsidRPr="00F70A77"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However, Chapter 4 of EMIR contains equivalence provisions for third countries, with the effect that if equivalence is granted, there are passport-like rights for CCPs.</w:t>
      </w:r>
    </w:p>
    <w:p w14:paraId="4516FAB5" w14:textId="77777777" w:rsidR="009024BF" w:rsidRPr="00F70A77" w:rsidRDefault="009024BF" w:rsidP="009024BF">
      <w:pPr>
        <w:spacing w:line="360" w:lineRule="auto"/>
        <w:jc w:val="both"/>
        <w:rPr>
          <w:rFonts w:ascii="Book Antiqua" w:hAnsi="Book Antiqua" w:cs="Times New Roman"/>
          <w:sz w:val="24"/>
          <w:szCs w:val="24"/>
        </w:rPr>
      </w:pPr>
    </w:p>
    <w:p w14:paraId="1D9CC42D" w14:textId="77777777" w:rsidR="009024BF" w:rsidRPr="002B487F" w:rsidRDefault="009024BF" w:rsidP="009024BF">
      <w:pPr>
        <w:spacing w:line="360" w:lineRule="auto"/>
        <w:rPr>
          <w:rFonts w:ascii="Book Antiqua" w:hAnsi="Book Antiqua" w:cs="Times New Roman"/>
          <w:sz w:val="24"/>
          <w:szCs w:val="24"/>
        </w:rPr>
      </w:pPr>
      <w:r>
        <w:rPr>
          <w:rFonts w:ascii="Book Antiqua" w:hAnsi="Book Antiqua" w:cs="Times New Roman"/>
          <w:b/>
          <w:sz w:val="24"/>
          <w:szCs w:val="24"/>
          <w:u w:val="single"/>
        </w:rPr>
        <w:t xml:space="preserve">B. </w:t>
      </w:r>
      <w:r w:rsidRPr="00730EC6">
        <w:rPr>
          <w:rFonts w:ascii="Book Antiqua" w:hAnsi="Book Antiqua" w:cs="Times New Roman"/>
          <w:b/>
          <w:sz w:val="24"/>
          <w:szCs w:val="24"/>
          <w:u w:val="single"/>
        </w:rPr>
        <w:t>Equivalence Provisions - Central Counterparties</w:t>
      </w:r>
    </w:p>
    <w:p w14:paraId="221EC4B2" w14:textId="77777777" w:rsidR="009024BF" w:rsidRPr="002B487F"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Article 25</w:t>
      </w:r>
      <w:r>
        <w:rPr>
          <w:rFonts w:ascii="Book Antiqua" w:hAnsi="Book Antiqua" w:cs="Times New Roman"/>
          <w:sz w:val="24"/>
          <w:szCs w:val="24"/>
        </w:rPr>
        <w:t xml:space="preserve"> of EMIR</w:t>
      </w:r>
      <w:r w:rsidRPr="00F70A77">
        <w:rPr>
          <w:rFonts w:ascii="Book Antiqua" w:hAnsi="Book Antiqua" w:cs="Times New Roman"/>
          <w:sz w:val="24"/>
          <w:szCs w:val="24"/>
        </w:rPr>
        <w:t>, entitled ‘</w:t>
      </w:r>
      <w:r w:rsidRPr="005C442E">
        <w:rPr>
          <w:rFonts w:ascii="Book Antiqua" w:hAnsi="Book Antiqua" w:cs="Times New Roman"/>
          <w:i/>
          <w:sz w:val="24"/>
          <w:szCs w:val="24"/>
        </w:rPr>
        <w:t>Recognition of a third-country CCP</w:t>
      </w:r>
      <w:r w:rsidRPr="00F70A77">
        <w:rPr>
          <w:rFonts w:ascii="Book Antiqua" w:hAnsi="Book Antiqua" w:cs="Times New Roman"/>
          <w:sz w:val="24"/>
          <w:szCs w:val="24"/>
        </w:rPr>
        <w:t xml:space="preserve">’ provides that a third country CCP may provide clearing services to clearing members or trading venues established in the EU if that CCP is recognised by ESMA  (article 25(1)).  </w:t>
      </w:r>
    </w:p>
    <w:p w14:paraId="116CAC0C" w14:textId="77777777" w:rsidR="009024BF" w:rsidRPr="00F70A77"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As material, recognition by EMSA requires the following conditions to be satisfied:</w:t>
      </w:r>
    </w:p>
    <w:p w14:paraId="1110F180" w14:textId="77777777" w:rsidR="009024BF" w:rsidRDefault="009024BF" w:rsidP="009024BF">
      <w:pPr>
        <w:pStyle w:val="ListParagraph"/>
        <w:numPr>
          <w:ilvl w:val="0"/>
          <w:numId w:val="41"/>
        </w:numPr>
        <w:spacing w:line="360" w:lineRule="auto"/>
        <w:ind w:left="1134" w:hanging="567"/>
        <w:contextualSpacing w:val="0"/>
        <w:jc w:val="both"/>
        <w:rPr>
          <w:rFonts w:ascii="Book Antiqua" w:hAnsi="Book Antiqua" w:cs="Times New Roman"/>
          <w:sz w:val="24"/>
          <w:szCs w:val="24"/>
        </w:rPr>
      </w:pPr>
      <w:r w:rsidRPr="00F70A77">
        <w:rPr>
          <w:rFonts w:ascii="Book Antiqua" w:hAnsi="Book Antiqua" w:cs="Times New Roman"/>
          <w:sz w:val="24"/>
          <w:szCs w:val="24"/>
        </w:rPr>
        <w:t>The Commission has determined that CCPs authorised in a third country must comply with legally binding requirements which are equivalent to the requirements laid down in EMIR;</w:t>
      </w:r>
    </w:p>
    <w:p w14:paraId="520D6443" w14:textId="77777777" w:rsidR="009024BF" w:rsidRDefault="009024BF" w:rsidP="009024BF">
      <w:pPr>
        <w:pStyle w:val="ListParagraph"/>
        <w:numPr>
          <w:ilvl w:val="0"/>
          <w:numId w:val="41"/>
        </w:numPr>
        <w:spacing w:line="360" w:lineRule="auto"/>
        <w:ind w:left="1134" w:hanging="567"/>
        <w:contextualSpacing w:val="0"/>
        <w:jc w:val="both"/>
        <w:rPr>
          <w:rFonts w:ascii="Book Antiqua" w:hAnsi="Book Antiqua" w:cs="Times New Roman"/>
          <w:sz w:val="24"/>
          <w:szCs w:val="24"/>
        </w:rPr>
      </w:pPr>
      <w:proofErr w:type="gramStart"/>
      <w:r w:rsidRPr="00423717">
        <w:rPr>
          <w:rFonts w:ascii="Book Antiqua" w:hAnsi="Book Antiqua" w:cs="Times New Roman"/>
          <w:sz w:val="24"/>
          <w:szCs w:val="24"/>
        </w:rPr>
        <w:lastRenderedPageBreak/>
        <w:t>the</w:t>
      </w:r>
      <w:proofErr w:type="gramEnd"/>
      <w:r w:rsidRPr="00423717">
        <w:rPr>
          <w:rFonts w:ascii="Book Antiqua" w:hAnsi="Book Antiqua" w:cs="Times New Roman"/>
          <w:sz w:val="24"/>
          <w:szCs w:val="24"/>
        </w:rPr>
        <w:t xml:space="preserve"> legal and supervisory arrangements in respect of CCPs established in the third Country provide for effective supervision and enforcement of CCPs;</w:t>
      </w:r>
    </w:p>
    <w:p w14:paraId="66CC30FC" w14:textId="77777777" w:rsidR="009024BF" w:rsidRDefault="009024BF" w:rsidP="009024BF">
      <w:pPr>
        <w:pStyle w:val="ListParagraph"/>
        <w:numPr>
          <w:ilvl w:val="0"/>
          <w:numId w:val="41"/>
        </w:numPr>
        <w:spacing w:line="360" w:lineRule="auto"/>
        <w:ind w:left="1134" w:hanging="567"/>
        <w:contextualSpacing w:val="0"/>
        <w:jc w:val="both"/>
        <w:rPr>
          <w:rFonts w:ascii="Book Antiqua" w:hAnsi="Book Antiqua" w:cs="Times New Roman"/>
          <w:sz w:val="24"/>
          <w:szCs w:val="24"/>
        </w:rPr>
      </w:pPr>
      <w:proofErr w:type="gramStart"/>
      <w:r w:rsidRPr="00423717">
        <w:rPr>
          <w:rFonts w:ascii="Book Antiqua" w:hAnsi="Book Antiqua" w:cs="Times New Roman"/>
          <w:sz w:val="24"/>
          <w:szCs w:val="24"/>
        </w:rPr>
        <w:t>the</w:t>
      </w:r>
      <w:proofErr w:type="gramEnd"/>
      <w:r w:rsidRPr="00423717">
        <w:rPr>
          <w:rFonts w:ascii="Book Antiqua" w:hAnsi="Book Antiqua" w:cs="Times New Roman"/>
          <w:sz w:val="24"/>
          <w:szCs w:val="24"/>
        </w:rPr>
        <w:t xml:space="preserve"> legal framework of that third country provides for an effective equivalent system for the recognition of CCPs authorised under third-country legal regimes;</w:t>
      </w:r>
    </w:p>
    <w:p w14:paraId="42801ACC" w14:textId="77777777" w:rsidR="009024BF" w:rsidRDefault="009024BF" w:rsidP="009024BF">
      <w:pPr>
        <w:pStyle w:val="ListParagraph"/>
        <w:numPr>
          <w:ilvl w:val="0"/>
          <w:numId w:val="41"/>
        </w:numPr>
        <w:spacing w:line="360" w:lineRule="auto"/>
        <w:ind w:left="1134" w:hanging="567"/>
        <w:contextualSpacing w:val="0"/>
        <w:jc w:val="both"/>
        <w:rPr>
          <w:rFonts w:ascii="Book Antiqua" w:hAnsi="Book Antiqua" w:cs="Times New Roman"/>
          <w:sz w:val="24"/>
          <w:szCs w:val="24"/>
        </w:rPr>
      </w:pPr>
      <w:r w:rsidRPr="00423717">
        <w:rPr>
          <w:rFonts w:ascii="Book Antiqua" w:hAnsi="Book Antiqua" w:cs="Times New Roman"/>
          <w:sz w:val="24"/>
          <w:szCs w:val="24"/>
        </w:rPr>
        <w:t>ESMA has consulted the various national regulators in the EU member states where the counterparties or trading venues planning to use the services of the CCP are based;</w:t>
      </w:r>
    </w:p>
    <w:p w14:paraId="4790E97D" w14:textId="77777777" w:rsidR="009024BF" w:rsidRDefault="009024BF" w:rsidP="009024BF">
      <w:pPr>
        <w:pStyle w:val="ListParagraph"/>
        <w:numPr>
          <w:ilvl w:val="0"/>
          <w:numId w:val="41"/>
        </w:numPr>
        <w:spacing w:line="360" w:lineRule="auto"/>
        <w:ind w:left="1134" w:hanging="567"/>
        <w:contextualSpacing w:val="0"/>
        <w:jc w:val="both"/>
        <w:rPr>
          <w:rFonts w:ascii="Book Antiqua" w:hAnsi="Book Antiqua" w:cs="Times New Roman"/>
          <w:sz w:val="24"/>
          <w:szCs w:val="24"/>
        </w:rPr>
      </w:pPr>
      <w:r w:rsidRPr="00423717">
        <w:rPr>
          <w:rFonts w:ascii="Book Antiqua" w:hAnsi="Book Antiqua" w:cs="Times New Roman"/>
          <w:sz w:val="24"/>
          <w:szCs w:val="24"/>
        </w:rPr>
        <w:t>Co-operation arrangements have been established between ESMA and the relevant third country authority; and</w:t>
      </w:r>
    </w:p>
    <w:p w14:paraId="1D5A3109" w14:textId="77777777" w:rsidR="009024BF" w:rsidRPr="00423717" w:rsidRDefault="009024BF" w:rsidP="009024BF">
      <w:pPr>
        <w:pStyle w:val="ListParagraph"/>
        <w:numPr>
          <w:ilvl w:val="0"/>
          <w:numId w:val="41"/>
        </w:numPr>
        <w:spacing w:line="360" w:lineRule="auto"/>
        <w:ind w:left="1134" w:hanging="567"/>
        <w:contextualSpacing w:val="0"/>
        <w:jc w:val="both"/>
        <w:rPr>
          <w:rFonts w:ascii="Book Antiqua" w:hAnsi="Book Antiqua" w:cs="Times New Roman"/>
          <w:sz w:val="24"/>
          <w:szCs w:val="24"/>
        </w:rPr>
      </w:pPr>
      <w:proofErr w:type="gramStart"/>
      <w:r w:rsidRPr="00423717">
        <w:rPr>
          <w:rFonts w:ascii="Book Antiqua" w:hAnsi="Book Antiqua" w:cs="Times New Roman"/>
          <w:sz w:val="24"/>
          <w:szCs w:val="24"/>
        </w:rPr>
        <w:t>the</w:t>
      </w:r>
      <w:proofErr w:type="gramEnd"/>
      <w:r w:rsidRPr="00423717">
        <w:rPr>
          <w:rFonts w:ascii="Book Antiqua" w:hAnsi="Book Antiqua" w:cs="Times New Roman"/>
          <w:sz w:val="24"/>
          <w:szCs w:val="24"/>
        </w:rPr>
        <w:t xml:space="preserve"> third country has equivalent systems for anti-money laundering and combating the financing of terrorism to those of the EU.</w:t>
      </w:r>
    </w:p>
    <w:p w14:paraId="2817EAD5" w14:textId="77777777" w:rsidR="009024BF" w:rsidRPr="002B487F"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The difficulties of obtaining and maintain</w:t>
      </w:r>
      <w:r>
        <w:rPr>
          <w:rFonts w:ascii="Book Antiqua" w:hAnsi="Book Antiqua" w:cs="Times New Roman"/>
          <w:sz w:val="24"/>
          <w:szCs w:val="24"/>
        </w:rPr>
        <w:t>ing</w:t>
      </w:r>
      <w:r w:rsidRPr="00F70A77">
        <w:rPr>
          <w:rFonts w:ascii="Book Antiqua" w:hAnsi="Book Antiqua" w:cs="Times New Roman"/>
          <w:sz w:val="24"/>
          <w:szCs w:val="24"/>
        </w:rPr>
        <w:t xml:space="preserve"> equivalence </w:t>
      </w:r>
      <w:r>
        <w:rPr>
          <w:rFonts w:ascii="Book Antiqua" w:hAnsi="Book Antiqua" w:cs="Times New Roman"/>
          <w:sz w:val="24"/>
          <w:szCs w:val="24"/>
        </w:rPr>
        <w:t>have been</w:t>
      </w:r>
      <w:r w:rsidRPr="00F70A77">
        <w:rPr>
          <w:rFonts w:ascii="Book Antiqua" w:hAnsi="Book Antiqua" w:cs="Times New Roman"/>
          <w:sz w:val="24"/>
          <w:szCs w:val="24"/>
        </w:rPr>
        <w:t xml:space="preserve"> noted </w:t>
      </w:r>
      <w:r>
        <w:rPr>
          <w:rFonts w:ascii="Book Antiqua" w:hAnsi="Book Antiqua" w:cs="Times New Roman"/>
          <w:sz w:val="24"/>
          <w:szCs w:val="24"/>
        </w:rPr>
        <w:t>earlier in this Report.</w:t>
      </w:r>
      <w:r w:rsidRPr="00F70A77">
        <w:rPr>
          <w:rFonts w:ascii="Book Antiqua" w:hAnsi="Book Antiqua" w:cs="Times New Roman"/>
          <w:sz w:val="24"/>
          <w:szCs w:val="24"/>
        </w:rPr>
        <w:t xml:space="preserve">  An illustration of these difficulties specifically under EMIR is reflected in the US example, where it took nearly </w:t>
      </w:r>
      <w:r>
        <w:rPr>
          <w:rFonts w:ascii="Book Antiqua" w:hAnsi="Book Antiqua" w:cs="Times New Roman"/>
          <w:sz w:val="24"/>
          <w:szCs w:val="24"/>
        </w:rPr>
        <w:t>four</w:t>
      </w:r>
      <w:r w:rsidRPr="00F70A77">
        <w:rPr>
          <w:rFonts w:ascii="Book Antiqua" w:hAnsi="Book Antiqua" w:cs="Times New Roman"/>
          <w:sz w:val="24"/>
          <w:szCs w:val="24"/>
        </w:rPr>
        <w:t xml:space="preserve"> years for the Commission to assess the equivalence regime of US CCPs, before issuing an equivalence decision in March 2016.  Indeed, the decision in respect of the US specifically noted that:</w:t>
      </w:r>
    </w:p>
    <w:p w14:paraId="3898A893" w14:textId="77777777" w:rsidR="009024BF" w:rsidRPr="005C442E" w:rsidRDefault="009024BF" w:rsidP="009024BF">
      <w:pPr>
        <w:pStyle w:val="ListParagraph"/>
        <w:spacing w:line="360" w:lineRule="auto"/>
        <w:ind w:left="851"/>
        <w:contextualSpacing w:val="0"/>
        <w:jc w:val="both"/>
        <w:rPr>
          <w:rFonts w:ascii="Book Antiqua" w:hAnsi="Book Antiqua" w:cs="Times New Roman"/>
          <w:i/>
          <w:sz w:val="24"/>
          <w:szCs w:val="24"/>
        </w:rPr>
      </w:pPr>
      <w:r w:rsidRPr="005C442E">
        <w:rPr>
          <w:rFonts w:ascii="Book Antiqua" w:hAnsi="Book Antiqua" w:cs="Times New Roman"/>
          <w:i/>
          <w:sz w:val="24"/>
          <w:szCs w:val="24"/>
        </w:rPr>
        <w:t>“…</w:t>
      </w:r>
    </w:p>
    <w:p w14:paraId="5387D5E9" w14:textId="77777777" w:rsidR="009024BF" w:rsidRPr="00A62B16" w:rsidRDefault="009024BF" w:rsidP="009024BF">
      <w:pPr>
        <w:pStyle w:val="ListParagraph"/>
        <w:spacing w:line="360" w:lineRule="auto"/>
        <w:ind w:left="851"/>
        <w:contextualSpacing w:val="0"/>
        <w:jc w:val="both"/>
      </w:pPr>
      <w:r w:rsidRPr="005C442E">
        <w:rPr>
          <w:rFonts w:ascii="Book Antiqua" w:hAnsi="Book Antiqua" w:cs="Times New Roman"/>
          <w:i/>
          <w:sz w:val="24"/>
          <w:szCs w:val="24"/>
        </w:rPr>
        <w:t>(23) The regular review of the legal and supervisory arrangements applicable…in the USA is without prejudice to the possibility of the Commission to undertake a specific review at any time, where relevant developments…make it necessary for the Commission to re-assess the equivalence granted by this Decision. Such re-assessment could lead to the repeal of this Decision.”</w:t>
      </w:r>
    </w:p>
    <w:p w14:paraId="1D262290" w14:textId="77777777" w:rsidR="009024BF" w:rsidRPr="002B487F"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In the US example, some commentators have expressed the view that some of the opposition from the EU was based on political, as opposed </w:t>
      </w:r>
      <w:proofErr w:type="gramStart"/>
      <w:r w:rsidRPr="00F70A77">
        <w:rPr>
          <w:rFonts w:ascii="Book Antiqua" w:hAnsi="Book Antiqua" w:cs="Times New Roman"/>
          <w:sz w:val="24"/>
          <w:szCs w:val="24"/>
        </w:rPr>
        <w:t>to</w:t>
      </w:r>
      <w:proofErr w:type="gramEnd"/>
      <w:r w:rsidRPr="00F70A77">
        <w:rPr>
          <w:rFonts w:ascii="Book Antiqua" w:hAnsi="Book Antiqua" w:cs="Times New Roman"/>
          <w:sz w:val="24"/>
          <w:szCs w:val="24"/>
        </w:rPr>
        <w:t xml:space="preserve"> technical, </w:t>
      </w:r>
      <w:r w:rsidRPr="00F70A77">
        <w:rPr>
          <w:rFonts w:ascii="Book Antiqua" w:hAnsi="Book Antiqua" w:cs="Times New Roman"/>
          <w:sz w:val="24"/>
          <w:szCs w:val="24"/>
        </w:rPr>
        <w:lastRenderedPageBreak/>
        <w:t>reasons.  The potential for political issues to influence whether or not an equivalence determination is given is therefore a very real concern</w:t>
      </w:r>
      <w:r w:rsidRPr="00A62B16">
        <w:rPr>
          <w:rFonts w:ascii="Book Antiqua" w:hAnsi="Book Antiqua" w:cs="Times New Roman"/>
          <w:sz w:val="24"/>
          <w:szCs w:val="24"/>
        </w:rPr>
        <w:t xml:space="preserve">. </w:t>
      </w:r>
    </w:p>
    <w:p w14:paraId="5B08BCC3" w14:textId="77777777" w:rsidR="009024BF" w:rsidRPr="002B487F" w:rsidRDefault="009024BF" w:rsidP="009024BF">
      <w:pPr>
        <w:pStyle w:val="ListParagraph"/>
        <w:spacing w:line="360" w:lineRule="auto"/>
        <w:ind w:left="567"/>
        <w:contextualSpacing w:val="0"/>
        <w:jc w:val="both"/>
        <w:rPr>
          <w:rFonts w:ascii="Book Antiqua" w:hAnsi="Book Antiqua" w:cs="Times New Roman"/>
          <w:sz w:val="24"/>
          <w:szCs w:val="24"/>
        </w:rPr>
      </w:pPr>
    </w:p>
    <w:p w14:paraId="793E657F" w14:textId="77777777" w:rsidR="009024BF" w:rsidRDefault="009024BF" w:rsidP="009024BF">
      <w:pPr>
        <w:spacing w:line="360" w:lineRule="auto"/>
        <w:rPr>
          <w:rFonts w:ascii="Book Antiqua" w:hAnsi="Book Antiqua" w:cs="Times New Roman"/>
          <w:i/>
          <w:sz w:val="24"/>
          <w:szCs w:val="24"/>
        </w:rPr>
      </w:pPr>
      <w:r w:rsidRPr="00730EC6">
        <w:rPr>
          <w:rFonts w:ascii="Book Antiqua" w:hAnsi="Book Antiqua" w:cs="Times New Roman"/>
          <w:b/>
          <w:sz w:val="24"/>
          <w:szCs w:val="24"/>
          <w:u w:val="single"/>
        </w:rPr>
        <w:t>C. Other Equivalence Requirements</w:t>
      </w:r>
    </w:p>
    <w:p w14:paraId="69C89F1D" w14:textId="77777777" w:rsidR="009024BF" w:rsidRPr="002B487F" w:rsidRDefault="009024BF" w:rsidP="009024BF">
      <w:pPr>
        <w:spacing w:line="360" w:lineRule="auto"/>
        <w:rPr>
          <w:rFonts w:ascii="Book Antiqua" w:hAnsi="Book Antiqua" w:cs="Times New Roman"/>
          <w:sz w:val="24"/>
          <w:szCs w:val="24"/>
        </w:rPr>
      </w:pPr>
      <w:r>
        <w:rPr>
          <w:rFonts w:ascii="Book Antiqua" w:hAnsi="Book Antiqua" w:cs="Times New Roman"/>
          <w:b/>
          <w:i/>
          <w:sz w:val="24"/>
          <w:szCs w:val="24"/>
        </w:rPr>
        <w:t xml:space="preserve">(1) </w:t>
      </w:r>
      <w:r w:rsidRPr="00730EC6">
        <w:rPr>
          <w:rFonts w:ascii="Book Antiqua" w:hAnsi="Book Antiqua" w:cs="Times New Roman"/>
          <w:b/>
          <w:i/>
          <w:sz w:val="24"/>
          <w:szCs w:val="24"/>
        </w:rPr>
        <w:t>Reporting, Margin and Clearing Requirements</w:t>
      </w:r>
    </w:p>
    <w:p w14:paraId="508CFD9E" w14:textId="77777777" w:rsidR="009024BF" w:rsidRPr="002B487F"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color w:val="000000"/>
          <w:sz w:val="24"/>
          <w:szCs w:val="24"/>
        </w:rPr>
        <w:t>Article 13 of EMIR provides that the Commission may declare that the legal, supervisory and enforcement arrangements of a Third Country are equivalent to the reporting, clearing and margin requirements under EMIR and are being effectively applied and enforced so as to ensure effective supervision and enforcement in that Third Country.</w:t>
      </w:r>
    </w:p>
    <w:p w14:paraId="4BEA6752" w14:textId="77777777" w:rsidR="009024BF" w:rsidRPr="002B487F" w:rsidRDefault="009024BF" w:rsidP="009024BF">
      <w:pPr>
        <w:pStyle w:val="ListParagraph"/>
        <w:numPr>
          <w:ilvl w:val="0"/>
          <w:numId w:val="38"/>
        </w:numPr>
        <w:spacing w:line="360" w:lineRule="auto"/>
        <w:ind w:left="567" w:hanging="567"/>
        <w:contextualSpacing w:val="0"/>
        <w:jc w:val="both"/>
        <w:rPr>
          <w:rFonts w:ascii="Book Antiqua" w:hAnsi="Book Antiqua" w:cs="Times New Roman"/>
          <w:color w:val="000000"/>
          <w:sz w:val="24"/>
          <w:szCs w:val="24"/>
        </w:rPr>
      </w:pPr>
      <w:r w:rsidRPr="00F70A77">
        <w:rPr>
          <w:rFonts w:ascii="Book Antiqua" w:hAnsi="Book Antiqua" w:cs="Times New Roman"/>
          <w:color w:val="000000"/>
          <w:sz w:val="24"/>
          <w:szCs w:val="24"/>
        </w:rPr>
        <w:t xml:space="preserve">Where such an equivalence decision is made, counterparties to derivative transactions will be deemed to have fulfilled the clearing requirements where at least one of the counterparties is established in that equivalent Third Country. </w:t>
      </w:r>
    </w:p>
    <w:p w14:paraId="7A8A9538" w14:textId="77777777" w:rsidR="009024BF" w:rsidRPr="00423717"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color w:val="000000"/>
          <w:sz w:val="24"/>
          <w:szCs w:val="24"/>
        </w:rPr>
        <w:t xml:space="preserve">If the UK were to become a </w:t>
      </w:r>
      <w:r>
        <w:rPr>
          <w:rFonts w:ascii="Book Antiqua" w:hAnsi="Book Antiqua" w:cs="Times New Roman"/>
          <w:color w:val="000000"/>
          <w:sz w:val="24"/>
          <w:szCs w:val="24"/>
        </w:rPr>
        <w:t>t</w:t>
      </w:r>
      <w:r w:rsidRPr="00F70A77">
        <w:rPr>
          <w:rFonts w:ascii="Book Antiqua" w:hAnsi="Book Antiqua" w:cs="Times New Roman"/>
          <w:color w:val="000000"/>
          <w:sz w:val="24"/>
          <w:szCs w:val="24"/>
        </w:rPr>
        <w:t xml:space="preserve">hird </w:t>
      </w:r>
      <w:r>
        <w:rPr>
          <w:rFonts w:ascii="Book Antiqua" w:hAnsi="Book Antiqua" w:cs="Times New Roman"/>
          <w:color w:val="000000"/>
          <w:sz w:val="24"/>
          <w:szCs w:val="24"/>
        </w:rPr>
        <w:t>c</w:t>
      </w:r>
      <w:r w:rsidRPr="00F70A77">
        <w:rPr>
          <w:rFonts w:ascii="Book Antiqua" w:hAnsi="Book Antiqua" w:cs="Times New Roman"/>
          <w:color w:val="000000"/>
          <w:sz w:val="24"/>
          <w:szCs w:val="24"/>
        </w:rPr>
        <w:t>ountry for EMIR purposes, an equivalence decision would be required in order to prevent counterparties to OTC derivative transactions from having to comply with two (possibly conflicting) sets of reporting, clearing and margin rules.</w:t>
      </w:r>
    </w:p>
    <w:p w14:paraId="318B7CC8" w14:textId="77777777" w:rsidR="009024BF" w:rsidRPr="002B487F" w:rsidRDefault="009024BF" w:rsidP="009024BF">
      <w:pPr>
        <w:spacing w:line="360" w:lineRule="auto"/>
        <w:rPr>
          <w:rFonts w:ascii="Book Antiqua" w:hAnsi="Book Antiqua" w:cs="Times New Roman"/>
          <w:sz w:val="24"/>
          <w:szCs w:val="24"/>
        </w:rPr>
      </w:pPr>
      <w:r>
        <w:rPr>
          <w:rFonts w:ascii="Book Antiqua" w:hAnsi="Book Antiqua" w:cs="Times New Roman"/>
          <w:b/>
          <w:i/>
          <w:sz w:val="24"/>
          <w:szCs w:val="24"/>
        </w:rPr>
        <w:t xml:space="preserve">(2) </w:t>
      </w:r>
      <w:r w:rsidRPr="00730EC6">
        <w:rPr>
          <w:rFonts w:ascii="Book Antiqua" w:hAnsi="Book Antiqua" w:cs="Times New Roman"/>
          <w:b/>
          <w:i/>
          <w:sz w:val="24"/>
          <w:szCs w:val="24"/>
        </w:rPr>
        <w:t>Trade Repositories</w:t>
      </w:r>
    </w:p>
    <w:p w14:paraId="4F3ECCD0" w14:textId="77777777" w:rsidR="009024BF" w:rsidRPr="00F70A77"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A trade repository established in a third country may provide its services and activities to entities established in the EU for the purposes of Article 9 only after its recognition by ESMA (art 77(1).    This requires</w:t>
      </w:r>
      <w:r>
        <w:rPr>
          <w:rFonts w:ascii="Book Antiqua" w:hAnsi="Book Antiqua" w:cs="Times New Roman"/>
          <w:sz w:val="24"/>
          <w:szCs w:val="24"/>
        </w:rPr>
        <w:t xml:space="preserve"> that</w:t>
      </w:r>
      <w:r w:rsidRPr="00F70A77">
        <w:rPr>
          <w:rFonts w:ascii="Book Antiqua" w:hAnsi="Book Antiqua" w:cs="Times New Roman"/>
          <w:sz w:val="24"/>
          <w:szCs w:val="24"/>
        </w:rPr>
        <w:t>:</w:t>
      </w:r>
    </w:p>
    <w:p w14:paraId="37441E55" w14:textId="77777777" w:rsidR="009024BF" w:rsidRPr="00F70A77" w:rsidRDefault="009024BF" w:rsidP="009024BF">
      <w:pPr>
        <w:pStyle w:val="ListParagraph"/>
        <w:numPr>
          <w:ilvl w:val="0"/>
          <w:numId w:val="39"/>
        </w:numPr>
        <w:spacing w:line="360" w:lineRule="auto"/>
        <w:ind w:left="1134" w:hanging="567"/>
        <w:contextualSpacing w:val="0"/>
        <w:jc w:val="both"/>
        <w:rPr>
          <w:rFonts w:ascii="Book Antiqua" w:hAnsi="Book Antiqua" w:cs="Times New Roman"/>
          <w:sz w:val="24"/>
          <w:szCs w:val="24"/>
        </w:rPr>
      </w:pPr>
      <w:proofErr w:type="gramStart"/>
      <w:r w:rsidRPr="00F70A77">
        <w:rPr>
          <w:rFonts w:ascii="Book Antiqua" w:hAnsi="Book Antiqua" w:cs="Times New Roman"/>
          <w:sz w:val="24"/>
          <w:szCs w:val="24"/>
        </w:rPr>
        <w:t>the</w:t>
      </w:r>
      <w:proofErr w:type="gramEnd"/>
      <w:r w:rsidRPr="00F70A77">
        <w:rPr>
          <w:rFonts w:ascii="Book Antiqua" w:hAnsi="Book Antiqua" w:cs="Times New Roman"/>
          <w:sz w:val="24"/>
          <w:szCs w:val="24"/>
        </w:rPr>
        <w:t xml:space="preserve"> European Commission has determined that the regime for the supervision of third-country CCPs is equivalent to EMIR, including in relation to the protection of business secrets;</w:t>
      </w:r>
    </w:p>
    <w:p w14:paraId="4B4C6364" w14:textId="77777777" w:rsidR="009024BF" w:rsidRPr="00F70A77" w:rsidRDefault="009024BF" w:rsidP="009024BF">
      <w:pPr>
        <w:pStyle w:val="ListParagraph"/>
        <w:numPr>
          <w:ilvl w:val="0"/>
          <w:numId w:val="39"/>
        </w:numPr>
        <w:spacing w:line="360" w:lineRule="auto"/>
        <w:ind w:left="1134" w:hanging="567"/>
        <w:contextualSpacing w:val="0"/>
        <w:jc w:val="both"/>
        <w:rPr>
          <w:rFonts w:ascii="Book Antiqua" w:hAnsi="Book Antiqua" w:cs="Times New Roman"/>
          <w:sz w:val="24"/>
          <w:szCs w:val="24"/>
        </w:rPr>
      </w:pPr>
      <w:proofErr w:type="gramStart"/>
      <w:r w:rsidRPr="00F70A77">
        <w:rPr>
          <w:rFonts w:ascii="Book Antiqua" w:hAnsi="Book Antiqua" w:cs="Times New Roman"/>
          <w:sz w:val="24"/>
          <w:szCs w:val="24"/>
        </w:rPr>
        <w:t>the</w:t>
      </w:r>
      <w:proofErr w:type="gramEnd"/>
      <w:r w:rsidRPr="00F70A77">
        <w:rPr>
          <w:rFonts w:ascii="Book Antiqua" w:hAnsi="Book Antiqua" w:cs="Times New Roman"/>
          <w:sz w:val="24"/>
          <w:szCs w:val="24"/>
        </w:rPr>
        <w:t xml:space="preserve"> trade repository is authorized and subject to effective supervision and enforcement in the relevant third country;</w:t>
      </w:r>
    </w:p>
    <w:p w14:paraId="4C8DDC3A" w14:textId="77777777" w:rsidR="009024BF" w:rsidRPr="00F70A77" w:rsidRDefault="009024BF" w:rsidP="009024BF">
      <w:pPr>
        <w:pStyle w:val="ListParagraph"/>
        <w:numPr>
          <w:ilvl w:val="0"/>
          <w:numId w:val="39"/>
        </w:numPr>
        <w:spacing w:line="360" w:lineRule="auto"/>
        <w:ind w:left="1134" w:hanging="567"/>
        <w:contextualSpacing w:val="0"/>
        <w:jc w:val="both"/>
        <w:rPr>
          <w:rFonts w:ascii="Book Antiqua" w:hAnsi="Book Antiqua" w:cs="Times New Roman"/>
          <w:sz w:val="24"/>
          <w:szCs w:val="24"/>
        </w:rPr>
      </w:pPr>
      <w:proofErr w:type="gramStart"/>
      <w:r w:rsidRPr="00F70A77">
        <w:rPr>
          <w:rFonts w:ascii="Book Antiqua" w:hAnsi="Book Antiqua" w:cs="Times New Roman"/>
          <w:sz w:val="24"/>
          <w:szCs w:val="24"/>
        </w:rPr>
        <w:lastRenderedPageBreak/>
        <w:t>the</w:t>
      </w:r>
      <w:proofErr w:type="gramEnd"/>
      <w:r w:rsidRPr="00F70A77">
        <w:rPr>
          <w:rFonts w:ascii="Book Antiqua" w:hAnsi="Book Antiqua" w:cs="Times New Roman"/>
          <w:sz w:val="24"/>
          <w:szCs w:val="24"/>
        </w:rPr>
        <w:t xml:space="preserve"> third-country has entered into an international agreement with the EU regarding mutual access and exchange of information on derivatives contracts held in trade repositories;</w:t>
      </w:r>
    </w:p>
    <w:p w14:paraId="7946824C" w14:textId="77777777" w:rsidR="009024BF" w:rsidRPr="002B487F" w:rsidRDefault="009024BF" w:rsidP="009024BF">
      <w:pPr>
        <w:pStyle w:val="ListParagraph"/>
        <w:numPr>
          <w:ilvl w:val="0"/>
          <w:numId w:val="39"/>
        </w:numPr>
        <w:spacing w:line="360" w:lineRule="auto"/>
        <w:ind w:left="1134" w:hanging="567"/>
        <w:contextualSpacing w:val="0"/>
        <w:jc w:val="both"/>
        <w:rPr>
          <w:rFonts w:ascii="Book Antiqua" w:hAnsi="Book Antiqua" w:cs="Times New Roman"/>
          <w:sz w:val="24"/>
          <w:szCs w:val="24"/>
        </w:rPr>
      </w:pPr>
      <w:proofErr w:type="gramStart"/>
      <w:r w:rsidRPr="00F70A77">
        <w:rPr>
          <w:rFonts w:ascii="Book Antiqua" w:hAnsi="Book Antiqua" w:cs="Times New Roman"/>
          <w:sz w:val="24"/>
          <w:szCs w:val="24"/>
        </w:rPr>
        <w:t>the</w:t>
      </w:r>
      <w:proofErr w:type="gramEnd"/>
      <w:r w:rsidRPr="00F70A77">
        <w:rPr>
          <w:rFonts w:ascii="Book Antiqua" w:hAnsi="Book Antiqua" w:cs="Times New Roman"/>
          <w:sz w:val="24"/>
          <w:szCs w:val="24"/>
        </w:rPr>
        <w:t xml:space="preserve"> third-country has entered into cooperation agreements to ensure that EU authorities, including ESMA, have immediate and continuous access to all the necessary information held by trade repositories in that jurisdiction.</w:t>
      </w:r>
    </w:p>
    <w:p w14:paraId="210186A9" w14:textId="77777777" w:rsidR="009024BF" w:rsidRPr="002B487F"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There is currently no equivalence determination in respect of trade repositories</w:t>
      </w:r>
      <w:r>
        <w:rPr>
          <w:rFonts w:ascii="Book Antiqua" w:hAnsi="Book Antiqua" w:cs="Times New Roman"/>
          <w:sz w:val="24"/>
          <w:szCs w:val="24"/>
        </w:rPr>
        <w:t>. A</w:t>
      </w:r>
      <w:r w:rsidRPr="00F70A77">
        <w:rPr>
          <w:rFonts w:ascii="Book Antiqua" w:hAnsi="Book Antiqua" w:cs="Times New Roman"/>
          <w:sz w:val="24"/>
          <w:szCs w:val="24"/>
        </w:rPr>
        <w:t>ccordingly there is no precedent to establish how easy or difficult it would to obtain such a determination</w:t>
      </w:r>
      <w:r>
        <w:rPr>
          <w:rFonts w:ascii="Book Antiqua" w:hAnsi="Book Antiqua" w:cs="Times New Roman"/>
          <w:sz w:val="24"/>
          <w:szCs w:val="24"/>
        </w:rPr>
        <w:t>.</w:t>
      </w:r>
    </w:p>
    <w:p w14:paraId="5297CE58" w14:textId="77777777" w:rsidR="009024BF" w:rsidRPr="00F70A77"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Pr>
          <w:rFonts w:ascii="Book Antiqua" w:hAnsi="Book Antiqua" w:cs="Times New Roman"/>
          <w:sz w:val="24"/>
          <w:szCs w:val="24"/>
        </w:rPr>
        <w:t>W</w:t>
      </w:r>
      <w:r w:rsidRPr="00F70A77">
        <w:rPr>
          <w:rFonts w:ascii="Book Antiqua" w:hAnsi="Book Antiqua" w:cs="Times New Roman"/>
          <w:sz w:val="24"/>
          <w:szCs w:val="24"/>
        </w:rPr>
        <w:t>ithout an equivalence determination, a UK trade repository would not be able to provide such services to EU counterparties subject to EMIR.  Currently there are six trade repositories approved by ESMA for collecting EMIR reports, of which four are headquartered in London. The need for an equivalence determination in this area</w:t>
      </w:r>
      <w:r>
        <w:rPr>
          <w:rFonts w:ascii="Book Antiqua" w:hAnsi="Book Antiqua" w:cs="Times New Roman"/>
          <w:sz w:val="24"/>
          <w:szCs w:val="24"/>
        </w:rPr>
        <w:t xml:space="preserve"> (absent tailored UK arrangements post-</w:t>
      </w:r>
      <w:proofErr w:type="spellStart"/>
      <w:r>
        <w:rPr>
          <w:rFonts w:ascii="Book Antiqua" w:hAnsi="Book Antiqua" w:cs="Times New Roman"/>
          <w:sz w:val="24"/>
          <w:szCs w:val="24"/>
        </w:rPr>
        <w:t>Brexit</w:t>
      </w:r>
      <w:proofErr w:type="spellEnd"/>
      <w:r>
        <w:rPr>
          <w:rFonts w:ascii="Book Antiqua" w:hAnsi="Book Antiqua" w:cs="Times New Roman"/>
          <w:sz w:val="24"/>
          <w:szCs w:val="24"/>
        </w:rPr>
        <w:t>)</w:t>
      </w:r>
      <w:r w:rsidRPr="00F70A77">
        <w:rPr>
          <w:rFonts w:ascii="Book Antiqua" w:hAnsi="Book Antiqua" w:cs="Times New Roman"/>
          <w:sz w:val="24"/>
          <w:szCs w:val="24"/>
        </w:rPr>
        <w:t xml:space="preserve"> is therefore self-evident.</w:t>
      </w:r>
    </w:p>
    <w:p w14:paraId="24D3F4B7" w14:textId="77777777" w:rsidR="009024BF" w:rsidRPr="00F70A77" w:rsidRDefault="009024BF" w:rsidP="009024BF">
      <w:pPr>
        <w:spacing w:line="360" w:lineRule="auto"/>
        <w:jc w:val="both"/>
        <w:rPr>
          <w:rFonts w:ascii="Book Antiqua" w:hAnsi="Book Antiqua" w:cs="Times New Roman"/>
          <w:sz w:val="24"/>
          <w:szCs w:val="24"/>
        </w:rPr>
      </w:pPr>
    </w:p>
    <w:p w14:paraId="725FD5C9" w14:textId="77777777" w:rsidR="009024BF" w:rsidRPr="00F70A77" w:rsidRDefault="009024BF" w:rsidP="009024BF">
      <w:pPr>
        <w:spacing w:line="360" w:lineRule="auto"/>
        <w:jc w:val="both"/>
        <w:rPr>
          <w:rFonts w:ascii="Book Antiqua" w:hAnsi="Book Antiqua" w:cs="Times New Roman"/>
          <w:sz w:val="24"/>
          <w:szCs w:val="24"/>
        </w:rPr>
      </w:pPr>
      <w:r w:rsidRPr="00730EC6">
        <w:rPr>
          <w:rFonts w:ascii="Book Antiqua" w:hAnsi="Book Antiqua" w:cs="Times New Roman"/>
          <w:b/>
          <w:sz w:val="24"/>
          <w:szCs w:val="24"/>
          <w:u w:val="single"/>
        </w:rPr>
        <w:t>D. Transitional Arrangement</w:t>
      </w:r>
      <w:r>
        <w:rPr>
          <w:rFonts w:ascii="Book Antiqua" w:hAnsi="Book Antiqua" w:cs="Times New Roman"/>
          <w:sz w:val="24"/>
          <w:szCs w:val="24"/>
        </w:rPr>
        <w:t>s</w:t>
      </w:r>
    </w:p>
    <w:p w14:paraId="619980E5" w14:textId="77777777" w:rsidR="009024BF" w:rsidRPr="002B487F"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 xml:space="preserve">In respect of the application by a third country CCP for recognition, under art 25(4) of EMIR, once an application is received, ESMA has a 30 period to confirm that the application is complete, followed by a further </w:t>
      </w:r>
      <w:proofErr w:type="gramStart"/>
      <w:r w:rsidRPr="00F70A77">
        <w:rPr>
          <w:rFonts w:ascii="Book Antiqua" w:hAnsi="Book Antiqua" w:cs="Times New Roman"/>
          <w:sz w:val="24"/>
          <w:szCs w:val="24"/>
        </w:rPr>
        <w:t>180  working</w:t>
      </w:r>
      <w:proofErr w:type="gramEnd"/>
      <w:r w:rsidRPr="00F70A77">
        <w:rPr>
          <w:rFonts w:ascii="Book Antiqua" w:hAnsi="Book Antiqua" w:cs="Times New Roman"/>
          <w:sz w:val="24"/>
          <w:szCs w:val="24"/>
        </w:rPr>
        <w:t xml:space="preserve"> days to determine the application.  The application process therefore has the potential to be lengthy and protracted.</w:t>
      </w:r>
    </w:p>
    <w:p w14:paraId="58F2BB37" w14:textId="77777777" w:rsidR="009024BF" w:rsidRPr="00F70A77"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t>In light of this, and given the importance of CCPs to the smooth functioning of the markets, it is imperative that any transitional arrangements enable CCPs to continue in operation pending the outcome of a recognition application.</w:t>
      </w:r>
    </w:p>
    <w:p w14:paraId="730507A4" w14:textId="77777777" w:rsidR="009024BF" w:rsidRPr="00F70A77" w:rsidRDefault="009024BF" w:rsidP="009024BF">
      <w:pPr>
        <w:spacing w:line="360" w:lineRule="auto"/>
        <w:jc w:val="both"/>
        <w:rPr>
          <w:rFonts w:ascii="Book Antiqua" w:hAnsi="Book Antiqua" w:cs="Times New Roman"/>
          <w:sz w:val="24"/>
          <w:szCs w:val="24"/>
        </w:rPr>
      </w:pPr>
    </w:p>
    <w:p w14:paraId="2303168A" w14:textId="77777777" w:rsidR="009024BF" w:rsidRPr="002B487F" w:rsidRDefault="009024BF" w:rsidP="009024BF">
      <w:pPr>
        <w:spacing w:line="360" w:lineRule="auto"/>
        <w:jc w:val="both"/>
        <w:rPr>
          <w:rFonts w:ascii="Book Antiqua" w:hAnsi="Book Antiqua" w:cs="Times New Roman"/>
          <w:sz w:val="24"/>
          <w:szCs w:val="24"/>
        </w:rPr>
      </w:pPr>
      <w:r w:rsidRPr="00730EC6">
        <w:rPr>
          <w:rFonts w:ascii="Book Antiqua" w:hAnsi="Book Antiqua" w:cs="Times New Roman"/>
          <w:b/>
          <w:sz w:val="24"/>
          <w:szCs w:val="24"/>
          <w:u w:val="single"/>
        </w:rPr>
        <w:t>E. Conclusions</w:t>
      </w:r>
    </w:p>
    <w:p w14:paraId="48847EA1" w14:textId="77777777" w:rsidR="009024BF" w:rsidRPr="002B487F" w:rsidRDefault="009024BF" w:rsidP="009024BF">
      <w:pPr>
        <w:pStyle w:val="ListParagraph"/>
        <w:numPr>
          <w:ilvl w:val="0"/>
          <w:numId w:val="38"/>
        </w:numPr>
        <w:spacing w:line="360" w:lineRule="auto"/>
        <w:ind w:left="567" w:hanging="567"/>
        <w:contextualSpacing w:val="0"/>
        <w:jc w:val="both"/>
        <w:rPr>
          <w:rFonts w:ascii="Book Antiqua" w:hAnsi="Book Antiqua" w:cs="Times New Roman"/>
          <w:sz w:val="24"/>
          <w:szCs w:val="24"/>
        </w:rPr>
      </w:pPr>
      <w:r w:rsidRPr="00F70A77">
        <w:rPr>
          <w:rFonts w:ascii="Book Antiqua" w:hAnsi="Book Antiqua" w:cs="Times New Roman"/>
          <w:sz w:val="24"/>
          <w:szCs w:val="24"/>
        </w:rPr>
        <w:lastRenderedPageBreak/>
        <w:t xml:space="preserve">The UK is currently the most popular location in the EU in which to trade derivatives.  To protect this </w:t>
      </w:r>
      <w:proofErr w:type="spellStart"/>
      <w:r w:rsidRPr="00F70A77">
        <w:rPr>
          <w:rFonts w:ascii="Book Antiqua" w:hAnsi="Book Antiqua" w:cs="Times New Roman"/>
          <w:sz w:val="24"/>
          <w:szCs w:val="24"/>
        </w:rPr>
        <w:t>positon</w:t>
      </w:r>
      <w:proofErr w:type="spellEnd"/>
      <w:r w:rsidRPr="00F70A77">
        <w:rPr>
          <w:rFonts w:ascii="Book Antiqua" w:hAnsi="Book Antiqua" w:cs="Times New Roman"/>
          <w:sz w:val="24"/>
          <w:szCs w:val="24"/>
        </w:rPr>
        <w:t xml:space="preserve"> of strength it is important that</w:t>
      </w:r>
      <w:r>
        <w:rPr>
          <w:rFonts w:ascii="Book Antiqua" w:hAnsi="Book Antiqua" w:cs="Times New Roman"/>
          <w:sz w:val="24"/>
          <w:szCs w:val="24"/>
        </w:rPr>
        <w:t xml:space="preserve"> either negotiations are concluded such that current </w:t>
      </w:r>
      <w:proofErr w:type="spellStart"/>
      <w:r>
        <w:rPr>
          <w:rFonts w:ascii="Book Antiqua" w:hAnsi="Book Antiqua" w:cs="Times New Roman"/>
          <w:sz w:val="24"/>
          <w:szCs w:val="24"/>
        </w:rPr>
        <w:t>passporting</w:t>
      </w:r>
      <w:proofErr w:type="spellEnd"/>
      <w:r>
        <w:rPr>
          <w:rFonts w:ascii="Book Antiqua" w:hAnsi="Book Antiqua" w:cs="Times New Roman"/>
          <w:sz w:val="24"/>
          <w:szCs w:val="24"/>
        </w:rPr>
        <w:t xml:space="preserve"> arrangements are continued or, at a minimum</w:t>
      </w:r>
      <w:r w:rsidRPr="00F70A77">
        <w:rPr>
          <w:rFonts w:ascii="Book Antiqua" w:hAnsi="Book Antiqua" w:cs="Times New Roman"/>
          <w:sz w:val="24"/>
          <w:szCs w:val="24"/>
        </w:rPr>
        <w:t>:</w:t>
      </w:r>
    </w:p>
    <w:p w14:paraId="1DFABFCE" w14:textId="77777777" w:rsidR="009024BF" w:rsidRPr="002B487F" w:rsidRDefault="009024BF" w:rsidP="009024BF">
      <w:pPr>
        <w:pStyle w:val="ListParagraph"/>
        <w:numPr>
          <w:ilvl w:val="0"/>
          <w:numId w:val="40"/>
        </w:numPr>
        <w:spacing w:line="360" w:lineRule="auto"/>
        <w:ind w:left="1134" w:hanging="567"/>
        <w:contextualSpacing w:val="0"/>
        <w:jc w:val="both"/>
        <w:rPr>
          <w:rFonts w:ascii="Book Antiqua" w:hAnsi="Book Antiqua" w:cs="Times New Roman"/>
          <w:sz w:val="24"/>
          <w:szCs w:val="24"/>
        </w:rPr>
      </w:pPr>
      <w:proofErr w:type="gramStart"/>
      <w:r w:rsidRPr="00F70A77">
        <w:rPr>
          <w:rFonts w:ascii="Book Antiqua" w:hAnsi="Book Antiqua" w:cs="Times New Roman"/>
          <w:sz w:val="24"/>
          <w:szCs w:val="24"/>
        </w:rPr>
        <w:t>there</w:t>
      </w:r>
      <w:proofErr w:type="gramEnd"/>
      <w:r w:rsidRPr="00F70A77">
        <w:rPr>
          <w:rFonts w:ascii="Book Antiqua" w:hAnsi="Book Antiqua" w:cs="Times New Roman"/>
          <w:sz w:val="24"/>
          <w:szCs w:val="24"/>
        </w:rPr>
        <w:t xml:space="preserve"> is certainty – in as much as there can be in the present circumstances – that the UK will be declared equivalent by the Commission;  and</w:t>
      </w:r>
    </w:p>
    <w:p w14:paraId="379D0918" w14:textId="77777777" w:rsidR="009024BF" w:rsidRDefault="009024BF" w:rsidP="009024BF">
      <w:pPr>
        <w:pStyle w:val="ListParagraph"/>
        <w:numPr>
          <w:ilvl w:val="0"/>
          <w:numId w:val="40"/>
        </w:numPr>
        <w:spacing w:line="360" w:lineRule="auto"/>
        <w:ind w:left="1134" w:hanging="567"/>
        <w:contextualSpacing w:val="0"/>
        <w:jc w:val="both"/>
      </w:pPr>
      <w:proofErr w:type="gramStart"/>
      <w:r w:rsidRPr="00F70A77">
        <w:rPr>
          <w:rFonts w:ascii="Book Antiqua" w:hAnsi="Book Antiqua" w:cs="Times New Roman"/>
          <w:sz w:val="24"/>
          <w:szCs w:val="24"/>
        </w:rPr>
        <w:t>transitional</w:t>
      </w:r>
      <w:proofErr w:type="gramEnd"/>
      <w:r w:rsidRPr="00F70A77">
        <w:rPr>
          <w:rFonts w:ascii="Book Antiqua" w:hAnsi="Book Antiqua" w:cs="Times New Roman"/>
          <w:sz w:val="24"/>
          <w:szCs w:val="24"/>
        </w:rPr>
        <w:t xml:space="preserve"> arrangements should be in place such that UK CCPs and trade depositories should continue to be recognised under EMIR until an equivalence determination is forthcoming.</w:t>
      </w:r>
    </w:p>
    <w:p w14:paraId="2DC8FB49" w14:textId="6D3301EB" w:rsidR="009024BF" w:rsidRDefault="009024BF">
      <w:pPr>
        <w:rPr>
          <w:rFonts w:ascii="Book Antiqua" w:hAnsi="Book Antiqua" w:cs="Times New Roman"/>
          <w:sz w:val="24"/>
          <w:szCs w:val="24"/>
        </w:rPr>
      </w:pPr>
      <w:r>
        <w:rPr>
          <w:rFonts w:ascii="Book Antiqua" w:hAnsi="Book Antiqua" w:cs="Times New Roman"/>
          <w:sz w:val="24"/>
          <w:szCs w:val="24"/>
        </w:rPr>
        <w:br w:type="page"/>
      </w:r>
    </w:p>
    <w:p w14:paraId="449FDF7F" w14:textId="77777777" w:rsidR="009024BF" w:rsidRPr="002051AD" w:rsidRDefault="009024BF" w:rsidP="009024BF">
      <w:pPr>
        <w:spacing w:line="360" w:lineRule="auto"/>
        <w:rPr>
          <w:rFonts w:ascii="Book Antiqua" w:hAnsi="Book Antiqua" w:cs="Times New Roman"/>
          <w:b/>
          <w:sz w:val="24"/>
          <w:szCs w:val="24"/>
          <w:u w:val="single"/>
        </w:rPr>
      </w:pPr>
      <w:r w:rsidRPr="002051AD">
        <w:rPr>
          <w:rFonts w:ascii="Book Antiqua" w:hAnsi="Book Antiqua" w:cs="Times New Roman"/>
          <w:b/>
          <w:sz w:val="24"/>
          <w:szCs w:val="24"/>
          <w:u w:val="single"/>
        </w:rPr>
        <w:lastRenderedPageBreak/>
        <w:t xml:space="preserve">CHAPTER 8 - THE PAYMENT SERVICES DIRECTIVE </w:t>
      </w:r>
    </w:p>
    <w:p w14:paraId="444DDE02" w14:textId="77777777" w:rsidR="009024BF" w:rsidRPr="002051AD" w:rsidRDefault="009024BF" w:rsidP="009024BF">
      <w:pPr>
        <w:spacing w:line="360" w:lineRule="auto"/>
        <w:jc w:val="both"/>
        <w:rPr>
          <w:rFonts w:ascii="Book Antiqua" w:hAnsi="Book Antiqua" w:cs="Times New Roman"/>
          <w:sz w:val="24"/>
          <w:szCs w:val="24"/>
        </w:rPr>
      </w:pPr>
    </w:p>
    <w:p w14:paraId="7A4AC884" w14:textId="77777777" w:rsidR="009024BF" w:rsidRPr="002051AD" w:rsidRDefault="009024BF" w:rsidP="009024BF">
      <w:pPr>
        <w:spacing w:line="360" w:lineRule="auto"/>
        <w:jc w:val="both"/>
        <w:rPr>
          <w:rFonts w:ascii="Book Antiqua" w:hAnsi="Book Antiqua" w:cs="Times New Roman"/>
          <w:sz w:val="24"/>
          <w:szCs w:val="24"/>
        </w:rPr>
      </w:pPr>
      <w:r w:rsidRPr="002051AD">
        <w:rPr>
          <w:rFonts w:ascii="Book Antiqua" w:hAnsi="Book Antiqua" w:cs="Times New Roman"/>
          <w:b/>
          <w:sz w:val="24"/>
          <w:szCs w:val="24"/>
          <w:u w:val="single"/>
        </w:rPr>
        <w:t>A. Introduction to the PSD</w:t>
      </w:r>
    </w:p>
    <w:p w14:paraId="21FB6F55"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eastAsiaTheme="minorEastAsia" w:hAnsi="Book Antiqua" w:cs="Times New Roman"/>
          <w:sz w:val="24"/>
          <w:szCs w:val="24"/>
        </w:rPr>
      </w:pPr>
      <w:bookmarkStart w:id="13" w:name="_Ref345536233"/>
      <w:r w:rsidRPr="002051AD">
        <w:rPr>
          <w:rFonts w:ascii="Book Antiqua" w:hAnsi="Book Antiqua" w:cs="Times New Roman"/>
          <w:sz w:val="24"/>
          <w:szCs w:val="24"/>
        </w:rPr>
        <w:t>The Payment Services Directive (2007/64/EC) (“</w:t>
      </w:r>
      <w:r w:rsidRPr="002051AD">
        <w:rPr>
          <w:rFonts w:ascii="Book Antiqua" w:hAnsi="Book Antiqua" w:cs="Times New Roman"/>
          <w:b/>
          <w:sz w:val="24"/>
          <w:szCs w:val="24"/>
        </w:rPr>
        <w:t>PSD</w:t>
      </w:r>
      <w:r w:rsidRPr="002051AD">
        <w:rPr>
          <w:rFonts w:ascii="Book Antiqua" w:hAnsi="Book Antiqua" w:cs="Times New Roman"/>
          <w:sz w:val="24"/>
          <w:szCs w:val="24"/>
        </w:rPr>
        <w:t>”)</w:t>
      </w:r>
      <w:r w:rsidRPr="002051AD">
        <w:rPr>
          <w:rStyle w:val="FootnoteReference"/>
          <w:rFonts w:ascii="Book Antiqua" w:hAnsi="Book Antiqua" w:cs="Times New Roman"/>
          <w:sz w:val="24"/>
          <w:szCs w:val="24"/>
        </w:rPr>
        <w:footnoteReference w:id="122"/>
      </w:r>
      <w:r w:rsidRPr="002051AD">
        <w:rPr>
          <w:rFonts w:ascii="Book Antiqua" w:hAnsi="Book Antiqua" w:cs="Times New Roman"/>
          <w:sz w:val="24"/>
          <w:szCs w:val="24"/>
        </w:rPr>
        <w:t xml:space="preserve"> is a minimum harmonising </w:t>
      </w:r>
      <w:proofErr w:type="gramStart"/>
      <w:r w:rsidRPr="002051AD">
        <w:rPr>
          <w:rFonts w:ascii="Book Antiqua" w:hAnsi="Book Antiqua" w:cs="Times New Roman"/>
          <w:sz w:val="24"/>
          <w:szCs w:val="24"/>
        </w:rPr>
        <w:t>measure which</w:t>
      </w:r>
      <w:proofErr w:type="gramEnd"/>
      <w:r w:rsidRPr="002051AD">
        <w:rPr>
          <w:rFonts w:ascii="Book Antiqua" w:hAnsi="Book Antiqua" w:cs="Times New Roman"/>
          <w:sz w:val="24"/>
          <w:szCs w:val="24"/>
        </w:rPr>
        <w:t xml:space="preserve"> lays down a regime designed to foster a </w:t>
      </w:r>
      <w:r w:rsidRPr="002051AD">
        <w:rPr>
          <w:rFonts w:ascii="Book Antiqua" w:eastAsiaTheme="minorEastAsia" w:hAnsi="Book Antiqua" w:cs="Times New Roman"/>
          <w:sz w:val="24"/>
          <w:szCs w:val="24"/>
        </w:rPr>
        <w:t>single market in retail payment services across the EU Member States and the EEA.  It develops the Single Euro Payments Area (“</w:t>
      </w:r>
      <w:r w:rsidRPr="002051AD">
        <w:rPr>
          <w:rFonts w:ascii="Book Antiqua" w:eastAsiaTheme="minorEastAsia" w:hAnsi="Book Antiqua" w:cs="Times New Roman"/>
          <w:b/>
          <w:sz w:val="24"/>
          <w:szCs w:val="24"/>
        </w:rPr>
        <w:t>SEPA</w:t>
      </w:r>
      <w:r w:rsidRPr="002051AD">
        <w:rPr>
          <w:rFonts w:ascii="Book Antiqua" w:eastAsiaTheme="minorEastAsia" w:hAnsi="Book Antiqua" w:cs="Times New Roman"/>
          <w:sz w:val="24"/>
          <w:szCs w:val="24"/>
        </w:rPr>
        <w:t>”), an integrated market for payment services in which there is no distinction between cross-border and national payments, by removing technical, legal and commercial barriers between national payment markets of different countries.</w:t>
      </w:r>
      <w:bookmarkEnd w:id="13"/>
    </w:p>
    <w:p w14:paraId="45EAE1A0"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eastAsiaTheme="minorEastAsia" w:hAnsi="Book Antiqua" w:cs="Times New Roman"/>
          <w:sz w:val="24"/>
          <w:szCs w:val="24"/>
        </w:rPr>
      </w:pPr>
      <w:r w:rsidRPr="002051AD">
        <w:rPr>
          <w:rFonts w:ascii="Book Antiqua" w:eastAsiaTheme="minorEastAsia" w:hAnsi="Book Antiqua" w:cs="Times New Roman"/>
          <w:sz w:val="24"/>
          <w:szCs w:val="24"/>
        </w:rPr>
        <w:t xml:space="preserve">Payment services </w:t>
      </w:r>
      <w:r w:rsidRPr="002051AD">
        <w:rPr>
          <w:rFonts w:ascii="Book Antiqua" w:hAnsi="Book Antiqua"/>
          <w:sz w:val="24"/>
          <w:szCs w:val="24"/>
        </w:rPr>
        <w:t>cover nearly all methods of making payments other than cheques and cash</w:t>
      </w:r>
      <w:r w:rsidRPr="002051AD">
        <w:rPr>
          <w:rFonts w:ascii="Book Antiqua" w:eastAsiaTheme="minorEastAsia" w:hAnsi="Book Antiqua" w:cs="Times New Roman"/>
          <w:sz w:val="24"/>
          <w:szCs w:val="24"/>
        </w:rPr>
        <w:t xml:space="preserve"> including, for example, the following:</w:t>
      </w:r>
    </w:p>
    <w:p w14:paraId="5EDE977B" w14:textId="77777777" w:rsidR="009024BF" w:rsidRPr="002051AD" w:rsidRDefault="009024BF" w:rsidP="009024BF">
      <w:pPr>
        <w:pStyle w:val="ListParagraph"/>
        <w:numPr>
          <w:ilvl w:val="1"/>
          <w:numId w:val="43"/>
        </w:numPr>
        <w:spacing w:line="360" w:lineRule="auto"/>
        <w:contextualSpacing w:val="0"/>
        <w:jc w:val="both"/>
        <w:rPr>
          <w:rFonts w:ascii="Book Antiqua" w:eastAsiaTheme="minorEastAsia" w:hAnsi="Book Antiqua" w:cs="Times New Roman"/>
          <w:sz w:val="24"/>
          <w:szCs w:val="24"/>
        </w:rPr>
      </w:pPr>
      <w:proofErr w:type="gramStart"/>
      <w:r w:rsidRPr="002051AD">
        <w:rPr>
          <w:rFonts w:ascii="Book Antiqua" w:hAnsi="Book Antiqua" w:cs="Times New Roman"/>
          <w:sz w:val="24"/>
          <w:szCs w:val="24"/>
        </w:rPr>
        <w:t>services</w:t>
      </w:r>
      <w:proofErr w:type="gramEnd"/>
      <w:r w:rsidRPr="002051AD">
        <w:rPr>
          <w:rFonts w:ascii="Book Antiqua" w:hAnsi="Book Antiqua" w:cs="Times New Roman"/>
          <w:sz w:val="24"/>
          <w:szCs w:val="24"/>
        </w:rPr>
        <w:t xml:space="preserve"> enabling cash to be placed on, or to be withdrawn from, a payment account and all of the operations required for operating a payment account;</w:t>
      </w:r>
    </w:p>
    <w:p w14:paraId="1C663A27" w14:textId="77777777" w:rsidR="009024BF" w:rsidRPr="002051AD" w:rsidRDefault="009024BF" w:rsidP="009024BF">
      <w:pPr>
        <w:pStyle w:val="ListParagraph"/>
        <w:numPr>
          <w:ilvl w:val="1"/>
          <w:numId w:val="43"/>
        </w:numPr>
        <w:spacing w:line="360" w:lineRule="auto"/>
        <w:contextualSpacing w:val="0"/>
        <w:jc w:val="both"/>
        <w:rPr>
          <w:rFonts w:ascii="Book Antiqua" w:eastAsiaTheme="minorEastAsia" w:hAnsi="Book Antiqua" w:cs="Times New Roman"/>
          <w:sz w:val="24"/>
          <w:szCs w:val="24"/>
        </w:rPr>
      </w:pPr>
      <w:proofErr w:type="gramStart"/>
      <w:r w:rsidRPr="002051AD">
        <w:rPr>
          <w:rFonts w:ascii="Book Antiqua" w:hAnsi="Book Antiqua" w:cs="Times New Roman"/>
          <w:sz w:val="24"/>
          <w:szCs w:val="24"/>
        </w:rPr>
        <w:t>the</w:t>
      </w:r>
      <w:proofErr w:type="gramEnd"/>
      <w:r w:rsidRPr="002051AD">
        <w:rPr>
          <w:rFonts w:ascii="Book Antiqua" w:hAnsi="Book Antiqua" w:cs="Times New Roman"/>
          <w:sz w:val="24"/>
          <w:szCs w:val="24"/>
        </w:rPr>
        <w:t xml:space="preserve"> execution of direct debits and credit transfers (including standing orders) and payment transactions executed through a payment card or similar device;</w:t>
      </w:r>
    </w:p>
    <w:p w14:paraId="18D1B64C" w14:textId="77777777" w:rsidR="009024BF" w:rsidRPr="002051AD" w:rsidRDefault="009024BF" w:rsidP="009024BF">
      <w:pPr>
        <w:pStyle w:val="ListParagraph"/>
        <w:numPr>
          <w:ilvl w:val="1"/>
          <w:numId w:val="43"/>
        </w:numPr>
        <w:spacing w:line="360" w:lineRule="auto"/>
        <w:contextualSpacing w:val="0"/>
        <w:jc w:val="both"/>
        <w:rPr>
          <w:rFonts w:ascii="Book Antiqua" w:eastAsiaTheme="minorEastAsia" w:hAnsi="Book Antiqua" w:cs="Times New Roman"/>
          <w:sz w:val="24"/>
          <w:szCs w:val="24"/>
        </w:rPr>
      </w:pPr>
      <w:proofErr w:type="gramStart"/>
      <w:r w:rsidRPr="002051AD">
        <w:rPr>
          <w:rFonts w:ascii="Book Antiqua" w:hAnsi="Book Antiqua" w:cs="Times New Roman"/>
          <w:sz w:val="24"/>
          <w:szCs w:val="24"/>
        </w:rPr>
        <w:t>issuing</w:t>
      </w:r>
      <w:proofErr w:type="gramEnd"/>
      <w:r w:rsidRPr="002051AD">
        <w:rPr>
          <w:rFonts w:ascii="Book Antiqua" w:hAnsi="Book Antiqua" w:cs="Times New Roman"/>
          <w:sz w:val="24"/>
          <w:szCs w:val="24"/>
        </w:rPr>
        <w:t xml:space="preserve"> payment instruments or acquiring payment transactions; and</w:t>
      </w:r>
    </w:p>
    <w:p w14:paraId="404B4A11" w14:textId="77777777" w:rsidR="009024BF" w:rsidRPr="002051AD" w:rsidRDefault="009024BF" w:rsidP="009024BF">
      <w:pPr>
        <w:pStyle w:val="ListParagraph"/>
        <w:numPr>
          <w:ilvl w:val="1"/>
          <w:numId w:val="43"/>
        </w:numPr>
        <w:spacing w:line="360" w:lineRule="auto"/>
        <w:contextualSpacing w:val="0"/>
        <w:jc w:val="both"/>
        <w:rPr>
          <w:rFonts w:ascii="Book Antiqua" w:eastAsiaTheme="minorEastAsia" w:hAnsi="Book Antiqua" w:cs="Times New Roman"/>
          <w:sz w:val="24"/>
          <w:szCs w:val="24"/>
        </w:rPr>
      </w:pPr>
      <w:proofErr w:type="gramStart"/>
      <w:r w:rsidRPr="002051AD">
        <w:rPr>
          <w:rFonts w:ascii="Book Antiqua" w:hAnsi="Book Antiqua" w:cs="Times New Roman"/>
          <w:sz w:val="24"/>
          <w:szCs w:val="24"/>
        </w:rPr>
        <w:t>money</w:t>
      </w:r>
      <w:proofErr w:type="gramEnd"/>
      <w:r w:rsidRPr="002051AD">
        <w:rPr>
          <w:rFonts w:ascii="Book Antiqua" w:hAnsi="Book Antiqua" w:cs="Times New Roman"/>
          <w:sz w:val="24"/>
          <w:szCs w:val="24"/>
        </w:rPr>
        <w:t xml:space="preserve"> remittance.</w:t>
      </w:r>
    </w:p>
    <w:p w14:paraId="23653A74"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eastAsiaTheme="minorEastAsia" w:hAnsi="Book Antiqua" w:cs="Times New Roman"/>
          <w:sz w:val="24"/>
          <w:szCs w:val="24"/>
        </w:rPr>
      </w:pPr>
      <w:r w:rsidRPr="002051AD">
        <w:rPr>
          <w:rFonts w:ascii="Book Antiqua" w:eastAsiaTheme="minorEastAsia" w:hAnsi="Book Antiqua" w:cs="Times New Roman"/>
          <w:sz w:val="24"/>
          <w:szCs w:val="24"/>
        </w:rPr>
        <w:t xml:space="preserve">The PSD </w:t>
      </w:r>
      <w:r w:rsidRPr="002051AD">
        <w:rPr>
          <w:rFonts w:ascii="Book Antiqua" w:hAnsi="Book Antiqua" w:cs="Times New Roman"/>
          <w:sz w:val="24"/>
          <w:szCs w:val="24"/>
        </w:rPr>
        <w:t>aims to make cross-border payments as easy, efficient and secure as ‘internal’ payments within a country, whilst also increasing competition and reducing costs by:</w:t>
      </w:r>
    </w:p>
    <w:p w14:paraId="7D804A88" w14:textId="77777777" w:rsidR="009024BF" w:rsidRPr="002051AD" w:rsidRDefault="009024BF" w:rsidP="009024BF">
      <w:pPr>
        <w:pStyle w:val="ListParagraph"/>
        <w:numPr>
          <w:ilvl w:val="1"/>
          <w:numId w:val="43"/>
        </w:numPr>
        <w:spacing w:line="360" w:lineRule="auto"/>
        <w:ind w:left="1134" w:hanging="567"/>
        <w:contextualSpacing w:val="0"/>
        <w:jc w:val="both"/>
        <w:rPr>
          <w:rFonts w:ascii="Book Antiqua" w:eastAsiaTheme="minorEastAsia" w:hAnsi="Book Antiqua" w:cs="Times New Roman"/>
          <w:sz w:val="24"/>
          <w:szCs w:val="24"/>
        </w:rPr>
      </w:pPr>
      <w:proofErr w:type="gramStart"/>
      <w:r w:rsidRPr="002051AD">
        <w:rPr>
          <w:rFonts w:ascii="Book Antiqua" w:eastAsiaTheme="minorEastAsia" w:hAnsi="Book Antiqua" w:cs="Times New Roman"/>
          <w:sz w:val="24"/>
          <w:szCs w:val="24"/>
        </w:rPr>
        <w:t>removing</w:t>
      </w:r>
      <w:proofErr w:type="gramEnd"/>
      <w:r w:rsidRPr="002051AD">
        <w:rPr>
          <w:rFonts w:ascii="Book Antiqua" w:eastAsiaTheme="minorEastAsia" w:hAnsi="Book Antiqua" w:cs="Times New Roman"/>
          <w:sz w:val="24"/>
          <w:szCs w:val="24"/>
        </w:rPr>
        <w:t xml:space="preserve"> barriers to entry and ensuring fair market access to enhance competition in payment services; and </w:t>
      </w:r>
    </w:p>
    <w:p w14:paraId="3DB82DCE" w14:textId="77777777" w:rsidR="009024BF" w:rsidRPr="002051AD" w:rsidRDefault="009024BF" w:rsidP="009024BF">
      <w:pPr>
        <w:pStyle w:val="ListParagraph"/>
        <w:spacing w:line="360" w:lineRule="auto"/>
        <w:ind w:left="1134" w:hanging="567"/>
        <w:contextualSpacing w:val="0"/>
        <w:jc w:val="both"/>
        <w:rPr>
          <w:rFonts w:ascii="Book Antiqua" w:eastAsiaTheme="minorEastAsia" w:hAnsi="Book Antiqua" w:cs="Times New Roman"/>
          <w:sz w:val="24"/>
          <w:szCs w:val="24"/>
        </w:rPr>
      </w:pPr>
    </w:p>
    <w:p w14:paraId="5DC20EFA" w14:textId="77777777" w:rsidR="009024BF" w:rsidRPr="002051AD" w:rsidRDefault="009024BF" w:rsidP="009024BF">
      <w:pPr>
        <w:pStyle w:val="ListParagraph"/>
        <w:numPr>
          <w:ilvl w:val="1"/>
          <w:numId w:val="43"/>
        </w:numPr>
        <w:spacing w:line="360" w:lineRule="auto"/>
        <w:ind w:left="1134" w:hanging="567"/>
        <w:contextualSpacing w:val="0"/>
        <w:jc w:val="both"/>
        <w:rPr>
          <w:rFonts w:ascii="Book Antiqua" w:hAnsi="Book Antiqua" w:cs="Times New Roman"/>
          <w:sz w:val="24"/>
          <w:szCs w:val="24"/>
        </w:rPr>
      </w:pPr>
      <w:proofErr w:type="gramStart"/>
      <w:r w:rsidRPr="002051AD">
        <w:rPr>
          <w:rFonts w:ascii="Book Antiqua" w:eastAsiaTheme="minorEastAsia" w:hAnsi="Book Antiqua" w:cs="Times New Roman"/>
          <w:sz w:val="24"/>
          <w:szCs w:val="24"/>
        </w:rPr>
        <w:t>establishing</w:t>
      </w:r>
      <w:proofErr w:type="gramEnd"/>
      <w:r w:rsidRPr="002051AD">
        <w:rPr>
          <w:rFonts w:ascii="Book Antiqua" w:eastAsiaTheme="minorEastAsia" w:hAnsi="Book Antiqua" w:cs="Times New Roman"/>
          <w:sz w:val="24"/>
          <w:szCs w:val="24"/>
        </w:rPr>
        <w:t xml:space="preserve"> the same set of rules across the EEA on information requirements and other rights and obligations that will be applicable to many payment services transactions in the EEA. </w:t>
      </w:r>
    </w:p>
    <w:p w14:paraId="78C5702C"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Pursuant to Article 10 once a Payment Service Provider (“</w:t>
      </w:r>
      <w:r w:rsidRPr="002051AD">
        <w:rPr>
          <w:rFonts w:ascii="Book Antiqua" w:hAnsi="Book Antiqua" w:cs="Times New Roman"/>
          <w:b/>
          <w:sz w:val="24"/>
          <w:szCs w:val="24"/>
        </w:rPr>
        <w:t>PSP</w:t>
      </w:r>
      <w:r w:rsidRPr="002051AD">
        <w:rPr>
          <w:rFonts w:ascii="Book Antiqua" w:hAnsi="Book Antiqua" w:cs="Times New Roman"/>
          <w:sz w:val="24"/>
          <w:szCs w:val="24"/>
        </w:rPr>
        <w:t xml:space="preserve">”) is authorised by a Member State to provide payment services, that authorisation is effective for the entire EU.  It is this </w:t>
      </w:r>
      <w:proofErr w:type="gramStart"/>
      <w:r w:rsidRPr="002051AD">
        <w:rPr>
          <w:rFonts w:ascii="Book Antiqua" w:hAnsi="Book Antiqua" w:cs="Times New Roman"/>
          <w:sz w:val="24"/>
          <w:szCs w:val="24"/>
        </w:rPr>
        <w:t>‘passport’ which</w:t>
      </w:r>
      <w:proofErr w:type="gramEnd"/>
      <w:r w:rsidRPr="002051AD">
        <w:rPr>
          <w:rFonts w:ascii="Book Antiqua" w:hAnsi="Book Antiqua" w:cs="Times New Roman"/>
          <w:sz w:val="24"/>
          <w:szCs w:val="24"/>
        </w:rPr>
        <w:t xml:space="preserve"> enables the PSP to provide its services to other Member States without the need for a separate licence from that Member State.  As per Article 25, any firm authorised by a Member State may exercise both the freedom to provide services, and also the freedom of establishment, throughout the EU.</w:t>
      </w:r>
    </w:p>
    <w:p w14:paraId="496D42A4"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Once the UK exits the EU, it will have the status of a “third country” and consequently, authorisation by the UK regulator to provide payment services will not be recognised by the rest of the EU.</w:t>
      </w:r>
    </w:p>
    <w:p w14:paraId="7FA274C0"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When reviewing the PSD in 2012/2013, the European Commission found the legislation had:</w:t>
      </w:r>
      <w:r w:rsidRPr="002051AD">
        <w:rPr>
          <w:rStyle w:val="FootnoteReference"/>
          <w:rFonts w:ascii="Book Antiqua" w:hAnsi="Book Antiqua" w:cs="Times New Roman"/>
          <w:sz w:val="24"/>
          <w:szCs w:val="24"/>
        </w:rPr>
        <w:footnoteReference w:id="123"/>
      </w:r>
    </w:p>
    <w:p w14:paraId="1665EE87" w14:textId="77777777" w:rsidR="009024BF" w:rsidRPr="002051AD" w:rsidRDefault="009024BF" w:rsidP="009024BF">
      <w:pPr>
        <w:pStyle w:val="ListParagraph"/>
        <w:numPr>
          <w:ilvl w:val="1"/>
          <w:numId w:val="43"/>
        </w:numPr>
        <w:spacing w:line="360" w:lineRule="auto"/>
        <w:contextualSpacing w:val="0"/>
        <w:jc w:val="both"/>
        <w:rPr>
          <w:rFonts w:ascii="Book Antiqua" w:hAnsi="Book Antiqua" w:cs="Times New Roman"/>
          <w:sz w:val="24"/>
          <w:szCs w:val="24"/>
        </w:rPr>
      </w:pPr>
      <w:proofErr w:type="gramStart"/>
      <w:r w:rsidRPr="002051AD">
        <w:rPr>
          <w:rFonts w:ascii="Book Antiqua" w:hAnsi="Book Antiqua" w:cs="Times New Roman"/>
          <w:sz w:val="24"/>
          <w:szCs w:val="24"/>
        </w:rPr>
        <w:t>increased</w:t>
      </w:r>
      <w:proofErr w:type="gramEnd"/>
      <w:r w:rsidRPr="002051AD">
        <w:rPr>
          <w:rFonts w:ascii="Book Antiqua" w:hAnsi="Book Antiqua" w:cs="Times New Roman"/>
          <w:sz w:val="24"/>
          <w:szCs w:val="24"/>
        </w:rPr>
        <w:t xml:space="preserve"> competition and choice by facilitating market entrance for regulated non-bank firms (i.e. payment institutions); </w:t>
      </w:r>
    </w:p>
    <w:p w14:paraId="5F7C5F6C" w14:textId="77777777" w:rsidR="009024BF" w:rsidRPr="002051AD" w:rsidRDefault="009024BF" w:rsidP="009024BF">
      <w:pPr>
        <w:pStyle w:val="ListParagraph"/>
        <w:numPr>
          <w:ilvl w:val="1"/>
          <w:numId w:val="43"/>
        </w:numPr>
        <w:spacing w:line="360" w:lineRule="auto"/>
        <w:contextualSpacing w:val="0"/>
        <w:jc w:val="both"/>
        <w:rPr>
          <w:rFonts w:ascii="Book Antiqua" w:hAnsi="Book Antiqua" w:cs="Times New Roman"/>
          <w:sz w:val="24"/>
          <w:szCs w:val="24"/>
        </w:rPr>
      </w:pPr>
      <w:proofErr w:type="gramStart"/>
      <w:r w:rsidRPr="002051AD">
        <w:rPr>
          <w:rFonts w:ascii="Book Antiqua" w:hAnsi="Book Antiqua" w:cs="Times New Roman"/>
          <w:sz w:val="24"/>
          <w:szCs w:val="24"/>
        </w:rPr>
        <w:t>improved</w:t>
      </w:r>
      <w:proofErr w:type="gramEnd"/>
      <w:r w:rsidRPr="002051AD">
        <w:rPr>
          <w:rFonts w:ascii="Book Antiqua" w:hAnsi="Book Antiqua" w:cs="Times New Roman"/>
          <w:sz w:val="24"/>
          <w:szCs w:val="24"/>
        </w:rPr>
        <w:t xml:space="preserve"> economies of scale whilst providing the foundation of the operational implementation of SEPA; and </w:t>
      </w:r>
    </w:p>
    <w:p w14:paraId="41659CC8" w14:textId="77777777" w:rsidR="009024BF" w:rsidRPr="002051AD" w:rsidRDefault="009024BF" w:rsidP="009024BF">
      <w:pPr>
        <w:pStyle w:val="ListParagraph"/>
        <w:numPr>
          <w:ilvl w:val="1"/>
          <w:numId w:val="43"/>
        </w:numPr>
        <w:spacing w:line="360" w:lineRule="auto"/>
        <w:contextualSpacing w:val="0"/>
        <w:jc w:val="both"/>
        <w:rPr>
          <w:rFonts w:ascii="Book Antiqua" w:hAnsi="Book Antiqua" w:cs="Times New Roman"/>
          <w:sz w:val="24"/>
          <w:szCs w:val="24"/>
        </w:rPr>
      </w:pPr>
      <w:proofErr w:type="gramStart"/>
      <w:r w:rsidRPr="002051AD">
        <w:rPr>
          <w:rFonts w:ascii="Book Antiqua" w:hAnsi="Book Antiqua" w:cs="Times New Roman"/>
          <w:sz w:val="24"/>
          <w:szCs w:val="24"/>
        </w:rPr>
        <w:t>enhanced</w:t>
      </w:r>
      <w:proofErr w:type="gramEnd"/>
      <w:r w:rsidRPr="002051AD">
        <w:rPr>
          <w:rFonts w:ascii="Book Antiqua" w:hAnsi="Book Antiqua" w:cs="Times New Roman"/>
          <w:sz w:val="24"/>
          <w:szCs w:val="24"/>
        </w:rPr>
        <w:t xml:space="preserve"> transparency, in particular given the information requirements and rights/obligations linked to payment services such as execution times, refund rights and the liability regime.</w:t>
      </w:r>
    </w:p>
    <w:p w14:paraId="723C89BB" w14:textId="77777777" w:rsidR="009024BF" w:rsidRPr="002051AD" w:rsidRDefault="009024BF" w:rsidP="009024BF">
      <w:pPr>
        <w:spacing w:line="360" w:lineRule="auto"/>
        <w:jc w:val="both"/>
        <w:rPr>
          <w:rFonts w:ascii="Book Antiqua" w:hAnsi="Book Antiqua" w:cs="Times New Roman"/>
          <w:sz w:val="24"/>
          <w:szCs w:val="24"/>
        </w:rPr>
      </w:pPr>
    </w:p>
    <w:p w14:paraId="177CCC6A" w14:textId="77777777" w:rsidR="009024BF" w:rsidRPr="002051AD" w:rsidRDefault="009024BF" w:rsidP="009024BF">
      <w:pPr>
        <w:spacing w:line="360" w:lineRule="auto"/>
        <w:jc w:val="both"/>
        <w:rPr>
          <w:rFonts w:ascii="Book Antiqua" w:hAnsi="Book Antiqua" w:cs="Times New Roman"/>
          <w:sz w:val="24"/>
          <w:szCs w:val="24"/>
        </w:rPr>
      </w:pPr>
      <w:r w:rsidRPr="002051AD">
        <w:rPr>
          <w:rFonts w:ascii="Book Antiqua" w:hAnsi="Book Antiqua" w:cs="Times New Roman"/>
          <w:b/>
          <w:sz w:val="24"/>
          <w:szCs w:val="24"/>
          <w:u w:val="single"/>
        </w:rPr>
        <w:t>B. UK Implementation</w:t>
      </w:r>
    </w:p>
    <w:p w14:paraId="29BAAD31"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lastRenderedPageBreak/>
        <w:t xml:space="preserve">The </w:t>
      </w:r>
      <w:proofErr w:type="gramStart"/>
      <w:r w:rsidRPr="002051AD">
        <w:rPr>
          <w:rFonts w:ascii="Book Antiqua" w:hAnsi="Book Antiqua" w:cs="Times New Roman"/>
          <w:sz w:val="24"/>
          <w:szCs w:val="24"/>
        </w:rPr>
        <w:t>PSD was implemented in the UK by the Payment Services Regulations 2009</w:t>
      </w:r>
      <w:proofErr w:type="gramEnd"/>
      <w:r w:rsidRPr="002051AD">
        <w:rPr>
          <w:rFonts w:ascii="Book Antiqua" w:hAnsi="Book Antiqua" w:cs="Times New Roman"/>
          <w:sz w:val="24"/>
          <w:szCs w:val="24"/>
        </w:rPr>
        <w:t>;</w:t>
      </w:r>
      <w:r w:rsidRPr="002051AD">
        <w:rPr>
          <w:rStyle w:val="FootnoteReference"/>
          <w:rFonts w:ascii="Book Antiqua" w:hAnsi="Book Antiqua" w:cs="Times New Roman"/>
          <w:sz w:val="24"/>
          <w:szCs w:val="24"/>
        </w:rPr>
        <w:footnoteReference w:id="124"/>
      </w:r>
      <w:r w:rsidRPr="002051AD">
        <w:rPr>
          <w:rFonts w:ascii="Book Antiqua" w:hAnsi="Book Antiqua" w:cs="Times New Roman"/>
          <w:sz w:val="24"/>
          <w:szCs w:val="24"/>
        </w:rPr>
        <w:t xml:space="preserve"> the Payment Services (Amendment) Regulations 2009;</w:t>
      </w:r>
      <w:r w:rsidRPr="002051AD">
        <w:rPr>
          <w:rStyle w:val="FootnoteReference"/>
          <w:rFonts w:ascii="Book Antiqua" w:hAnsi="Book Antiqua" w:cs="Times New Roman"/>
          <w:sz w:val="24"/>
          <w:szCs w:val="24"/>
        </w:rPr>
        <w:footnoteReference w:id="125"/>
      </w:r>
      <w:r w:rsidRPr="002051AD">
        <w:rPr>
          <w:rFonts w:ascii="Book Antiqua" w:hAnsi="Book Antiqua" w:cs="Times New Roman"/>
          <w:sz w:val="24"/>
          <w:szCs w:val="24"/>
        </w:rPr>
        <w:t xml:space="preserve"> and the Payment Services Regulations 2012 (known collectively as “</w:t>
      </w:r>
      <w:r w:rsidRPr="002051AD">
        <w:rPr>
          <w:rFonts w:ascii="Book Antiqua" w:hAnsi="Book Antiqua" w:cs="Times New Roman"/>
          <w:b/>
          <w:sz w:val="24"/>
          <w:szCs w:val="24"/>
        </w:rPr>
        <w:t>the PSRs</w:t>
      </w:r>
      <w:r w:rsidRPr="002051AD">
        <w:rPr>
          <w:rFonts w:ascii="Book Antiqua" w:hAnsi="Book Antiqua" w:cs="Times New Roman"/>
          <w:sz w:val="24"/>
          <w:szCs w:val="24"/>
        </w:rPr>
        <w:t>”).</w:t>
      </w:r>
      <w:r w:rsidRPr="002051AD">
        <w:rPr>
          <w:rStyle w:val="FootnoteReference"/>
          <w:rFonts w:ascii="Book Antiqua" w:hAnsi="Book Antiqua" w:cs="Times New Roman"/>
          <w:sz w:val="24"/>
          <w:szCs w:val="24"/>
        </w:rPr>
        <w:footnoteReference w:id="126"/>
      </w:r>
      <w:r w:rsidRPr="002051AD">
        <w:rPr>
          <w:rFonts w:ascii="Book Antiqua" w:hAnsi="Book Antiqua" w:cs="Times New Roman"/>
          <w:sz w:val="24"/>
          <w:szCs w:val="24"/>
        </w:rPr>
        <w:t xml:space="preserve"> As material, the PSRs provide as follows:</w:t>
      </w:r>
    </w:p>
    <w:p w14:paraId="7992EA7E" w14:textId="77777777" w:rsidR="009024BF" w:rsidRPr="002051AD" w:rsidRDefault="009024BF" w:rsidP="009024BF">
      <w:pPr>
        <w:pStyle w:val="ListParagraph"/>
        <w:numPr>
          <w:ilvl w:val="1"/>
          <w:numId w:val="43"/>
        </w:numPr>
        <w:spacing w:line="360" w:lineRule="auto"/>
        <w:ind w:left="1134" w:hanging="567"/>
        <w:contextualSpacing w:val="0"/>
        <w:jc w:val="both"/>
        <w:rPr>
          <w:rFonts w:ascii="Book Antiqua" w:hAnsi="Book Antiqua" w:cs="Times New Roman"/>
          <w:sz w:val="24"/>
          <w:szCs w:val="24"/>
        </w:rPr>
      </w:pPr>
      <w:r w:rsidRPr="002051AD">
        <w:rPr>
          <w:rFonts w:ascii="Book Antiqua" w:eastAsiaTheme="minorEastAsia" w:hAnsi="Book Antiqua" w:cs="Times New Roman"/>
          <w:sz w:val="24"/>
          <w:szCs w:val="24"/>
        </w:rPr>
        <w:t>PSPs that are not banks, building societies or e-money issuers (and so already authorised or certificated by the FCA) are required to comply with an authorisation and prudential regime, in order to become authorised payment institutions (“authorised PIs”) and be able to passport their services to other EEA States.</w:t>
      </w:r>
      <w:r w:rsidRPr="002051AD">
        <w:rPr>
          <w:rStyle w:val="FootnoteReference"/>
          <w:rFonts w:ascii="Book Antiqua" w:eastAsiaTheme="minorEastAsia" w:hAnsi="Book Antiqua" w:cs="Times New Roman"/>
          <w:sz w:val="24"/>
          <w:szCs w:val="24"/>
        </w:rPr>
        <w:footnoteReference w:id="127"/>
      </w:r>
      <w:r w:rsidRPr="002051AD">
        <w:rPr>
          <w:rFonts w:ascii="Book Antiqua" w:eastAsiaTheme="minorEastAsia" w:hAnsi="Book Antiqua" w:cs="Times New Roman"/>
          <w:sz w:val="24"/>
          <w:szCs w:val="24"/>
        </w:rPr>
        <w:t xml:space="preserve">  For example, these include </w:t>
      </w:r>
      <w:r w:rsidRPr="002051AD">
        <w:rPr>
          <w:rFonts w:ascii="Book Antiqua" w:hAnsi="Book Antiqua" w:cs="Times New Roman"/>
          <w:sz w:val="24"/>
          <w:szCs w:val="24"/>
        </w:rPr>
        <w:t>e-money issuers, money remitters, (non-bank) credit card issuers and (non-bank) merchant acquirers.</w:t>
      </w:r>
    </w:p>
    <w:p w14:paraId="143ADEBC" w14:textId="77777777" w:rsidR="009024BF" w:rsidRPr="002051AD" w:rsidRDefault="009024BF" w:rsidP="009024BF">
      <w:pPr>
        <w:pStyle w:val="ListParagraph"/>
        <w:numPr>
          <w:ilvl w:val="1"/>
          <w:numId w:val="43"/>
        </w:numPr>
        <w:spacing w:line="360" w:lineRule="auto"/>
        <w:ind w:left="1134" w:hanging="567"/>
        <w:contextualSpacing w:val="0"/>
        <w:jc w:val="both"/>
        <w:rPr>
          <w:rFonts w:ascii="Book Antiqua" w:hAnsi="Book Antiqua" w:cs="Times New Roman"/>
          <w:sz w:val="24"/>
          <w:szCs w:val="24"/>
          <w:u w:val="single"/>
        </w:rPr>
      </w:pPr>
      <w:r w:rsidRPr="002051AD">
        <w:rPr>
          <w:rFonts w:ascii="Book Antiqua" w:hAnsi="Book Antiqua" w:cs="Times New Roman"/>
          <w:sz w:val="24"/>
          <w:szCs w:val="24"/>
        </w:rPr>
        <w:t>Small payment institutions (“SPI”) are unable to passport but are exempt from authorisation and prudential requirements under the PSD</w:t>
      </w:r>
      <w:r w:rsidRPr="002051AD">
        <w:rPr>
          <w:rStyle w:val="FootnoteReference"/>
          <w:rFonts w:ascii="Book Antiqua" w:hAnsi="Book Antiqua" w:cs="Times New Roman"/>
          <w:sz w:val="24"/>
          <w:szCs w:val="24"/>
        </w:rPr>
        <w:footnoteReference w:id="128"/>
      </w:r>
      <w:r w:rsidRPr="002051AD">
        <w:rPr>
          <w:rFonts w:ascii="Book Antiqua" w:hAnsi="Book Antiqua" w:cs="Times New Roman"/>
          <w:sz w:val="24"/>
          <w:szCs w:val="24"/>
        </w:rPr>
        <w:t xml:space="preserve"> and instead simply need to be registered with the FCA.</w:t>
      </w:r>
      <w:r w:rsidRPr="002051AD">
        <w:rPr>
          <w:rStyle w:val="FootnoteReference"/>
          <w:rFonts w:ascii="Book Antiqua" w:hAnsi="Book Antiqua" w:cs="Times New Roman"/>
          <w:sz w:val="24"/>
          <w:szCs w:val="24"/>
        </w:rPr>
        <w:footnoteReference w:id="129"/>
      </w:r>
    </w:p>
    <w:p w14:paraId="317F889F" w14:textId="77777777" w:rsidR="009024BF" w:rsidRPr="002051AD" w:rsidRDefault="009024BF" w:rsidP="009024BF">
      <w:pPr>
        <w:numPr>
          <w:ilvl w:val="0"/>
          <w:numId w:val="43"/>
        </w:numPr>
        <w:spacing w:line="360" w:lineRule="auto"/>
        <w:ind w:left="567" w:hanging="567"/>
        <w:jc w:val="both"/>
        <w:rPr>
          <w:rFonts w:ascii="Book Antiqua" w:hAnsi="Book Antiqua"/>
          <w:sz w:val="24"/>
          <w:szCs w:val="24"/>
        </w:rPr>
      </w:pPr>
      <w:r w:rsidRPr="002051AD">
        <w:rPr>
          <w:rFonts w:ascii="Book Antiqua" w:hAnsi="Book Antiqua"/>
          <w:sz w:val="24"/>
          <w:szCs w:val="24"/>
        </w:rPr>
        <w:t>The Payment Services Regulations 2009, which were made on 9 February 2009 and generally came into force on 15 May 2009. Under the Regulations:</w:t>
      </w:r>
    </w:p>
    <w:p w14:paraId="04A909B1" w14:textId="77777777" w:rsidR="009024BF" w:rsidRPr="002051AD" w:rsidRDefault="009024BF" w:rsidP="009024BF">
      <w:pPr>
        <w:numPr>
          <w:ilvl w:val="1"/>
          <w:numId w:val="43"/>
        </w:numPr>
        <w:spacing w:line="360" w:lineRule="auto"/>
        <w:ind w:left="1134" w:hanging="567"/>
        <w:jc w:val="both"/>
        <w:rPr>
          <w:rFonts w:ascii="Book Antiqua" w:hAnsi="Book Antiqua"/>
          <w:sz w:val="24"/>
          <w:szCs w:val="24"/>
        </w:rPr>
      </w:pPr>
      <w:r w:rsidRPr="002051AD">
        <w:rPr>
          <w:rFonts w:ascii="Book Antiqua" w:hAnsi="Book Antiqua"/>
          <w:sz w:val="24"/>
          <w:szCs w:val="24"/>
        </w:rPr>
        <w:t>Part 2 deals with the registration of payment service providers as authorised payment institutions or small payment institutions;</w:t>
      </w:r>
    </w:p>
    <w:p w14:paraId="63E57B2E" w14:textId="77777777" w:rsidR="009024BF" w:rsidRPr="002051AD" w:rsidRDefault="009024BF" w:rsidP="009024BF">
      <w:pPr>
        <w:numPr>
          <w:ilvl w:val="1"/>
          <w:numId w:val="43"/>
        </w:numPr>
        <w:spacing w:line="360" w:lineRule="auto"/>
        <w:ind w:left="1134" w:hanging="567"/>
        <w:jc w:val="both"/>
        <w:rPr>
          <w:rFonts w:ascii="Book Antiqua" w:hAnsi="Book Antiqua"/>
          <w:sz w:val="24"/>
          <w:szCs w:val="24"/>
        </w:rPr>
      </w:pPr>
      <w:r w:rsidRPr="002051AD">
        <w:rPr>
          <w:rFonts w:ascii="Book Antiqua" w:hAnsi="Book Antiqua"/>
          <w:sz w:val="24"/>
          <w:szCs w:val="24"/>
        </w:rPr>
        <w:t>Part 3 sets out rules for authorised payment institutions;</w:t>
      </w:r>
    </w:p>
    <w:p w14:paraId="75B3702B" w14:textId="77777777" w:rsidR="009024BF" w:rsidRPr="002051AD" w:rsidRDefault="009024BF" w:rsidP="009024BF">
      <w:pPr>
        <w:numPr>
          <w:ilvl w:val="1"/>
          <w:numId w:val="43"/>
        </w:numPr>
        <w:spacing w:line="360" w:lineRule="auto"/>
        <w:ind w:left="1134" w:hanging="567"/>
        <w:jc w:val="both"/>
        <w:rPr>
          <w:rFonts w:ascii="Book Antiqua" w:hAnsi="Book Antiqua"/>
          <w:sz w:val="24"/>
          <w:szCs w:val="24"/>
        </w:rPr>
      </w:pPr>
      <w:r w:rsidRPr="002051AD">
        <w:rPr>
          <w:rFonts w:ascii="Book Antiqua" w:hAnsi="Book Antiqua"/>
          <w:sz w:val="24"/>
          <w:szCs w:val="24"/>
        </w:rPr>
        <w:t>Part 4 sets out rules for both authorised payment institutions and small payment institutions;</w:t>
      </w:r>
    </w:p>
    <w:p w14:paraId="7FE3275D" w14:textId="77777777" w:rsidR="009024BF" w:rsidRPr="002051AD" w:rsidRDefault="009024BF" w:rsidP="009024BF">
      <w:pPr>
        <w:numPr>
          <w:ilvl w:val="1"/>
          <w:numId w:val="43"/>
        </w:numPr>
        <w:spacing w:line="360" w:lineRule="auto"/>
        <w:ind w:left="1134" w:hanging="567"/>
        <w:jc w:val="both"/>
        <w:rPr>
          <w:rFonts w:ascii="Book Antiqua" w:hAnsi="Book Antiqua"/>
          <w:sz w:val="24"/>
          <w:szCs w:val="24"/>
        </w:rPr>
      </w:pPr>
      <w:r w:rsidRPr="002051AD">
        <w:rPr>
          <w:rFonts w:ascii="Book Antiqua" w:hAnsi="Book Antiqua"/>
          <w:sz w:val="24"/>
          <w:szCs w:val="24"/>
        </w:rPr>
        <w:lastRenderedPageBreak/>
        <w:t>Part 5 sets out requirements for information to be provided by payment service providers to payment system users before and after payments are made,</w:t>
      </w:r>
    </w:p>
    <w:p w14:paraId="486A23D4" w14:textId="77777777" w:rsidR="009024BF" w:rsidRPr="002051AD" w:rsidRDefault="009024BF" w:rsidP="009024BF">
      <w:pPr>
        <w:numPr>
          <w:ilvl w:val="1"/>
          <w:numId w:val="43"/>
        </w:numPr>
        <w:spacing w:line="360" w:lineRule="auto"/>
        <w:ind w:left="1134" w:hanging="567"/>
        <w:jc w:val="both"/>
        <w:rPr>
          <w:rFonts w:ascii="Book Antiqua" w:hAnsi="Book Antiqua"/>
          <w:sz w:val="24"/>
          <w:szCs w:val="24"/>
        </w:rPr>
      </w:pPr>
      <w:r w:rsidRPr="002051AD">
        <w:rPr>
          <w:rFonts w:ascii="Book Antiqua" w:hAnsi="Book Antiqua"/>
          <w:sz w:val="24"/>
          <w:szCs w:val="24"/>
        </w:rPr>
        <w:t>Part 6 sets out rights and obligations in relation to the provision of payment services, and in particular sets out rules that protect the payer from losses caused by unauthorised transactions unless caused by fraud or a negligent failure to keep security details confidential, put on the payment system provider the burden of showing that an unauthorised payment was caused by failing to keep such security details confidential, limit the circumstances under which payment service providers can levy fees, and protect payment service providers where payment is made to a “unique identifier” (such as an account number) even if the unique identifier does not belong to the intended recipient of the payment;</w:t>
      </w:r>
    </w:p>
    <w:p w14:paraId="2AED5E66" w14:textId="77777777" w:rsidR="009024BF" w:rsidRPr="002051AD" w:rsidRDefault="009024BF" w:rsidP="009024BF">
      <w:pPr>
        <w:numPr>
          <w:ilvl w:val="1"/>
          <w:numId w:val="43"/>
        </w:numPr>
        <w:spacing w:line="360" w:lineRule="auto"/>
        <w:ind w:left="1134" w:hanging="567"/>
        <w:jc w:val="both"/>
        <w:rPr>
          <w:rFonts w:ascii="Book Antiqua" w:hAnsi="Book Antiqua"/>
          <w:sz w:val="24"/>
          <w:szCs w:val="24"/>
        </w:rPr>
      </w:pPr>
      <w:r w:rsidRPr="002051AD">
        <w:rPr>
          <w:rFonts w:ascii="Book Antiqua" w:hAnsi="Book Antiqua"/>
          <w:sz w:val="24"/>
          <w:szCs w:val="24"/>
        </w:rPr>
        <w:t>Part 7 confers powers on the FCA to regulate payment system providers;</w:t>
      </w:r>
    </w:p>
    <w:p w14:paraId="6F4B357C" w14:textId="77777777" w:rsidR="009024BF" w:rsidRPr="002051AD" w:rsidRDefault="009024BF" w:rsidP="009024BF">
      <w:pPr>
        <w:numPr>
          <w:ilvl w:val="1"/>
          <w:numId w:val="43"/>
        </w:numPr>
        <w:spacing w:line="360" w:lineRule="auto"/>
        <w:ind w:left="1134" w:hanging="567"/>
        <w:jc w:val="both"/>
        <w:rPr>
          <w:rFonts w:ascii="Book Antiqua" w:hAnsi="Book Antiqua"/>
          <w:sz w:val="24"/>
          <w:szCs w:val="24"/>
        </w:rPr>
      </w:pPr>
      <w:r w:rsidRPr="002051AD">
        <w:rPr>
          <w:rFonts w:ascii="Book Antiqua" w:hAnsi="Book Antiqua"/>
          <w:sz w:val="24"/>
          <w:szCs w:val="24"/>
        </w:rPr>
        <w:t>Part 8 requires payment system providers to offer access to payment systems on a non-discriminatory basis (and confers powers on the CMA to enforce this); and</w:t>
      </w:r>
    </w:p>
    <w:p w14:paraId="334FCC5C" w14:textId="77777777" w:rsidR="009024BF" w:rsidRPr="002051AD" w:rsidRDefault="009024BF" w:rsidP="009024BF">
      <w:pPr>
        <w:numPr>
          <w:ilvl w:val="1"/>
          <w:numId w:val="43"/>
        </w:numPr>
        <w:spacing w:line="360" w:lineRule="auto"/>
        <w:ind w:left="1134" w:hanging="567"/>
        <w:jc w:val="both"/>
        <w:rPr>
          <w:rFonts w:ascii="Book Antiqua" w:hAnsi="Book Antiqua"/>
          <w:sz w:val="24"/>
          <w:szCs w:val="24"/>
        </w:rPr>
      </w:pPr>
      <w:r w:rsidRPr="002051AD">
        <w:rPr>
          <w:rFonts w:ascii="Book Antiqua" w:hAnsi="Book Antiqua"/>
          <w:sz w:val="24"/>
          <w:szCs w:val="24"/>
        </w:rPr>
        <w:t>Part 9 creates criminal offences in relation to payment services.</w:t>
      </w:r>
    </w:p>
    <w:p w14:paraId="175FB812"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u w:val="single"/>
        </w:rPr>
      </w:pPr>
      <w:r w:rsidRPr="002051AD">
        <w:rPr>
          <w:rFonts w:ascii="Book Antiqua" w:hAnsi="Book Antiqua"/>
          <w:sz w:val="24"/>
          <w:szCs w:val="24"/>
        </w:rPr>
        <w:t>This section generally considers the position under parts 5 and 6 (since they concern the relationship of banker and customer), rather than the regulatory aspects of the other parts.</w:t>
      </w:r>
    </w:p>
    <w:p w14:paraId="4E254B6D" w14:textId="77777777" w:rsidR="009024BF" w:rsidRPr="002051AD" w:rsidRDefault="009024BF" w:rsidP="009024BF">
      <w:pPr>
        <w:spacing w:line="360" w:lineRule="auto"/>
        <w:jc w:val="both"/>
        <w:rPr>
          <w:rFonts w:ascii="Book Antiqua" w:hAnsi="Book Antiqua" w:cs="Times New Roman"/>
          <w:b/>
          <w:sz w:val="24"/>
          <w:szCs w:val="24"/>
          <w:u w:val="single"/>
        </w:rPr>
      </w:pPr>
    </w:p>
    <w:p w14:paraId="07CB79FB" w14:textId="77777777" w:rsidR="009024BF" w:rsidRPr="002051AD" w:rsidRDefault="009024BF" w:rsidP="009024BF">
      <w:pPr>
        <w:spacing w:line="360" w:lineRule="auto"/>
        <w:jc w:val="both"/>
        <w:rPr>
          <w:rFonts w:ascii="Book Antiqua" w:hAnsi="Book Antiqua" w:cs="Times New Roman"/>
          <w:b/>
          <w:sz w:val="24"/>
          <w:szCs w:val="24"/>
        </w:rPr>
      </w:pPr>
      <w:r w:rsidRPr="002051AD">
        <w:rPr>
          <w:rFonts w:ascii="Book Antiqua" w:hAnsi="Book Antiqua" w:cs="Times New Roman"/>
          <w:b/>
          <w:sz w:val="24"/>
          <w:szCs w:val="24"/>
          <w:u w:val="single"/>
        </w:rPr>
        <w:t>C. No Equivalence Provisions in the PSD</w:t>
      </w:r>
    </w:p>
    <w:p w14:paraId="24133C72"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 xml:space="preserve">There are no “equivalence provisions” within the PSD that allow recognition of a third country PSP to provide payment services within the EU/EEA. As such, if the UK were to exit the EU and becomes a third country without specific arrangements to retain </w:t>
      </w:r>
      <w:proofErr w:type="spellStart"/>
      <w:r w:rsidRPr="002051AD">
        <w:rPr>
          <w:rFonts w:ascii="Book Antiqua" w:hAnsi="Book Antiqua" w:cs="Times New Roman"/>
          <w:sz w:val="24"/>
          <w:szCs w:val="24"/>
        </w:rPr>
        <w:t>passporting</w:t>
      </w:r>
      <w:proofErr w:type="spellEnd"/>
      <w:r w:rsidRPr="002051AD">
        <w:rPr>
          <w:rFonts w:ascii="Book Antiqua" w:hAnsi="Book Antiqua" w:cs="Times New Roman"/>
          <w:sz w:val="24"/>
          <w:szCs w:val="24"/>
        </w:rPr>
        <w:t xml:space="preserve"> or similar tailored arrangements, there is </w:t>
      </w:r>
      <w:r w:rsidRPr="002051AD">
        <w:rPr>
          <w:rFonts w:ascii="Book Antiqua" w:hAnsi="Book Antiqua" w:cs="Times New Roman"/>
          <w:sz w:val="24"/>
          <w:szCs w:val="24"/>
        </w:rPr>
        <w:lastRenderedPageBreak/>
        <w:t xml:space="preserve">currently no mechanism within the PSD to enable a firm authorised by the UK regulator to provide payment services across the rest of the EU/EEA. </w:t>
      </w:r>
    </w:p>
    <w:p w14:paraId="1102A5FA"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 xml:space="preserve">The practical and commercial consequences of the UK being a third country without tailored arrangements would be significant for all types of PSPs. The UK is the largest user of PSD </w:t>
      </w:r>
      <w:proofErr w:type="spellStart"/>
      <w:r w:rsidRPr="002051AD">
        <w:rPr>
          <w:rFonts w:ascii="Book Antiqua" w:hAnsi="Book Antiqua" w:cs="Times New Roman"/>
          <w:sz w:val="24"/>
          <w:szCs w:val="24"/>
        </w:rPr>
        <w:t>passporting</w:t>
      </w:r>
      <w:proofErr w:type="spellEnd"/>
      <w:r w:rsidRPr="002051AD">
        <w:rPr>
          <w:rFonts w:ascii="Book Antiqua" w:hAnsi="Book Antiqua" w:cs="Times New Roman"/>
          <w:sz w:val="24"/>
          <w:szCs w:val="24"/>
        </w:rPr>
        <w:t xml:space="preserve"> permission</w:t>
      </w:r>
      <w:r w:rsidRPr="002051AD">
        <w:rPr>
          <w:rStyle w:val="FootnoteReference"/>
          <w:rFonts w:ascii="Book Antiqua" w:hAnsi="Book Antiqua" w:cs="Times New Roman"/>
          <w:sz w:val="24"/>
          <w:szCs w:val="24"/>
        </w:rPr>
        <w:footnoteReference w:id="130"/>
      </w:r>
      <w:r w:rsidRPr="002051AD">
        <w:rPr>
          <w:rFonts w:ascii="Book Antiqua" w:hAnsi="Book Antiqua" w:cs="Times New Roman"/>
          <w:sz w:val="24"/>
          <w:szCs w:val="24"/>
        </w:rPr>
        <w:t xml:space="preserve"> and many providers from outside the EEA have likely set up in the UK precisely so they could take advantage of </w:t>
      </w:r>
      <w:proofErr w:type="spellStart"/>
      <w:r w:rsidRPr="002051AD">
        <w:rPr>
          <w:rFonts w:ascii="Book Antiqua" w:hAnsi="Book Antiqua" w:cs="Times New Roman"/>
          <w:sz w:val="24"/>
          <w:szCs w:val="24"/>
        </w:rPr>
        <w:t>passporting</w:t>
      </w:r>
      <w:proofErr w:type="spellEnd"/>
      <w:r w:rsidRPr="002051AD">
        <w:rPr>
          <w:rFonts w:ascii="Book Antiqua" w:hAnsi="Book Antiqua" w:cs="Times New Roman"/>
          <w:sz w:val="24"/>
          <w:szCs w:val="24"/>
        </w:rPr>
        <w:t>.</w:t>
      </w:r>
    </w:p>
    <w:p w14:paraId="2DA62304"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 xml:space="preserve">An inability to passport their services across the EU might well cause PSPs currently based in the </w:t>
      </w:r>
      <w:proofErr w:type="gramStart"/>
      <w:r w:rsidRPr="002051AD">
        <w:rPr>
          <w:rFonts w:ascii="Book Antiqua" w:hAnsi="Book Antiqua" w:cs="Times New Roman"/>
          <w:sz w:val="24"/>
          <w:szCs w:val="24"/>
        </w:rPr>
        <w:t>UK  to</w:t>
      </w:r>
      <w:proofErr w:type="gramEnd"/>
      <w:r w:rsidRPr="002051AD">
        <w:rPr>
          <w:rFonts w:ascii="Book Antiqua" w:hAnsi="Book Antiqua" w:cs="Times New Roman"/>
          <w:sz w:val="24"/>
          <w:szCs w:val="24"/>
        </w:rPr>
        <w:t xml:space="preserve"> relocate to an EU Member State, where </w:t>
      </w:r>
      <w:proofErr w:type="spellStart"/>
      <w:r w:rsidRPr="002051AD">
        <w:rPr>
          <w:rFonts w:ascii="Book Antiqua" w:hAnsi="Book Antiqua" w:cs="Times New Roman"/>
          <w:sz w:val="24"/>
          <w:szCs w:val="24"/>
        </w:rPr>
        <w:t>passporting</w:t>
      </w:r>
      <w:proofErr w:type="spellEnd"/>
      <w:r w:rsidRPr="002051AD">
        <w:rPr>
          <w:rFonts w:ascii="Book Antiqua" w:hAnsi="Book Antiqua" w:cs="Times New Roman"/>
          <w:sz w:val="24"/>
          <w:szCs w:val="24"/>
        </w:rPr>
        <w:t xml:space="preserve"> is available. The higher the level of dependence a firm’s model has on pan European payment services, the higher the probability a firm will chose to relocate.</w:t>
      </w:r>
    </w:p>
    <w:p w14:paraId="599A16F6"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eastAsiaTheme="minorEastAsia" w:hAnsi="Book Antiqua" w:cs="Times New Roman"/>
          <w:sz w:val="24"/>
          <w:szCs w:val="24"/>
        </w:rPr>
      </w:pPr>
      <w:r w:rsidRPr="002051AD">
        <w:rPr>
          <w:rFonts w:ascii="Book Antiqua" w:hAnsi="Book Antiqua" w:cs="Times New Roman"/>
          <w:sz w:val="24"/>
          <w:szCs w:val="24"/>
        </w:rPr>
        <w:t xml:space="preserve">At the very least, even without full relocation, PSPs may need to establish another payment institution within the EU in the event that UK based firms lose their </w:t>
      </w:r>
      <w:proofErr w:type="spellStart"/>
      <w:r w:rsidRPr="002051AD">
        <w:rPr>
          <w:rFonts w:ascii="Book Antiqua" w:hAnsi="Book Antiqua" w:cs="Times New Roman"/>
          <w:sz w:val="24"/>
          <w:szCs w:val="24"/>
        </w:rPr>
        <w:t>passporting</w:t>
      </w:r>
      <w:proofErr w:type="spellEnd"/>
      <w:r w:rsidRPr="002051AD">
        <w:rPr>
          <w:rFonts w:ascii="Book Antiqua" w:hAnsi="Book Antiqua" w:cs="Times New Roman"/>
          <w:sz w:val="24"/>
          <w:szCs w:val="24"/>
        </w:rPr>
        <w:t xml:space="preserve"> rights. This would mean that a separate legal entity would have to be created, not simply a branch of a UK legal person.  That entity would then have to be authorised under the PSD in the relevant Member State, which will likely have a significant cost impact on business. </w:t>
      </w:r>
    </w:p>
    <w:p w14:paraId="076FB24A"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 xml:space="preserve">The process of obtaining a separate authorisation in </w:t>
      </w:r>
      <w:proofErr w:type="gramStart"/>
      <w:r w:rsidRPr="002051AD">
        <w:rPr>
          <w:rFonts w:ascii="Book Antiqua" w:hAnsi="Book Antiqua" w:cs="Times New Roman"/>
          <w:sz w:val="24"/>
          <w:szCs w:val="24"/>
        </w:rPr>
        <w:t>an</w:t>
      </w:r>
      <w:proofErr w:type="gramEnd"/>
      <w:r w:rsidRPr="002051AD">
        <w:rPr>
          <w:rFonts w:ascii="Book Antiqua" w:hAnsi="Book Antiqua" w:cs="Times New Roman"/>
          <w:sz w:val="24"/>
          <w:szCs w:val="24"/>
        </w:rPr>
        <w:t xml:space="preserve"> EU Member State is likely to be time-consuming and costly. Costs of relocation are higher still and for instance, could include moving people and infrastructure to the new site, legal and compliance expenses in setting up a separate legal entity, as well as an increase in the amount of capital needed to support the operations within the EU going forward.</w:t>
      </w:r>
    </w:p>
    <w:p w14:paraId="631768F8" w14:textId="77777777" w:rsidR="009024BF" w:rsidRPr="002051AD" w:rsidRDefault="009024BF" w:rsidP="009024BF">
      <w:pPr>
        <w:spacing w:line="360" w:lineRule="auto"/>
        <w:jc w:val="both"/>
        <w:rPr>
          <w:rFonts w:ascii="Book Antiqua" w:hAnsi="Book Antiqua" w:cs="Times New Roman"/>
          <w:b/>
          <w:sz w:val="24"/>
          <w:szCs w:val="24"/>
        </w:rPr>
      </w:pPr>
    </w:p>
    <w:p w14:paraId="1422D2C1" w14:textId="77777777" w:rsidR="009024BF" w:rsidRPr="002051AD" w:rsidRDefault="009024BF" w:rsidP="009024BF">
      <w:pPr>
        <w:spacing w:line="360" w:lineRule="auto"/>
        <w:jc w:val="both"/>
        <w:rPr>
          <w:rFonts w:ascii="Book Antiqua" w:hAnsi="Book Antiqua" w:cs="Times New Roman"/>
          <w:b/>
          <w:sz w:val="24"/>
          <w:szCs w:val="24"/>
        </w:rPr>
      </w:pPr>
      <w:r w:rsidRPr="002051AD">
        <w:rPr>
          <w:rFonts w:ascii="Book Antiqua" w:hAnsi="Book Antiqua" w:cs="Times New Roman"/>
          <w:b/>
          <w:sz w:val="24"/>
          <w:szCs w:val="24"/>
          <w:u w:val="single"/>
        </w:rPr>
        <w:t>D. Single Euro Payments Area</w:t>
      </w:r>
    </w:p>
    <w:p w14:paraId="16FBF5BB"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lastRenderedPageBreak/>
        <w:t>The Single Euro Payments Area (SEPA) is a payment-integration initiative of the EU that simplifies payments in Euro, and has been realised through numerous Directives and Regulations.</w:t>
      </w:r>
      <w:r w:rsidRPr="002051AD">
        <w:rPr>
          <w:rStyle w:val="FootnoteReference"/>
          <w:rFonts w:ascii="Book Antiqua" w:hAnsi="Book Antiqua" w:cs="Times New Roman"/>
          <w:sz w:val="24"/>
          <w:szCs w:val="24"/>
        </w:rPr>
        <w:t xml:space="preserve"> </w:t>
      </w:r>
      <w:r w:rsidRPr="002051AD">
        <w:rPr>
          <w:rFonts w:ascii="Book Antiqua" w:hAnsi="Book Antiqua" w:cs="Times New Roman"/>
          <w:sz w:val="24"/>
          <w:szCs w:val="24"/>
        </w:rPr>
        <w:t xml:space="preserve">The aim is to allow payment processing across Europe and comparable to a domestic clearing system; it covers key retail payment instruments, such as credit transfers, direct debits, and payment cards. We say no more about it in this Report because full details about the history and content of the SEPA framework are covered in COMBAR’s Banking </w:t>
      </w:r>
      <w:proofErr w:type="spellStart"/>
      <w:r w:rsidRPr="002051AD">
        <w:rPr>
          <w:rFonts w:ascii="Book Antiqua" w:hAnsi="Book Antiqua" w:cs="Times New Roman"/>
          <w:sz w:val="24"/>
          <w:szCs w:val="24"/>
        </w:rPr>
        <w:t>Brexit</w:t>
      </w:r>
      <w:proofErr w:type="spellEnd"/>
      <w:r w:rsidRPr="002051AD">
        <w:rPr>
          <w:rFonts w:ascii="Book Antiqua" w:hAnsi="Book Antiqua" w:cs="Times New Roman"/>
          <w:sz w:val="24"/>
          <w:szCs w:val="24"/>
        </w:rPr>
        <w:t xml:space="preserve"> Report.</w:t>
      </w:r>
      <w:r w:rsidRPr="002051AD">
        <w:rPr>
          <w:rFonts w:ascii="Book Antiqua" w:hAnsi="Book Antiqua" w:cs="Times New Roman"/>
          <w:b/>
          <w:i/>
          <w:sz w:val="24"/>
          <w:szCs w:val="24"/>
        </w:rPr>
        <w:t xml:space="preserve"> </w:t>
      </w:r>
    </w:p>
    <w:p w14:paraId="5B0EC293" w14:textId="77777777" w:rsidR="009024BF" w:rsidRPr="002051AD" w:rsidRDefault="009024BF" w:rsidP="009024BF">
      <w:pPr>
        <w:spacing w:line="360" w:lineRule="auto"/>
        <w:jc w:val="both"/>
        <w:rPr>
          <w:rFonts w:ascii="Book Antiqua" w:hAnsi="Book Antiqua" w:cs="Times New Roman"/>
          <w:sz w:val="24"/>
          <w:szCs w:val="24"/>
        </w:rPr>
      </w:pPr>
    </w:p>
    <w:p w14:paraId="604B71B8" w14:textId="77777777" w:rsidR="009024BF" w:rsidRPr="002051AD" w:rsidRDefault="009024BF" w:rsidP="009024BF">
      <w:pPr>
        <w:spacing w:line="360" w:lineRule="auto"/>
        <w:jc w:val="both"/>
        <w:rPr>
          <w:rFonts w:ascii="Book Antiqua" w:hAnsi="Book Antiqua" w:cs="Times New Roman"/>
          <w:b/>
          <w:sz w:val="24"/>
          <w:szCs w:val="24"/>
        </w:rPr>
      </w:pPr>
      <w:r w:rsidRPr="002051AD">
        <w:rPr>
          <w:rFonts w:ascii="Book Antiqua" w:hAnsi="Book Antiqua" w:cs="Times New Roman"/>
          <w:b/>
          <w:sz w:val="24"/>
          <w:szCs w:val="24"/>
          <w:u w:val="single"/>
        </w:rPr>
        <w:t>E. Visa/</w:t>
      </w:r>
      <w:proofErr w:type="spellStart"/>
      <w:r w:rsidRPr="002051AD">
        <w:rPr>
          <w:rFonts w:ascii="Book Antiqua" w:hAnsi="Book Antiqua" w:cs="Times New Roman"/>
          <w:b/>
          <w:sz w:val="24"/>
          <w:szCs w:val="24"/>
          <w:u w:val="single"/>
        </w:rPr>
        <w:t>Mastercard</w:t>
      </w:r>
      <w:proofErr w:type="spellEnd"/>
      <w:r w:rsidRPr="002051AD">
        <w:rPr>
          <w:rFonts w:ascii="Book Antiqua" w:hAnsi="Book Antiqua" w:cs="Times New Roman"/>
          <w:b/>
          <w:sz w:val="24"/>
          <w:szCs w:val="24"/>
          <w:u w:val="single"/>
        </w:rPr>
        <w:t xml:space="preserve"> networks</w:t>
      </w:r>
    </w:p>
    <w:p w14:paraId="49568466"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 xml:space="preserve">Visa Europe is headquartered in the UK whilst </w:t>
      </w:r>
      <w:proofErr w:type="spellStart"/>
      <w:r w:rsidRPr="002051AD">
        <w:rPr>
          <w:rFonts w:ascii="Book Antiqua" w:hAnsi="Book Antiqua" w:cs="Times New Roman"/>
          <w:sz w:val="24"/>
          <w:szCs w:val="24"/>
        </w:rPr>
        <w:t>Mastercard</w:t>
      </w:r>
      <w:proofErr w:type="spellEnd"/>
      <w:r w:rsidRPr="002051AD">
        <w:rPr>
          <w:rFonts w:ascii="Book Antiqua" w:hAnsi="Book Antiqua" w:cs="Times New Roman"/>
          <w:sz w:val="24"/>
          <w:szCs w:val="24"/>
        </w:rPr>
        <w:t xml:space="preserve"> is headquartered in Belgium, so there is a risk that Visa could choose to relocate to an EU Member State; indeed, there have been suggestions that Visa may be required to relocate as a condition of the agreement in connection with its recent takeover, which is said to stipulate that data from Visa card transactions should be held within the EU.</w:t>
      </w:r>
      <w:r w:rsidRPr="002051AD">
        <w:rPr>
          <w:rStyle w:val="FootnoteReference"/>
          <w:rFonts w:ascii="Book Antiqua" w:hAnsi="Book Antiqua" w:cs="Times New Roman"/>
          <w:sz w:val="24"/>
          <w:szCs w:val="24"/>
        </w:rPr>
        <w:footnoteReference w:id="131"/>
      </w:r>
      <w:r w:rsidRPr="002051AD">
        <w:rPr>
          <w:rFonts w:ascii="Book Antiqua" w:hAnsi="Book Antiqua" w:cs="Times New Roman"/>
          <w:sz w:val="24"/>
          <w:szCs w:val="24"/>
        </w:rPr>
        <w:t xml:space="preserve"> More widely, in the short-term (and before implementation of PSD II, discussed below) cards issued in EEA </w:t>
      </w:r>
      <w:proofErr w:type="gramStart"/>
      <w:r w:rsidRPr="002051AD">
        <w:rPr>
          <w:rFonts w:ascii="Book Antiqua" w:hAnsi="Book Antiqua" w:cs="Times New Roman"/>
          <w:sz w:val="24"/>
          <w:szCs w:val="24"/>
        </w:rPr>
        <w:t>countries which are used in transactions with the UK and UK</w:t>
      </w:r>
      <w:proofErr w:type="gramEnd"/>
      <w:r w:rsidRPr="002051AD">
        <w:rPr>
          <w:rFonts w:ascii="Book Antiqua" w:hAnsi="Book Antiqua" w:cs="Times New Roman"/>
          <w:sz w:val="24"/>
          <w:szCs w:val="24"/>
        </w:rPr>
        <w:t xml:space="preserve"> may attract inter-regional interchange fees rather than intra-regional, which are generally higher.</w:t>
      </w:r>
      <w:r w:rsidRPr="002051AD">
        <w:rPr>
          <w:rStyle w:val="FootnoteReference"/>
          <w:rFonts w:ascii="Book Antiqua" w:hAnsi="Book Antiqua" w:cs="Times New Roman"/>
          <w:sz w:val="24"/>
          <w:szCs w:val="24"/>
        </w:rPr>
        <w:footnoteReference w:id="132"/>
      </w:r>
    </w:p>
    <w:p w14:paraId="17220DC1" w14:textId="77777777" w:rsidR="009024BF" w:rsidRPr="002051AD" w:rsidRDefault="009024BF" w:rsidP="009024BF">
      <w:pPr>
        <w:spacing w:line="360" w:lineRule="auto"/>
        <w:jc w:val="both"/>
        <w:rPr>
          <w:rFonts w:ascii="Book Antiqua" w:hAnsi="Book Antiqua" w:cs="Times New Roman"/>
          <w:b/>
          <w:sz w:val="24"/>
          <w:szCs w:val="24"/>
        </w:rPr>
      </w:pPr>
    </w:p>
    <w:p w14:paraId="107670A5" w14:textId="77777777" w:rsidR="009024BF" w:rsidRPr="002051AD" w:rsidRDefault="009024BF" w:rsidP="009024BF">
      <w:pPr>
        <w:spacing w:line="360" w:lineRule="auto"/>
        <w:jc w:val="both"/>
        <w:rPr>
          <w:rFonts w:ascii="Book Antiqua" w:hAnsi="Book Antiqua" w:cs="Times New Roman"/>
          <w:b/>
          <w:sz w:val="24"/>
          <w:szCs w:val="24"/>
        </w:rPr>
      </w:pPr>
      <w:r w:rsidRPr="002051AD">
        <w:rPr>
          <w:rFonts w:ascii="Book Antiqua" w:hAnsi="Book Antiqua" w:cs="Times New Roman"/>
          <w:b/>
          <w:sz w:val="24"/>
          <w:szCs w:val="24"/>
          <w:u w:val="single"/>
        </w:rPr>
        <w:t>F. PSD II</w:t>
      </w:r>
    </w:p>
    <w:p w14:paraId="2ACC2104"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b/>
          <w:sz w:val="24"/>
          <w:szCs w:val="24"/>
        </w:rPr>
      </w:pPr>
      <w:r w:rsidRPr="002051AD">
        <w:rPr>
          <w:rFonts w:ascii="Book Antiqua" w:eastAsiaTheme="minorEastAsia" w:hAnsi="Book Antiqua" w:cs="Times New Roman"/>
          <w:sz w:val="24"/>
          <w:szCs w:val="24"/>
        </w:rPr>
        <w:t>The implementation deadline for PSD II is January 2018. Many financial service providers may have already invested heavily in anticipation of PSD II. The Bank of England is continuing to implement the current regulatory framework, which includes PSD II, until any new arrangements with the EU take effect.</w:t>
      </w:r>
      <w:r w:rsidRPr="002051AD">
        <w:rPr>
          <w:rStyle w:val="FootnoteReference"/>
          <w:rFonts w:ascii="Book Antiqua" w:eastAsiaTheme="minorEastAsia" w:hAnsi="Book Antiqua" w:cs="Times New Roman"/>
          <w:sz w:val="24"/>
          <w:szCs w:val="24"/>
        </w:rPr>
        <w:footnoteReference w:id="133"/>
      </w:r>
    </w:p>
    <w:p w14:paraId="741B5D55" w14:textId="77777777" w:rsidR="009024BF" w:rsidRPr="002051AD" w:rsidRDefault="009024BF" w:rsidP="009024BF">
      <w:pPr>
        <w:pStyle w:val="ListParagraph"/>
        <w:spacing w:line="360" w:lineRule="auto"/>
        <w:ind w:left="567"/>
        <w:contextualSpacing w:val="0"/>
        <w:jc w:val="both"/>
        <w:rPr>
          <w:rFonts w:ascii="Book Antiqua" w:hAnsi="Book Antiqua" w:cs="Times New Roman"/>
          <w:b/>
          <w:sz w:val="24"/>
          <w:szCs w:val="24"/>
        </w:rPr>
      </w:pPr>
    </w:p>
    <w:p w14:paraId="58D87FA3" w14:textId="77777777" w:rsidR="009024BF" w:rsidRPr="0097744E" w:rsidRDefault="009024BF" w:rsidP="009024BF">
      <w:pPr>
        <w:pStyle w:val="ListParagraph"/>
        <w:numPr>
          <w:ilvl w:val="0"/>
          <w:numId w:val="43"/>
        </w:numPr>
        <w:spacing w:line="360" w:lineRule="auto"/>
        <w:ind w:left="567" w:hanging="567"/>
        <w:contextualSpacing w:val="0"/>
        <w:jc w:val="both"/>
        <w:rPr>
          <w:rFonts w:ascii="Book Antiqua" w:eastAsiaTheme="minorEastAsia" w:hAnsi="Book Antiqua" w:cs="Times New Roman"/>
          <w:sz w:val="24"/>
          <w:szCs w:val="24"/>
        </w:rPr>
      </w:pPr>
      <w:r w:rsidRPr="002051AD">
        <w:rPr>
          <w:rFonts w:ascii="Book Antiqua" w:eastAsiaTheme="minorEastAsia" w:hAnsi="Book Antiqua" w:cs="Times New Roman"/>
          <w:sz w:val="24"/>
          <w:szCs w:val="24"/>
        </w:rPr>
        <w:lastRenderedPageBreak/>
        <w:t>The key changes introduced by PSD II can be categorised into four (overlapping) themes, namely: 1) extending the scope of PSD; 2) competition; 3) security and 4) consumer protection.</w:t>
      </w:r>
      <w:r w:rsidRPr="002051AD">
        <w:rPr>
          <w:rStyle w:val="FootnoteReference"/>
          <w:rFonts w:ascii="Book Antiqua" w:eastAsiaTheme="minorEastAsia" w:hAnsi="Book Antiqua" w:cs="Times New Roman"/>
          <w:sz w:val="24"/>
          <w:szCs w:val="24"/>
        </w:rPr>
        <w:footnoteReference w:id="134"/>
      </w:r>
    </w:p>
    <w:p w14:paraId="04A57080" w14:textId="77777777" w:rsidR="009024BF" w:rsidRPr="002051AD" w:rsidRDefault="009024BF" w:rsidP="009024BF">
      <w:pPr>
        <w:spacing w:line="360" w:lineRule="auto"/>
        <w:jc w:val="both"/>
        <w:rPr>
          <w:rFonts w:ascii="Book Antiqua" w:eastAsiaTheme="minorEastAsia" w:hAnsi="Book Antiqua" w:cs="Times New Roman"/>
          <w:b/>
          <w:i/>
          <w:sz w:val="24"/>
          <w:szCs w:val="24"/>
        </w:rPr>
      </w:pPr>
      <w:r w:rsidRPr="002051AD">
        <w:rPr>
          <w:rFonts w:ascii="Book Antiqua" w:eastAsiaTheme="minorEastAsia" w:hAnsi="Book Antiqua" w:cs="Times New Roman"/>
          <w:b/>
          <w:i/>
          <w:sz w:val="24"/>
          <w:szCs w:val="24"/>
        </w:rPr>
        <w:t>(1) Extending the scope of the PSD</w:t>
      </w:r>
    </w:p>
    <w:p w14:paraId="59D9A1A2"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b/>
          <w:i/>
          <w:sz w:val="24"/>
          <w:szCs w:val="24"/>
        </w:rPr>
      </w:pPr>
      <w:r w:rsidRPr="002051AD">
        <w:rPr>
          <w:rFonts w:ascii="Book Antiqua" w:hAnsi="Book Antiqua" w:cs="Times New Roman"/>
          <w:sz w:val="24"/>
          <w:szCs w:val="24"/>
        </w:rPr>
        <w:t xml:space="preserve">Whilst the PSD is concerned only with intra-EU cross border payments (i.e. where both the payer’s PSP and the recipient’s PSP are located in the EU), the remit of PSD II is triggered where either the payer's or the recipient's PSP is located in the EU, irrespective of the location of the other PSP. This may therefore benefit UK consumers/businesses in the event of </w:t>
      </w:r>
      <w:proofErr w:type="spellStart"/>
      <w:r w:rsidRPr="002051AD">
        <w:rPr>
          <w:rFonts w:ascii="Book Antiqua" w:hAnsi="Book Antiqua" w:cs="Times New Roman"/>
          <w:sz w:val="24"/>
          <w:szCs w:val="24"/>
        </w:rPr>
        <w:t>Brexit</w:t>
      </w:r>
      <w:proofErr w:type="spellEnd"/>
      <w:r w:rsidRPr="002051AD">
        <w:rPr>
          <w:rFonts w:ascii="Book Antiqua" w:hAnsi="Book Antiqua" w:cs="Times New Roman"/>
          <w:sz w:val="24"/>
          <w:szCs w:val="24"/>
        </w:rPr>
        <w:t xml:space="preserve">, as it means that any transactions UK customers/business have with EEA Member States will still fall within the remit of the legislation. </w:t>
      </w:r>
      <w:r w:rsidRPr="002051AD">
        <w:rPr>
          <w:rFonts w:ascii="Book Antiqua" w:hAnsi="Book Antiqua"/>
          <w:sz w:val="24"/>
          <w:szCs w:val="24"/>
        </w:rPr>
        <w:t>However, UK–UK payments would still fall outside the scope of the Regulations even as revised to implement the second Directive.</w:t>
      </w:r>
    </w:p>
    <w:p w14:paraId="0D1ABA77"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Another way in which the PSD’s scope has been extended by PSD II is to apply the regulations to Non-EEA currency payments between EEA-domiciled PSPs. Therefore, it would be more advantageous for UK PSPs to remain party to PSD II and/or impose similar obligations to provide information on the charges and conditions relating to national and international payments in order to compete with their EU counterparts.</w:t>
      </w:r>
    </w:p>
    <w:p w14:paraId="55702F4F" w14:textId="77777777" w:rsidR="009024BF" w:rsidRPr="002051AD" w:rsidRDefault="009024BF" w:rsidP="009024BF">
      <w:pPr>
        <w:spacing w:line="360" w:lineRule="auto"/>
        <w:jc w:val="both"/>
        <w:rPr>
          <w:rFonts w:ascii="Book Antiqua" w:hAnsi="Book Antiqua" w:cs="Times New Roman"/>
          <w:b/>
          <w:i/>
          <w:sz w:val="24"/>
          <w:szCs w:val="24"/>
        </w:rPr>
      </w:pPr>
      <w:r w:rsidRPr="002051AD">
        <w:rPr>
          <w:rFonts w:ascii="Book Antiqua" w:hAnsi="Book Antiqua" w:cs="Times New Roman"/>
          <w:b/>
          <w:i/>
          <w:sz w:val="24"/>
          <w:szCs w:val="24"/>
        </w:rPr>
        <w:t xml:space="preserve">(2) Competition </w:t>
      </w:r>
    </w:p>
    <w:p w14:paraId="4BD3DFDC"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 xml:space="preserve">Under the PSD II, new service providers will be able to enter into this market as it permits third party providers with customer consent, to access customers’ accounts. For instance, this could allow payments using third party payment initiation service providers as an alternative to card payments, by moving money from payer accounts to merchants directly. </w:t>
      </w:r>
    </w:p>
    <w:p w14:paraId="1A3FE5EC" w14:textId="77777777" w:rsidR="009024BF" w:rsidRPr="002051AD" w:rsidRDefault="009024BF" w:rsidP="009024BF">
      <w:pPr>
        <w:pStyle w:val="ListParagraph"/>
        <w:spacing w:line="360" w:lineRule="auto"/>
        <w:ind w:left="567"/>
        <w:contextualSpacing w:val="0"/>
        <w:jc w:val="both"/>
        <w:rPr>
          <w:rFonts w:ascii="Book Antiqua" w:eastAsiaTheme="minorEastAsia" w:hAnsi="Book Antiqua" w:cs="Times New Roman"/>
          <w:i/>
          <w:sz w:val="24"/>
          <w:szCs w:val="24"/>
        </w:rPr>
      </w:pPr>
    </w:p>
    <w:p w14:paraId="206450E6"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eastAsiaTheme="minorEastAsia" w:hAnsi="Book Antiqua" w:cs="Times New Roman"/>
          <w:i/>
          <w:sz w:val="24"/>
          <w:szCs w:val="24"/>
        </w:rPr>
      </w:pPr>
      <w:r w:rsidRPr="002051AD">
        <w:rPr>
          <w:rFonts w:ascii="Book Antiqua" w:hAnsi="Book Antiqua" w:cs="Times New Roman"/>
          <w:sz w:val="24"/>
          <w:szCs w:val="24"/>
        </w:rPr>
        <w:lastRenderedPageBreak/>
        <w:t xml:space="preserve">Both UK customers and UK based third party providers will benefit from the increased level of competition/market access under the PSD II.  This should be preserved, or regulations with a similar effect should be introduced in the UK. These changes in the regulations reflect technological developments which have unfolded within the payments and banking industry since 2009. </w:t>
      </w:r>
    </w:p>
    <w:p w14:paraId="438049F1" w14:textId="77777777" w:rsidR="009024BF" w:rsidRPr="002051AD" w:rsidRDefault="009024BF" w:rsidP="009024BF">
      <w:pPr>
        <w:spacing w:line="360" w:lineRule="auto"/>
        <w:jc w:val="both"/>
        <w:rPr>
          <w:rFonts w:ascii="Book Antiqua" w:hAnsi="Book Antiqua" w:cs="Times New Roman"/>
          <w:b/>
          <w:i/>
          <w:sz w:val="24"/>
          <w:szCs w:val="24"/>
        </w:rPr>
      </w:pPr>
      <w:r w:rsidRPr="002051AD">
        <w:rPr>
          <w:rFonts w:ascii="Book Antiqua" w:eastAsiaTheme="minorEastAsia" w:hAnsi="Book Antiqua" w:cs="Times New Roman"/>
          <w:b/>
          <w:i/>
          <w:sz w:val="24"/>
          <w:szCs w:val="24"/>
        </w:rPr>
        <w:t>(3) Security</w:t>
      </w:r>
    </w:p>
    <w:p w14:paraId="2BA179D8"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eastAsiaTheme="minorEastAsia" w:hAnsi="Book Antiqua" w:cs="Times New Roman"/>
          <w:i/>
          <w:sz w:val="24"/>
          <w:szCs w:val="24"/>
        </w:rPr>
      </w:pPr>
      <w:r w:rsidRPr="002051AD">
        <w:rPr>
          <w:rFonts w:ascii="Book Antiqua" w:eastAsiaTheme="minorEastAsia" w:hAnsi="Book Antiqua" w:cs="Times New Roman"/>
          <w:sz w:val="24"/>
          <w:szCs w:val="24"/>
        </w:rPr>
        <w:t xml:space="preserve">A corollary of increased accessibility of customer accounts is the need for a more secure authentication mechanism. PSD II therefore introduces ‘Strong Customer </w:t>
      </w:r>
      <w:proofErr w:type="gramStart"/>
      <w:r w:rsidRPr="002051AD">
        <w:rPr>
          <w:rFonts w:ascii="Book Antiqua" w:eastAsiaTheme="minorEastAsia" w:hAnsi="Book Antiqua" w:cs="Times New Roman"/>
          <w:sz w:val="24"/>
          <w:szCs w:val="24"/>
        </w:rPr>
        <w:t>Authentication.’.</w:t>
      </w:r>
      <w:proofErr w:type="gramEnd"/>
      <w:r w:rsidRPr="002051AD">
        <w:rPr>
          <w:rFonts w:ascii="Book Antiqua" w:eastAsiaTheme="minorEastAsia" w:hAnsi="Book Antiqua" w:cs="Times New Roman"/>
          <w:sz w:val="24"/>
          <w:szCs w:val="24"/>
        </w:rPr>
        <w:t xml:space="preserve"> </w:t>
      </w:r>
      <w:r w:rsidRPr="002051AD">
        <w:rPr>
          <w:rFonts w:ascii="Book Antiqua" w:hAnsi="Book Antiqua" w:cs="Times New Roman"/>
          <w:sz w:val="24"/>
          <w:szCs w:val="24"/>
        </w:rPr>
        <w:t xml:space="preserve">Once again, it would be more advantageous for UK PSPs and UK based customers to remain party to PSD II and/or impose similar duties to ensure UK PSPS remain competitive, and to offer the same level of consumer protection as their EU counterparts. </w:t>
      </w:r>
    </w:p>
    <w:p w14:paraId="6CCC1E65" w14:textId="77777777" w:rsidR="009024BF" w:rsidRPr="002051AD" w:rsidRDefault="009024BF" w:rsidP="009024BF">
      <w:pPr>
        <w:spacing w:line="360" w:lineRule="auto"/>
        <w:jc w:val="both"/>
        <w:rPr>
          <w:rFonts w:ascii="Book Antiqua" w:eastAsiaTheme="minorEastAsia" w:hAnsi="Book Antiqua" w:cs="Times New Roman"/>
          <w:b/>
          <w:i/>
          <w:sz w:val="24"/>
          <w:szCs w:val="24"/>
        </w:rPr>
      </w:pPr>
      <w:r w:rsidRPr="002051AD">
        <w:rPr>
          <w:rFonts w:ascii="Book Antiqua" w:eastAsiaTheme="minorEastAsia" w:hAnsi="Book Antiqua" w:cs="Times New Roman"/>
          <w:b/>
          <w:i/>
          <w:sz w:val="24"/>
          <w:szCs w:val="24"/>
        </w:rPr>
        <w:t xml:space="preserve">(4) Consumer protection </w:t>
      </w:r>
    </w:p>
    <w:p w14:paraId="6DB6FB1B"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eastAsiaTheme="minorEastAsia" w:hAnsi="Book Antiqua" w:cs="Times New Roman"/>
          <w:sz w:val="24"/>
          <w:szCs w:val="24"/>
        </w:rPr>
      </w:pPr>
      <w:r w:rsidRPr="002051AD">
        <w:rPr>
          <w:rFonts w:ascii="Book Antiqua" w:eastAsiaTheme="minorEastAsia" w:hAnsi="Book Antiqua" w:cs="Times New Roman"/>
          <w:sz w:val="24"/>
          <w:szCs w:val="24"/>
        </w:rPr>
        <w:t>PSD II enhances consumer protection through, for instance, changes to security requirements such as strong customer authentication for electronic payments. In addition, applying surcharges to domestic and cross-border card payments will be banned under PSD II. The European Commission’s estimates suggest that this ban will apply to approximately 95% of all card payments in the EEA, saving consumers an estimated €730 million per year. For instance, this includes surcharges applied when booking flights online and when purchasing small value items in a newsagent.</w:t>
      </w:r>
    </w:p>
    <w:p w14:paraId="1FCC22BD" w14:textId="77777777" w:rsidR="009024BF" w:rsidRPr="002051AD" w:rsidRDefault="009024BF" w:rsidP="009024BF">
      <w:pPr>
        <w:spacing w:line="360" w:lineRule="auto"/>
        <w:jc w:val="both"/>
        <w:rPr>
          <w:rFonts w:ascii="Book Antiqua" w:eastAsiaTheme="minorEastAsia" w:hAnsi="Book Antiqua" w:cs="Times New Roman"/>
          <w:sz w:val="24"/>
          <w:szCs w:val="24"/>
        </w:rPr>
      </w:pPr>
    </w:p>
    <w:p w14:paraId="755D5DBC" w14:textId="77777777" w:rsidR="009024BF" w:rsidRPr="002051AD" w:rsidRDefault="009024BF" w:rsidP="009024BF">
      <w:pPr>
        <w:spacing w:line="360" w:lineRule="auto"/>
        <w:jc w:val="both"/>
        <w:rPr>
          <w:rFonts w:ascii="Book Antiqua" w:hAnsi="Book Antiqua" w:cs="Times New Roman"/>
          <w:b/>
          <w:sz w:val="24"/>
          <w:szCs w:val="24"/>
        </w:rPr>
      </w:pPr>
      <w:r w:rsidRPr="002051AD">
        <w:rPr>
          <w:rFonts w:ascii="Book Antiqua" w:hAnsi="Book Antiqua" w:cs="Times New Roman"/>
          <w:b/>
          <w:sz w:val="24"/>
          <w:szCs w:val="24"/>
          <w:u w:val="single"/>
        </w:rPr>
        <w:t>G. Conclusions</w:t>
      </w:r>
    </w:p>
    <w:p w14:paraId="19E1F487"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The absence of any equivalence provisions in the PSD is problematic; in an ideal scenario, the PSD would be amended to include such provisions.</w:t>
      </w:r>
    </w:p>
    <w:p w14:paraId="0C6EA302"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 xml:space="preserve">Once the UK exits the EU, to protect the ability of UK customers and businesses to make and receive intra EU/EEA payments, it is important that (if current </w:t>
      </w:r>
      <w:proofErr w:type="spellStart"/>
      <w:r w:rsidRPr="002051AD">
        <w:rPr>
          <w:rFonts w:ascii="Book Antiqua" w:hAnsi="Book Antiqua" w:cs="Times New Roman"/>
          <w:sz w:val="24"/>
          <w:szCs w:val="24"/>
        </w:rPr>
        <w:t>passporting</w:t>
      </w:r>
      <w:proofErr w:type="spellEnd"/>
      <w:r w:rsidRPr="002051AD">
        <w:rPr>
          <w:rFonts w:ascii="Book Antiqua" w:hAnsi="Book Antiqua" w:cs="Times New Roman"/>
          <w:sz w:val="24"/>
          <w:szCs w:val="24"/>
        </w:rPr>
        <w:t xml:space="preserve"> arrangements are not to be retained) transitional arrangements </w:t>
      </w:r>
      <w:r w:rsidRPr="002051AD">
        <w:rPr>
          <w:rFonts w:ascii="Book Antiqua" w:hAnsi="Book Antiqua" w:cs="Times New Roman"/>
          <w:sz w:val="24"/>
          <w:szCs w:val="24"/>
        </w:rPr>
        <w:lastRenderedPageBreak/>
        <w:t xml:space="preserve">should be in place such that UK PSPs should continue to be recognised under the PSD until a new regime is in place. </w:t>
      </w:r>
    </w:p>
    <w:p w14:paraId="0B702D8A"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Moreover, it is important to ensure that the UK government should also try to ensure that the Visa/</w:t>
      </w:r>
      <w:proofErr w:type="spellStart"/>
      <w:r w:rsidRPr="002051AD">
        <w:rPr>
          <w:rFonts w:ascii="Book Antiqua" w:hAnsi="Book Antiqua" w:cs="Times New Roman"/>
          <w:sz w:val="24"/>
          <w:szCs w:val="24"/>
        </w:rPr>
        <w:t>Mastercard</w:t>
      </w:r>
      <w:proofErr w:type="spellEnd"/>
      <w:r w:rsidRPr="002051AD">
        <w:rPr>
          <w:rFonts w:ascii="Book Antiqua" w:hAnsi="Book Antiqua" w:cs="Times New Roman"/>
          <w:sz w:val="24"/>
          <w:szCs w:val="24"/>
        </w:rPr>
        <w:t xml:space="preserve"> networks do not treat cross border transactions between the UK and EEA countries as inter-regional, rather than intra-regional, to avoid increases in card transaction fees. </w:t>
      </w:r>
    </w:p>
    <w:p w14:paraId="698FC83E" w14:textId="77777777" w:rsidR="009024BF" w:rsidRPr="002051AD" w:rsidRDefault="009024BF" w:rsidP="009024BF">
      <w:pPr>
        <w:pStyle w:val="ListParagraph"/>
        <w:numPr>
          <w:ilvl w:val="0"/>
          <w:numId w:val="43"/>
        </w:numPr>
        <w:spacing w:line="360" w:lineRule="auto"/>
        <w:ind w:left="567" w:hanging="567"/>
        <w:contextualSpacing w:val="0"/>
        <w:jc w:val="both"/>
        <w:rPr>
          <w:rFonts w:ascii="Book Antiqua" w:hAnsi="Book Antiqua" w:cs="Times New Roman"/>
          <w:sz w:val="24"/>
          <w:szCs w:val="24"/>
        </w:rPr>
      </w:pPr>
      <w:r w:rsidRPr="002051AD">
        <w:rPr>
          <w:rFonts w:ascii="Book Antiqua" w:hAnsi="Book Antiqua" w:cs="Times New Roman"/>
          <w:sz w:val="24"/>
          <w:szCs w:val="24"/>
        </w:rPr>
        <w:t xml:space="preserve">Post </w:t>
      </w:r>
      <w:proofErr w:type="spellStart"/>
      <w:r w:rsidRPr="002051AD">
        <w:rPr>
          <w:rFonts w:ascii="Book Antiqua" w:hAnsi="Book Antiqua" w:cs="Times New Roman"/>
          <w:sz w:val="24"/>
          <w:szCs w:val="24"/>
        </w:rPr>
        <w:t>Brexit</w:t>
      </w:r>
      <w:proofErr w:type="spellEnd"/>
      <w:r w:rsidRPr="002051AD">
        <w:rPr>
          <w:rFonts w:ascii="Book Antiqua" w:hAnsi="Book Antiqua" w:cs="Times New Roman"/>
          <w:sz w:val="24"/>
          <w:szCs w:val="24"/>
        </w:rPr>
        <w:t xml:space="preserve">, in order to ensure that the UK has a payments regime that is as competitive and consumer friendly as that within the EU, it would be advisable to adopt in substance the framework currently contained within the PSD/PSD II.  </w:t>
      </w:r>
    </w:p>
    <w:p w14:paraId="4C01ECCE" w14:textId="137AAD0F" w:rsidR="00A27D92" w:rsidRDefault="00A27D92">
      <w:pPr>
        <w:rPr>
          <w:rFonts w:ascii="Book Antiqua" w:eastAsiaTheme="minorEastAsia" w:hAnsi="Book Antiqua" w:cs="Times New Roman"/>
          <w:sz w:val="24"/>
          <w:szCs w:val="24"/>
        </w:rPr>
      </w:pPr>
      <w:r>
        <w:rPr>
          <w:rFonts w:ascii="Book Antiqua" w:eastAsiaTheme="minorEastAsia" w:hAnsi="Book Antiqua" w:cs="Times New Roman"/>
          <w:sz w:val="24"/>
          <w:szCs w:val="24"/>
        </w:rPr>
        <w:br w:type="page"/>
      </w:r>
    </w:p>
    <w:p w14:paraId="62CE27E1" w14:textId="77777777" w:rsidR="00A27D92" w:rsidRPr="00AE1064" w:rsidRDefault="00A27D92" w:rsidP="00CF6F71">
      <w:pPr>
        <w:jc w:val="both"/>
        <w:rPr>
          <w:rFonts w:ascii="Book Antiqua" w:hAnsi="Book Antiqua" w:cs="Times New Roman"/>
          <w:b/>
          <w:sz w:val="24"/>
          <w:szCs w:val="24"/>
          <w:u w:val="single"/>
        </w:rPr>
      </w:pPr>
      <w:r>
        <w:rPr>
          <w:rFonts w:ascii="Book Antiqua" w:hAnsi="Book Antiqua" w:cs="Times New Roman"/>
          <w:b/>
          <w:sz w:val="24"/>
          <w:szCs w:val="24"/>
          <w:u w:val="single"/>
        </w:rPr>
        <w:lastRenderedPageBreak/>
        <w:t xml:space="preserve">CHAPTER 9 - </w:t>
      </w:r>
      <w:r w:rsidRPr="00AE1064">
        <w:rPr>
          <w:rFonts w:ascii="Book Antiqua" w:hAnsi="Book Antiqua" w:cs="Times New Roman"/>
          <w:b/>
          <w:sz w:val="24"/>
          <w:szCs w:val="24"/>
          <w:u w:val="single"/>
        </w:rPr>
        <w:t>MORTGAGE BROKERS UNDER THE MORTGAGE CREDIT DIRECTIVE</w:t>
      </w:r>
    </w:p>
    <w:p w14:paraId="19DCC86B" w14:textId="77777777" w:rsidR="00A27D92" w:rsidRPr="00AE1064" w:rsidRDefault="00A27D92" w:rsidP="00A27D92">
      <w:pPr>
        <w:spacing w:line="360" w:lineRule="auto"/>
        <w:ind w:left="567" w:hanging="567"/>
        <w:jc w:val="both"/>
        <w:rPr>
          <w:rFonts w:ascii="Book Antiqua" w:hAnsi="Book Antiqua" w:cs="Times New Roman"/>
          <w:sz w:val="24"/>
          <w:szCs w:val="24"/>
        </w:rPr>
      </w:pPr>
    </w:p>
    <w:p w14:paraId="46017701" w14:textId="77777777" w:rsidR="00A27D92" w:rsidRPr="006B566B" w:rsidRDefault="00A27D92" w:rsidP="00A27D92">
      <w:pPr>
        <w:spacing w:line="360" w:lineRule="auto"/>
        <w:ind w:left="567" w:hanging="567"/>
        <w:jc w:val="both"/>
        <w:rPr>
          <w:rFonts w:ascii="Book Antiqua" w:hAnsi="Book Antiqua" w:cs="Times New Roman"/>
          <w:sz w:val="24"/>
          <w:szCs w:val="24"/>
        </w:rPr>
      </w:pPr>
      <w:r>
        <w:rPr>
          <w:rFonts w:ascii="Book Antiqua" w:hAnsi="Book Antiqua" w:cs="Times New Roman"/>
          <w:b/>
          <w:sz w:val="24"/>
          <w:szCs w:val="24"/>
          <w:u w:val="single"/>
        </w:rPr>
        <w:t>A. Introduction</w:t>
      </w:r>
    </w:p>
    <w:p w14:paraId="413F3BCD"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bookmarkStart w:id="14" w:name="_Ref345536289"/>
      <w:r w:rsidRPr="00AE1064">
        <w:rPr>
          <w:rFonts w:ascii="Book Antiqua" w:hAnsi="Book Antiqua" w:cs="Times New Roman"/>
          <w:sz w:val="24"/>
          <w:szCs w:val="24"/>
        </w:rPr>
        <w:t>As explained in Chapter 4 (“</w:t>
      </w:r>
      <w:r w:rsidRPr="006B566B">
        <w:rPr>
          <w:rFonts w:ascii="Book Antiqua" w:hAnsi="Book Antiqua" w:cs="Times New Roman"/>
          <w:b/>
          <w:sz w:val="24"/>
          <w:szCs w:val="24"/>
        </w:rPr>
        <w:t>PERG 4</w:t>
      </w:r>
      <w:r w:rsidRPr="00AE1064">
        <w:rPr>
          <w:rFonts w:ascii="Book Antiqua" w:hAnsi="Book Antiqua" w:cs="Times New Roman"/>
          <w:sz w:val="24"/>
          <w:szCs w:val="24"/>
        </w:rPr>
        <w:t>”) of the Perimeter Guidance Manual (“</w:t>
      </w:r>
      <w:r w:rsidRPr="006B566B">
        <w:rPr>
          <w:rFonts w:ascii="Book Antiqua" w:hAnsi="Book Antiqua" w:cs="Times New Roman"/>
          <w:b/>
          <w:sz w:val="24"/>
          <w:szCs w:val="24"/>
        </w:rPr>
        <w:t>PERG</w:t>
      </w:r>
      <w:r w:rsidRPr="00AE1064">
        <w:rPr>
          <w:rFonts w:ascii="Book Antiqua" w:hAnsi="Book Antiqua" w:cs="Times New Roman"/>
          <w:sz w:val="24"/>
          <w:szCs w:val="24"/>
        </w:rPr>
        <w:t>”), there are six regulated mortgage activities requiring authorisation or exemption if they are carried on in the United Kingdom (“</w:t>
      </w:r>
      <w:r w:rsidRPr="006B566B">
        <w:rPr>
          <w:rFonts w:ascii="Book Antiqua" w:hAnsi="Book Antiqua" w:cs="Times New Roman"/>
          <w:b/>
          <w:sz w:val="24"/>
          <w:szCs w:val="24"/>
        </w:rPr>
        <w:t>UK</w:t>
      </w:r>
      <w:r w:rsidRPr="00AE1064">
        <w:rPr>
          <w:rFonts w:ascii="Book Antiqua" w:hAnsi="Book Antiqua" w:cs="Times New Roman"/>
          <w:sz w:val="24"/>
          <w:szCs w:val="24"/>
        </w:rPr>
        <w:t>”). These are set out in the Financial Services and Markets Act (Regulated Activities) Order 2001 (“</w:t>
      </w:r>
      <w:r w:rsidRPr="006B566B">
        <w:rPr>
          <w:rFonts w:ascii="Book Antiqua" w:hAnsi="Book Antiqua" w:cs="Times New Roman"/>
          <w:b/>
          <w:sz w:val="24"/>
          <w:szCs w:val="24"/>
        </w:rPr>
        <w:t>Regulated Activities Order</w:t>
      </w:r>
      <w:r w:rsidRPr="00AE1064">
        <w:rPr>
          <w:rFonts w:ascii="Book Antiqua" w:hAnsi="Book Antiqua" w:cs="Times New Roman"/>
          <w:sz w:val="24"/>
          <w:szCs w:val="24"/>
        </w:rPr>
        <w:t>”). They are:</w:t>
      </w:r>
      <w:bookmarkEnd w:id="14"/>
    </w:p>
    <w:p w14:paraId="31E60A87"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proofErr w:type="gramStart"/>
      <w:r w:rsidRPr="00AE1064">
        <w:rPr>
          <w:rFonts w:ascii="Book Antiqua" w:hAnsi="Book Antiqua" w:cs="Times New Roman"/>
          <w:sz w:val="24"/>
          <w:szCs w:val="24"/>
        </w:rPr>
        <w:t>arranging</w:t>
      </w:r>
      <w:proofErr w:type="gramEnd"/>
      <w:r w:rsidRPr="00AE1064">
        <w:rPr>
          <w:rFonts w:ascii="Book Antiqua" w:hAnsi="Book Antiqua" w:cs="Times New Roman"/>
          <w:sz w:val="24"/>
          <w:szCs w:val="24"/>
        </w:rPr>
        <w:t xml:space="preserve"> (bringing about) regulated mortgage contracts (“</w:t>
      </w:r>
      <w:r w:rsidRPr="006B566B">
        <w:rPr>
          <w:rFonts w:ascii="Book Antiqua" w:hAnsi="Book Antiqua" w:cs="Times New Roman"/>
          <w:b/>
          <w:sz w:val="24"/>
          <w:szCs w:val="24"/>
        </w:rPr>
        <w:t>RMCs</w:t>
      </w:r>
      <w:r w:rsidRPr="00AE1064">
        <w:rPr>
          <w:rFonts w:ascii="Book Antiqua" w:hAnsi="Book Antiqua" w:cs="Times New Roman"/>
          <w:sz w:val="24"/>
          <w:szCs w:val="24"/>
        </w:rPr>
        <w:t>”);</w:t>
      </w:r>
      <w:r w:rsidRPr="00AE1064">
        <w:rPr>
          <w:rStyle w:val="FootnoteReference"/>
          <w:rFonts w:ascii="Book Antiqua" w:hAnsi="Book Antiqua" w:cs="Times New Roman"/>
          <w:sz w:val="24"/>
          <w:szCs w:val="24"/>
        </w:rPr>
        <w:footnoteReference w:id="135"/>
      </w:r>
    </w:p>
    <w:p w14:paraId="612EBBD3"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proofErr w:type="gramStart"/>
      <w:r w:rsidRPr="00AE1064">
        <w:rPr>
          <w:rFonts w:ascii="Book Antiqua" w:hAnsi="Book Antiqua" w:cs="Times New Roman"/>
          <w:sz w:val="24"/>
          <w:szCs w:val="24"/>
        </w:rPr>
        <w:t>making</w:t>
      </w:r>
      <w:proofErr w:type="gramEnd"/>
      <w:r w:rsidRPr="00AE1064">
        <w:rPr>
          <w:rFonts w:ascii="Book Antiqua" w:hAnsi="Book Antiqua" w:cs="Times New Roman"/>
          <w:sz w:val="24"/>
          <w:szCs w:val="24"/>
        </w:rPr>
        <w:t xml:space="preserve"> arrangements with a view to RMCs;</w:t>
      </w:r>
      <w:r w:rsidRPr="00AE1064">
        <w:rPr>
          <w:rStyle w:val="FootnoteReference"/>
          <w:rFonts w:ascii="Book Antiqua" w:hAnsi="Book Antiqua" w:cs="Times New Roman"/>
          <w:sz w:val="24"/>
          <w:szCs w:val="24"/>
        </w:rPr>
        <w:footnoteReference w:id="136"/>
      </w:r>
    </w:p>
    <w:p w14:paraId="58E8853D"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proofErr w:type="gramStart"/>
      <w:r w:rsidRPr="00AE1064">
        <w:rPr>
          <w:rFonts w:ascii="Book Antiqua" w:hAnsi="Book Antiqua" w:cs="Times New Roman"/>
          <w:sz w:val="24"/>
          <w:szCs w:val="24"/>
        </w:rPr>
        <w:t>advising</w:t>
      </w:r>
      <w:proofErr w:type="gramEnd"/>
      <w:r w:rsidRPr="00AE1064">
        <w:rPr>
          <w:rFonts w:ascii="Book Antiqua" w:hAnsi="Book Antiqua" w:cs="Times New Roman"/>
          <w:sz w:val="24"/>
          <w:szCs w:val="24"/>
        </w:rPr>
        <w:t xml:space="preserve"> on RMCs;</w:t>
      </w:r>
      <w:r w:rsidRPr="00AE1064">
        <w:rPr>
          <w:rStyle w:val="FootnoteReference"/>
          <w:rFonts w:ascii="Book Antiqua" w:hAnsi="Book Antiqua" w:cs="Times New Roman"/>
          <w:sz w:val="24"/>
          <w:szCs w:val="24"/>
        </w:rPr>
        <w:footnoteReference w:id="137"/>
      </w:r>
    </w:p>
    <w:p w14:paraId="6B4C4B1A"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proofErr w:type="gramStart"/>
      <w:r w:rsidRPr="00AE1064">
        <w:rPr>
          <w:rFonts w:ascii="Book Antiqua" w:hAnsi="Book Antiqua" w:cs="Times New Roman"/>
          <w:sz w:val="24"/>
          <w:szCs w:val="24"/>
        </w:rPr>
        <w:t>entering</w:t>
      </w:r>
      <w:proofErr w:type="gramEnd"/>
      <w:r w:rsidRPr="00AE1064">
        <w:rPr>
          <w:rFonts w:ascii="Book Antiqua" w:hAnsi="Book Antiqua" w:cs="Times New Roman"/>
          <w:sz w:val="24"/>
          <w:szCs w:val="24"/>
        </w:rPr>
        <w:t xml:space="preserve"> into a regulated mortgage contract (“</w:t>
      </w:r>
      <w:r w:rsidRPr="006B566B">
        <w:rPr>
          <w:rFonts w:ascii="Book Antiqua" w:hAnsi="Book Antiqua" w:cs="Times New Roman"/>
          <w:b/>
          <w:sz w:val="24"/>
          <w:szCs w:val="24"/>
        </w:rPr>
        <w:t>RMC</w:t>
      </w:r>
      <w:r w:rsidRPr="00AE1064">
        <w:rPr>
          <w:rFonts w:ascii="Book Antiqua" w:hAnsi="Book Antiqua" w:cs="Times New Roman"/>
          <w:sz w:val="24"/>
          <w:szCs w:val="24"/>
        </w:rPr>
        <w:t>”) as lender;</w:t>
      </w:r>
      <w:r w:rsidRPr="00AE1064">
        <w:rPr>
          <w:rStyle w:val="FootnoteReference"/>
          <w:rFonts w:ascii="Book Antiqua" w:hAnsi="Book Antiqua" w:cs="Times New Roman"/>
          <w:sz w:val="24"/>
          <w:szCs w:val="24"/>
        </w:rPr>
        <w:footnoteReference w:id="138"/>
      </w:r>
    </w:p>
    <w:p w14:paraId="68EA0B65"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proofErr w:type="gramStart"/>
      <w:r w:rsidRPr="00AE1064">
        <w:rPr>
          <w:rFonts w:ascii="Book Antiqua" w:hAnsi="Book Antiqua" w:cs="Times New Roman"/>
          <w:sz w:val="24"/>
          <w:szCs w:val="24"/>
        </w:rPr>
        <w:t>administering</w:t>
      </w:r>
      <w:proofErr w:type="gramEnd"/>
      <w:r w:rsidRPr="00AE1064">
        <w:rPr>
          <w:rFonts w:ascii="Book Antiqua" w:hAnsi="Book Antiqua" w:cs="Times New Roman"/>
          <w:sz w:val="24"/>
          <w:szCs w:val="24"/>
        </w:rPr>
        <w:t xml:space="preserve"> an RMC where that contract is entered into by way of business on or after 31 October 2004 or the contract was entered into by way of business before that date and is a legacy CCA mortgage contract;</w:t>
      </w:r>
      <w:r w:rsidRPr="00AE1064">
        <w:rPr>
          <w:rStyle w:val="FootnoteReference"/>
          <w:rFonts w:ascii="Book Antiqua" w:hAnsi="Book Antiqua" w:cs="Times New Roman"/>
          <w:sz w:val="24"/>
          <w:szCs w:val="24"/>
        </w:rPr>
        <w:footnoteReference w:id="139"/>
      </w:r>
    </w:p>
    <w:p w14:paraId="75C411B5"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proofErr w:type="gramStart"/>
      <w:r w:rsidRPr="00AE1064">
        <w:rPr>
          <w:rFonts w:ascii="Book Antiqua" w:hAnsi="Book Antiqua" w:cs="Times New Roman"/>
          <w:sz w:val="24"/>
          <w:szCs w:val="24"/>
        </w:rPr>
        <w:t>agreeing</w:t>
      </w:r>
      <w:proofErr w:type="gramEnd"/>
      <w:r w:rsidRPr="00AE1064">
        <w:rPr>
          <w:rFonts w:ascii="Book Antiqua" w:hAnsi="Book Antiqua" w:cs="Times New Roman"/>
          <w:sz w:val="24"/>
          <w:szCs w:val="24"/>
        </w:rPr>
        <w:t xml:space="preserve"> to carry on any of the above.</w:t>
      </w:r>
      <w:r w:rsidRPr="00AE1064">
        <w:rPr>
          <w:rStyle w:val="FootnoteReference"/>
          <w:rFonts w:ascii="Book Antiqua" w:hAnsi="Book Antiqua" w:cs="Times New Roman"/>
          <w:sz w:val="24"/>
          <w:szCs w:val="24"/>
        </w:rPr>
        <w:footnoteReference w:id="140"/>
      </w:r>
    </w:p>
    <w:p w14:paraId="7DE83BCB" w14:textId="551735CC"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D474F">
        <w:rPr>
          <w:rFonts w:ascii="Book Antiqua" w:hAnsi="Book Antiqua" w:cs="Times New Roman"/>
          <w:sz w:val="24"/>
          <w:szCs w:val="24"/>
        </w:rPr>
        <w:t>Section 10A (“</w:t>
      </w:r>
      <w:r w:rsidRPr="006B566B">
        <w:rPr>
          <w:rFonts w:ascii="Book Antiqua" w:hAnsi="Book Antiqua" w:cs="Times New Roman"/>
          <w:b/>
          <w:sz w:val="24"/>
          <w:szCs w:val="24"/>
        </w:rPr>
        <w:t>PERG 4.10A</w:t>
      </w:r>
      <w:r w:rsidRPr="00BD474F">
        <w:rPr>
          <w:rFonts w:ascii="Book Antiqua" w:hAnsi="Book Antiqua" w:cs="Times New Roman"/>
          <w:sz w:val="24"/>
          <w:szCs w:val="24"/>
        </w:rPr>
        <w:t xml:space="preserve">”) of Chapter 4 is entitled </w:t>
      </w:r>
      <w:r w:rsidRPr="006B566B">
        <w:rPr>
          <w:rFonts w:ascii="Book Antiqua" w:hAnsi="Book Antiqua" w:cs="Times New Roman"/>
          <w:i/>
          <w:sz w:val="24"/>
          <w:szCs w:val="24"/>
        </w:rPr>
        <w:t>“Activities regulated under the Mortgage Credit Directive”</w:t>
      </w:r>
      <w:r w:rsidR="00C77541">
        <w:rPr>
          <w:rFonts w:ascii="Book Antiqua" w:hAnsi="Book Antiqua" w:cs="Times New Roman"/>
          <w:sz w:val="24"/>
          <w:szCs w:val="24"/>
        </w:rPr>
        <w:t>.</w:t>
      </w:r>
      <w:r w:rsidRPr="00AE1064">
        <w:rPr>
          <w:rStyle w:val="FootnoteReference"/>
          <w:rFonts w:ascii="Book Antiqua" w:hAnsi="Book Antiqua" w:cs="Times New Roman"/>
          <w:sz w:val="24"/>
          <w:szCs w:val="24"/>
        </w:rPr>
        <w:footnoteReference w:id="141"/>
      </w:r>
      <w:r w:rsidRPr="00BD474F">
        <w:rPr>
          <w:rFonts w:ascii="Book Antiqua" w:hAnsi="Book Antiqua" w:cs="Times New Roman"/>
          <w:sz w:val="24"/>
          <w:szCs w:val="24"/>
        </w:rPr>
        <w:t xml:space="preserve"> It observes that certain exclusions in the Regulated Activities Order do not apply in cases covered by the Mortgage Credit Directive (“</w:t>
      </w:r>
      <w:r w:rsidRPr="006B566B">
        <w:rPr>
          <w:rFonts w:ascii="Book Antiqua" w:hAnsi="Book Antiqua" w:cs="Times New Roman"/>
          <w:b/>
          <w:sz w:val="24"/>
          <w:szCs w:val="24"/>
        </w:rPr>
        <w:t>MCD</w:t>
      </w:r>
      <w:r w:rsidRPr="00BD474F">
        <w:rPr>
          <w:rFonts w:ascii="Book Antiqua" w:hAnsi="Book Antiqua" w:cs="Times New Roman"/>
          <w:sz w:val="24"/>
          <w:szCs w:val="24"/>
        </w:rPr>
        <w:t>”)</w:t>
      </w:r>
      <w:r w:rsidRPr="00AE1064">
        <w:rPr>
          <w:rStyle w:val="FootnoteReference"/>
          <w:rFonts w:ascii="Book Antiqua" w:hAnsi="Book Antiqua" w:cs="Times New Roman"/>
          <w:sz w:val="24"/>
          <w:szCs w:val="24"/>
        </w:rPr>
        <w:footnoteReference w:id="142"/>
      </w:r>
      <w:r w:rsidRPr="00BD474F">
        <w:rPr>
          <w:rFonts w:ascii="Book Antiqua" w:hAnsi="Book Antiqua" w:cs="Times New Roman"/>
          <w:sz w:val="24"/>
          <w:szCs w:val="24"/>
        </w:rPr>
        <w:t xml:space="preserve"> and explains the situations in which this applies.</w:t>
      </w:r>
    </w:p>
    <w:p w14:paraId="514AE271"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AE1064">
        <w:rPr>
          <w:rFonts w:ascii="Book Antiqua" w:hAnsi="Book Antiqua" w:cs="Times New Roman"/>
          <w:sz w:val="24"/>
          <w:szCs w:val="24"/>
        </w:rPr>
        <w:lastRenderedPageBreak/>
        <w:t>Five preliminary observations might usefully be made:</w:t>
      </w:r>
    </w:p>
    <w:p w14:paraId="40DDE118"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r w:rsidRPr="00BD474F">
        <w:rPr>
          <w:rFonts w:ascii="Book Antiqua" w:hAnsi="Book Antiqua" w:cs="Times New Roman"/>
          <w:sz w:val="24"/>
          <w:szCs w:val="24"/>
        </w:rPr>
        <w:t xml:space="preserve">Whilst this </w:t>
      </w:r>
      <w:r>
        <w:rPr>
          <w:rFonts w:ascii="Book Antiqua" w:hAnsi="Book Antiqua" w:cs="Times New Roman"/>
          <w:sz w:val="24"/>
          <w:szCs w:val="24"/>
        </w:rPr>
        <w:t>Chapter</w:t>
      </w:r>
      <w:r w:rsidRPr="00BD474F">
        <w:rPr>
          <w:rFonts w:ascii="Book Antiqua" w:hAnsi="Book Antiqua" w:cs="Times New Roman"/>
          <w:sz w:val="24"/>
          <w:szCs w:val="24"/>
        </w:rPr>
        <w:t xml:space="preserve"> of the Report is concerned with activities carried on by a type of intermediary (i.e. mortgage brokers), there is no such regulated activity as “mortgage broking”</w:t>
      </w:r>
      <w:r w:rsidRPr="00AE1064">
        <w:rPr>
          <w:rStyle w:val="FootnoteReference"/>
          <w:rFonts w:ascii="Book Antiqua" w:hAnsi="Book Antiqua" w:cs="Times New Roman"/>
          <w:sz w:val="24"/>
          <w:szCs w:val="24"/>
        </w:rPr>
        <w:footnoteReference w:id="143"/>
      </w:r>
      <w:r w:rsidRPr="00BD474F">
        <w:rPr>
          <w:rFonts w:ascii="Book Antiqua" w:hAnsi="Book Antiqua" w:cs="Times New Roman"/>
          <w:sz w:val="24"/>
          <w:szCs w:val="24"/>
        </w:rPr>
        <w:t xml:space="preserve"> (although t</w:t>
      </w:r>
      <w:r w:rsidRPr="00BD474F">
        <w:rPr>
          <w:rFonts w:ascii="Book Antiqua" w:eastAsia="Times New Roman" w:hAnsi="Book Antiqua" w:cs="Times New Roman"/>
          <w:sz w:val="24"/>
          <w:szCs w:val="24"/>
          <w:lang w:eastAsia="en-GB"/>
        </w:rPr>
        <w:t xml:space="preserve">he </w:t>
      </w:r>
      <w:r w:rsidRPr="00BD474F">
        <w:rPr>
          <w:rFonts w:ascii="Book Antiqua" w:eastAsia="Times New Roman" w:hAnsi="Book Antiqua" w:cs="Times New Roman"/>
          <w:iCs/>
          <w:sz w:val="24"/>
          <w:szCs w:val="24"/>
          <w:bdr w:val="none" w:sz="0" w:space="0" w:color="auto" w:frame="1"/>
          <w:lang w:eastAsia="en-GB"/>
        </w:rPr>
        <w:t xml:space="preserve">Regulated Activities Order does make reference </w:t>
      </w:r>
      <w:r w:rsidRPr="00BD474F">
        <w:rPr>
          <w:rFonts w:ascii="Book Antiqua" w:eastAsia="Times New Roman" w:hAnsi="Book Antiqua" w:cs="Times New Roman"/>
          <w:sz w:val="24"/>
          <w:szCs w:val="24"/>
          <w:lang w:eastAsia="en-GB"/>
        </w:rPr>
        <w:t>to credit intermediaries</w:t>
      </w:r>
      <w:r w:rsidRPr="00AE1064">
        <w:rPr>
          <w:rStyle w:val="FootnoteReference"/>
          <w:rFonts w:ascii="Book Antiqua" w:eastAsia="Times New Roman" w:hAnsi="Book Antiqua" w:cs="Times New Roman"/>
          <w:sz w:val="24"/>
          <w:szCs w:val="24"/>
          <w:lang w:eastAsia="en-GB"/>
        </w:rPr>
        <w:footnoteReference w:id="144"/>
      </w:r>
      <w:r w:rsidRPr="00BD474F">
        <w:rPr>
          <w:rFonts w:ascii="Book Antiqua" w:eastAsia="Times New Roman" w:hAnsi="Book Antiqua" w:cs="Times New Roman"/>
          <w:sz w:val="24"/>
          <w:szCs w:val="24"/>
          <w:lang w:eastAsia="en-GB"/>
        </w:rPr>
        <w:t xml:space="preserve"> and providers of advisory services</w:t>
      </w:r>
      <w:r w:rsidRPr="00AE1064">
        <w:rPr>
          <w:rStyle w:val="FootnoteReference"/>
          <w:rFonts w:ascii="Book Antiqua" w:eastAsia="Times New Roman" w:hAnsi="Book Antiqua" w:cs="Times New Roman"/>
          <w:sz w:val="24"/>
          <w:szCs w:val="24"/>
          <w:lang w:eastAsia="en-GB"/>
        </w:rPr>
        <w:footnoteReference w:id="145"/>
      </w:r>
      <w:r w:rsidRPr="00BD474F">
        <w:rPr>
          <w:rFonts w:ascii="Book Antiqua" w:eastAsia="Times New Roman" w:hAnsi="Book Antiqua" w:cs="Times New Roman"/>
          <w:sz w:val="24"/>
          <w:szCs w:val="24"/>
          <w:lang w:eastAsia="en-GB"/>
        </w:rPr>
        <w:t xml:space="preserve"> as mortgage intermediaries).</w:t>
      </w:r>
      <w:r w:rsidRPr="00AE1064">
        <w:rPr>
          <w:rStyle w:val="FootnoteReference"/>
          <w:rFonts w:ascii="Book Antiqua" w:eastAsia="Times New Roman" w:hAnsi="Book Antiqua" w:cs="Times New Roman"/>
          <w:sz w:val="24"/>
          <w:szCs w:val="24"/>
          <w:lang w:eastAsia="en-GB"/>
        </w:rPr>
        <w:footnoteReference w:id="146"/>
      </w:r>
    </w:p>
    <w:p w14:paraId="1B11199B"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r w:rsidRPr="00BD474F">
        <w:rPr>
          <w:rFonts w:ascii="Book Antiqua" w:hAnsi="Book Antiqua" w:cs="Times New Roman"/>
          <w:sz w:val="24"/>
          <w:szCs w:val="24"/>
        </w:rPr>
        <w:t xml:space="preserve">The activities undertaken by mortgage brokers will not necessarily be limited to those connected with RMCs. </w:t>
      </w:r>
      <w:r>
        <w:rPr>
          <w:rFonts w:ascii="Book Antiqua" w:hAnsi="Book Antiqua" w:cs="Times New Roman"/>
          <w:sz w:val="24"/>
          <w:szCs w:val="24"/>
        </w:rPr>
        <w:t>The</w:t>
      </w:r>
      <w:r w:rsidRPr="00BD474F">
        <w:rPr>
          <w:rFonts w:ascii="Book Antiqua" w:hAnsi="Book Antiqua" w:cs="Times New Roman"/>
          <w:sz w:val="24"/>
          <w:szCs w:val="24"/>
        </w:rPr>
        <w:t xml:space="preserve"> contents of this </w:t>
      </w:r>
      <w:r>
        <w:rPr>
          <w:rFonts w:ascii="Book Antiqua" w:hAnsi="Book Antiqua" w:cs="Times New Roman"/>
          <w:sz w:val="24"/>
          <w:szCs w:val="24"/>
        </w:rPr>
        <w:t>Chapter</w:t>
      </w:r>
      <w:r w:rsidRPr="00BD474F">
        <w:rPr>
          <w:rFonts w:ascii="Book Antiqua" w:hAnsi="Book Antiqua" w:cs="Times New Roman"/>
          <w:sz w:val="24"/>
          <w:szCs w:val="24"/>
        </w:rPr>
        <w:t xml:space="preserve"> of the Report will, though, largely relate (not least in the interests of comprehensibility) to activities connected with RMCs.</w:t>
      </w:r>
    </w:p>
    <w:p w14:paraId="7A101883"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r w:rsidRPr="00BD474F">
        <w:rPr>
          <w:rFonts w:ascii="Book Antiqua" w:hAnsi="Book Antiqua" w:cs="Times New Roman"/>
          <w:sz w:val="24"/>
          <w:szCs w:val="24"/>
        </w:rPr>
        <w:t>The regulated activities likely to be of most relevance to mortgage brokers are (</w:t>
      </w:r>
      <w:proofErr w:type="spellStart"/>
      <w:r w:rsidRPr="00BD474F">
        <w:rPr>
          <w:rFonts w:ascii="Book Antiqua" w:hAnsi="Book Antiqua" w:cs="Times New Roman"/>
          <w:sz w:val="24"/>
          <w:szCs w:val="24"/>
        </w:rPr>
        <w:t>i</w:t>
      </w:r>
      <w:proofErr w:type="spellEnd"/>
      <w:r w:rsidRPr="00BD474F">
        <w:rPr>
          <w:rFonts w:ascii="Book Antiqua" w:hAnsi="Book Antiqua" w:cs="Times New Roman"/>
          <w:sz w:val="24"/>
          <w:szCs w:val="24"/>
        </w:rPr>
        <w:t>) arranging (bringing about) or making arrangements with a view to RMCs</w:t>
      </w:r>
      <w:r w:rsidRPr="00AE1064">
        <w:rPr>
          <w:rStyle w:val="FootnoteReference"/>
          <w:rFonts w:ascii="Book Antiqua" w:hAnsi="Book Antiqua" w:cs="Times New Roman"/>
          <w:sz w:val="24"/>
          <w:szCs w:val="24"/>
        </w:rPr>
        <w:footnoteReference w:id="147"/>
      </w:r>
      <w:r w:rsidRPr="00BD474F">
        <w:rPr>
          <w:rFonts w:ascii="Book Antiqua" w:hAnsi="Book Antiqua" w:cs="Times New Roman"/>
          <w:sz w:val="24"/>
          <w:szCs w:val="24"/>
        </w:rPr>
        <w:t xml:space="preserve"> and (ii) advising on RMCs.</w:t>
      </w:r>
      <w:r w:rsidRPr="00AE1064">
        <w:rPr>
          <w:rStyle w:val="FootnoteReference"/>
          <w:rFonts w:ascii="Book Antiqua" w:hAnsi="Book Antiqua" w:cs="Times New Roman"/>
          <w:sz w:val="24"/>
          <w:szCs w:val="24"/>
        </w:rPr>
        <w:footnoteReference w:id="148"/>
      </w:r>
    </w:p>
    <w:p w14:paraId="56894530"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r w:rsidRPr="00BD474F">
        <w:rPr>
          <w:rFonts w:ascii="Book Antiqua" w:hAnsi="Book Antiqua" w:cs="Times New Roman"/>
          <w:sz w:val="24"/>
          <w:szCs w:val="24"/>
        </w:rPr>
        <w:t>Whilst some regulatory provisions may solely or primarily relate to activities of a type carried by lenders or administrators rather than by mortgage brokers, there is nevertheless, of necessity, a considerable degree of overlap in the way in which the regulatory scheme operates.</w:t>
      </w:r>
    </w:p>
    <w:p w14:paraId="6B3015FB"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proofErr w:type="gramStart"/>
      <w:r w:rsidRPr="00BD474F">
        <w:rPr>
          <w:rFonts w:ascii="Book Antiqua" w:hAnsi="Book Antiqua" w:cs="Times New Roman"/>
          <w:sz w:val="24"/>
          <w:szCs w:val="24"/>
        </w:rPr>
        <w:t>The relative complexity of the way in which the regulatory regime interacts in practice with the structure of the market is illustrated by Section 15 of PERG</w:t>
      </w:r>
      <w:proofErr w:type="gramEnd"/>
      <w:r w:rsidRPr="00BD474F">
        <w:rPr>
          <w:rFonts w:ascii="Book Antiqua" w:hAnsi="Book Antiqua" w:cs="Times New Roman"/>
          <w:sz w:val="24"/>
          <w:szCs w:val="24"/>
        </w:rPr>
        <w:t xml:space="preserve"> (</w:t>
      </w:r>
      <w:r w:rsidRPr="006B566B">
        <w:rPr>
          <w:rFonts w:ascii="Book Antiqua" w:hAnsi="Book Antiqua" w:cs="Times New Roman"/>
          <w:i/>
          <w:sz w:val="24"/>
          <w:szCs w:val="24"/>
        </w:rPr>
        <w:t>“</w:t>
      </w:r>
      <w:r w:rsidRPr="006B566B">
        <w:rPr>
          <w:rFonts w:ascii="Book Antiqua" w:eastAsia="Times New Roman" w:hAnsi="Book Antiqua" w:cs="Times New Roman"/>
          <w:bCs/>
          <w:i/>
          <w:kern w:val="36"/>
          <w:sz w:val="24"/>
          <w:szCs w:val="24"/>
          <w:lang w:eastAsia="en-GB"/>
        </w:rPr>
        <w:t>Mortgage activities carried on by 'packagers'”</w:t>
      </w:r>
      <w:r w:rsidRPr="00BD474F">
        <w:rPr>
          <w:rFonts w:ascii="Book Antiqua" w:eastAsia="Times New Roman" w:hAnsi="Book Antiqua" w:cs="Times New Roman"/>
          <w:bCs/>
          <w:kern w:val="36"/>
          <w:sz w:val="24"/>
          <w:szCs w:val="24"/>
          <w:lang w:eastAsia="en-GB"/>
        </w:rPr>
        <w:t xml:space="preserve">). </w:t>
      </w:r>
      <w:r w:rsidRPr="00BD474F">
        <w:rPr>
          <w:rFonts w:ascii="Book Antiqua" w:hAnsi="Book Antiqua" w:cs="Times New Roman"/>
          <w:sz w:val="24"/>
          <w:szCs w:val="24"/>
        </w:rPr>
        <w:t xml:space="preserve">The term </w:t>
      </w:r>
      <w:r w:rsidRPr="006B566B">
        <w:rPr>
          <w:rFonts w:ascii="Book Antiqua" w:hAnsi="Book Antiqua" w:cs="Times New Roman"/>
          <w:i/>
          <w:sz w:val="24"/>
          <w:szCs w:val="24"/>
        </w:rPr>
        <w:t>“packagers”</w:t>
      </w:r>
      <w:r w:rsidRPr="00BD474F">
        <w:rPr>
          <w:rFonts w:ascii="Book Antiqua" w:hAnsi="Book Antiqua" w:cs="Times New Roman"/>
          <w:sz w:val="24"/>
          <w:szCs w:val="24"/>
        </w:rPr>
        <w:t xml:space="preserve"> is used variously to describe a range of intermediaries and their different activities in the mortgage process.</w:t>
      </w:r>
      <w:r w:rsidRPr="00AE1064">
        <w:rPr>
          <w:rStyle w:val="FootnoteReference"/>
          <w:rFonts w:ascii="Book Antiqua" w:hAnsi="Book Antiqua" w:cs="Times New Roman"/>
          <w:sz w:val="24"/>
          <w:szCs w:val="24"/>
        </w:rPr>
        <w:footnoteReference w:id="149"/>
      </w:r>
      <w:r w:rsidRPr="00BD474F">
        <w:rPr>
          <w:rFonts w:ascii="Book Antiqua" w:hAnsi="Book Antiqua" w:cs="Times New Roman"/>
          <w:sz w:val="24"/>
          <w:szCs w:val="24"/>
        </w:rPr>
        <w:t xml:space="preserve"> Of particular </w:t>
      </w:r>
      <w:r w:rsidRPr="00BD474F">
        <w:rPr>
          <w:rFonts w:ascii="Book Antiqua" w:hAnsi="Book Antiqua" w:cs="Times New Roman"/>
          <w:sz w:val="24"/>
          <w:szCs w:val="24"/>
        </w:rPr>
        <w:lastRenderedPageBreak/>
        <w:t xml:space="preserve">relevance for present purposes is the guidance entitled </w:t>
      </w:r>
      <w:r w:rsidRPr="006B566B">
        <w:rPr>
          <w:rFonts w:ascii="Book Antiqua" w:hAnsi="Book Antiqua" w:cs="Times New Roman"/>
          <w:i/>
          <w:sz w:val="24"/>
          <w:szCs w:val="24"/>
        </w:rPr>
        <w:t>“Broker packagers (sometimes called ‘intermediary brokers’)”</w:t>
      </w:r>
      <w:r w:rsidRPr="00BD474F">
        <w:rPr>
          <w:rFonts w:ascii="Book Antiqua" w:hAnsi="Book Antiqua" w:cs="Times New Roman"/>
          <w:sz w:val="24"/>
          <w:szCs w:val="24"/>
        </w:rPr>
        <w:t>:</w:t>
      </w:r>
      <w:r w:rsidRPr="00BD474F">
        <w:rPr>
          <w:rStyle w:val="FootnoteReference"/>
          <w:rFonts w:ascii="Book Antiqua" w:hAnsi="Book Antiqua" w:cs="Times New Roman"/>
          <w:sz w:val="24"/>
          <w:szCs w:val="24"/>
        </w:rPr>
        <w:t xml:space="preserve"> </w:t>
      </w:r>
      <w:r w:rsidRPr="00AE1064">
        <w:rPr>
          <w:rStyle w:val="FootnoteReference"/>
          <w:rFonts w:ascii="Book Antiqua" w:hAnsi="Book Antiqua" w:cs="Times New Roman"/>
          <w:sz w:val="24"/>
          <w:szCs w:val="24"/>
        </w:rPr>
        <w:footnoteReference w:id="150"/>
      </w:r>
    </w:p>
    <w:p w14:paraId="2EC82C54" w14:textId="77777777" w:rsidR="00A27D92" w:rsidRPr="006B566B" w:rsidRDefault="00A27D92" w:rsidP="00A27D92">
      <w:pPr>
        <w:pStyle w:val="ListParagraph"/>
        <w:spacing w:line="360" w:lineRule="auto"/>
        <w:ind w:left="1418"/>
        <w:contextualSpacing w:val="0"/>
        <w:jc w:val="both"/>
        <w:rPr>
          <w:rFonts w:ascii="Book Antiqua" w:hAnsi="Book Antiqua" w:cs="Times New Roman"/>
          <w:i/>
          <w:sz w:val="24"/>
          <w:szCs w:val="24"/>
        </w:rPr>
      </w:pPr>
      <w:r w:rsidRPr="006B566B">
        <w:rPr>
          <w:rFonts w:ascii="Book Antiqua" w:hAnsi="Book Antiqua" w:cs="Times New Roman"/>
          <w:i/>
          <w:sz w:val="24"/>
          <w:szCs w:val="24"/>
          <w:shd w:val="clear" w:color="auto" w:fill="FFFFFF"/>
        </w:rPr>
        <w:t>“T</w:t>
      </w:r>
      <w:r w:rsidRPr="006B566B">
        <w:rPr>
          <w:rFonts w:ascii="Book Antiqua" w:hAnsi="Book Antiqua" w:cs="Times New Roman"/>
          <w:i/>
          <w:sz w:val="24"/>
          <w:szCs w:val="24"/>
        </w:rPr>
        <w:t>he term 'broker packagers' is typically used to describe intermediaries who either market their services directly to borrowers or who offer other intermediaries a complete mortgage outsourcing service. They are often involved in the sales and advice process, including helping the borrower complete application forms. In the FCA's view, broker packagers carrying on these types of activity in direct contact with the borrower are likely to be carrying on the regulated activities of arranging (bringing about) and making arrangements with a view to regulated mortgage contracts. They may also be advising on regulated mortgage contracts depending on the circumstances.”</w:t>
      </w:r>
    </w:p>
    <w:p w14:paraId="50596CF4" w14:textId="77777777" w:rsidR="00A27D92" w:rsidRPr="00AE1064" w:rsidRDefault="00A27D92" w:rsidP="00A27D92">
      <w:pPr>
        <w:spacing w:line="360" w:lineRule="auto"/>
        <w:ind w:left="567" w:hanging="567"/>
        <w:jc w:val="both"/>
        <w:rPr>
          <w:rFonts w:ascii="Book Antiqua" w:hAnsi="Book Antiqua" w:cs="Times New Roman"/>
          <w:b/>
          <w:sz w:val="24"/>
          <w:szCs w:val="24"/>
        </w:rPr>
      </w:pPr>
    </w:p>
    <w:p w14:paraId="11B5AFB3" w14:textId="77777777" w:rsidR="00A27D92" w:rsidRPr="00BD474F" w:rsidRDefault="00A27D92" w:rsidP="00A27D92">
      <w:pPr>
        <w:spacing w:line="360" w:lineRule="auto"/>
        <w:ind w:left="567" w:hanging="567"/>
        <w:jc w:val="both"/>
        <w:rPr>
          <w:rFonts w:ascii="Book Antiqua" w:hAnsi="Book Antiqua" w:cs="Times New Roman"/>
          <w:b/>
          <w:sz w:val="24"/>
          <w:szCs w:val="24"/>
          <w:u w:val="single"/>
        </w:rPr>
      </w:pPr>
      <w:r w:rsidRPr="00BD474F">
        <w:rPr>
          <w:rFonts w:ascii="Book Antiqua" w:hAnsi="Book Antiqua" w:cs="Times New Roman"/>
          <w:b/>
          <w:sz w:val="24"/>
          <w:szCs w:val="24"/>
          <w:u w:val="single"/>
        </w:rPr>
        <w:t>B. Existing mortgage regulation in the UK as at February 2014</w:t>
      </w:r>
    </w:p>
    <w:p w14:paraId="02221E74"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D474F">
        <w:rPr>
          <w:rFonts w:ascii="Book Antiqua" w:hAnsi="Book Antiqua" w:cs="Times New Roman"/>
          <w:sz w:val="24"/>
          <w:szCs w:val="24"/>
        </w:rPr>
        <w:t>As at February 2014, activities connected with mortgages were regulated under two separate and distinct regimes.</w:t>
      </w:r>
    </w:p>
    <w:p w14:paraId="71F6F2FF" w14:textId="77777777" w:rsidR="00A27D92" w:rsidRPr="00AE1064" w:rsidRDefault="00A27D92" w:rsidP="00A27D92">
      <w:pPr>
        <w:pStyle w:val="ListParagraph"/>
        <w:numPr>
          <w:ilvl w:val="0"/>
          <w:numId w:val="44"/>
        </w:numPr>
        <w:spacing w:line="360" w:lineRule="auto"/>
        <w:ind w:left="567" w:hanging="567"/>
        <w:contextualSpacing w:val="0"/>
        <w:jc w:val="both"/>
      </w:pPr>
      <w:r w:rsidRPr="00BD474F">
        <w:rPr>
          <w:rFonts w:ascii="Book Antiqua" w:hAnsi="Book Antiqua" w:cs="Times New Roman"/>
          <w:sz w:val="24"/>
          <w:szCs w:val="24"/>
        </w:rPr>
        <w:t xml:space="preserve">Regulated mortgage activities requiring authorisation or exemption were limited to those connected with first charge residential mortgages. </w:t>
      </w:r>
      <w:r>
        <w:rPr>
          <w:rFonts w:ascii="Book Antiqua" w:hAnsi="Book Antiqua" w:cs="Times New Roman"/>
          <w:sz w:val="24"/>
          <w:szCs w:val="24"/>
        </w:rPr>
        <w:t>After</w:t>
      </w:r>
      <w:r w:rsidRPr="00BD474F">
        <w:rPr>
          <w:rFonts w:ascii="Book Antiqua" w:hAnsi="Book Antiqua" w:cs="Times New Roman"/>
          <w:sz w:val="24"/>
          <w:szCs w:val="24"/>
        </w:rPr>
        <w:t xml:space="preserve"> 1</w:t>
      </w:r>
      <w:r w:rsidRPr="00BD474F">
        <w:rPr>
          <w:rFonts w:ascii="Book Antiqua" w:hAnsi="Book Antiqua" w:cs="Times New Roman"/>
          <w:sz w:val="24"/>
          <w:szCs w:val="24"/>
          <w:vertAlign w:val="superscript"/>
        </w:rPr>
        <w:t>st</w:t>
      </w:r>
      <w:r w:rsidRPr="00BD474F">
        <w:rPr>
          <w:rFonts w:ascii="Book Antiqua" w:hAnsi="Book Antiqua" w:cs="Times New Roman"/>
          <w:sz w:val="24"/>
          <w:szCs w:val="24"/>
        </w:rPr>
        <w:t xml:space="preserve"> April 2013, the conduct regulator </w:t>
      </w:r>
      <w:r>
        <w:rPr>
          <w:rFonts w:ascii="Book Antiqua" w:hAnsi="Book Antiqua" w:cs="Times New Roman"/>
          <w:sz w:val="24"/>
          <w:szCs w:val="24"/>
        </w:rPr>
        <w:t xml:space="preserve">was the </w:t>
      </w:r>
      <w:r w:rsidRPr="00BD474F">
        <w:rPr>
          <w:rFonts w:ascii="Book Antiqua" w:hAnsi="Book Antiqua" w:cs="Times New Roman"/>
          <w:sz w:val="24"/>
          <w:szCs w:val="24"/>
        </w:rPr>
        <w:t>FCA</w:t>
      </w:r>
      <w:r>
        <w:rPr>
          <w:rFonts w:ascii="Book Antiqua" w:hAnsi="Book Antiqua" w:cs="Times New Roman"/>
          <w:sz w:val="24"/>
          <w:szCs w:val="24"/>
        </w:rPr>
        <w:t>,</w:t>
      </w:r>
      <w:r w:rsidRPr="00BD474F">
        <w:rPr>
          <w:rFonts w:ascii="Book Antiqua" w:hAnsi="Book Antiqua" w:cs="Times New Roman"/>
          <w:sz w:val="24"/>
          <w:szCs w:val="24"/>
        </w:rPr>
        <w:t xml:space="preserve"> with the primary source of the regulatory regime being </w:t>
      </w:r>
      <w:r>
        <w:rPr>
          <w:rFonts w:ascii="Book Antiqua" w:hAnsi="Book Antiqua" w:cs="Times New Roman"/>
          <w:sz w:val="24"/>
          <w:szCs w:val="24"/>
        </w:rPr>
        <w:t>FSMA</w:t>
      </w:r>
      <w:r w:rsidRPr="00BD474F">
        <w:rPr>
          <w:rFonts w:ascii="Book Antiqua" w:hAnsi="Book Antiqua" w:cs="Times New Roman"/>
          <w:sz w:val="24"/>
          <w:szCs w:val="24"/>
        </w:rPr>
        <w:t>.</w:t>
      </w:r>
    </w:p>
    <w:p w14:paraId="29D51CF2"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D474F">
        <w:rPr>
          <w:rFonts w:ascii="Book Antiqua" w:hAnsi="Book Antiqua" w:cs="Times New Roman"/>
          <w:sz w:val="24"/>
          <w:szCs w:val="24"/>
        </w:rPr>
        <w:t>The definition of an RMC was set out in article 61(3)(a) of the Regulated Activities Order</w:t>
      </w:r>
      <w:r>
        <w:rPr>
          <w:rFonts w:ascii="Book Antiqua" w:hAnsi="Book Antiqua" w:cs="Times New Roman"/>
          <w:sz w:val="24"/>
          <w:szCs w:val="24"/>
        </w:rPr>
        <w:t>. In broad terms, it involved lending on the security of a first legal mortgage over owner-occupied residential property situated in the UK.</w:t>
      </w:r>
      <w:r w:rsidRPr="00BD474F">
        <w:rPr>
          <w:rFonts w:ascii="Book Antiqua" w:hAnsi="Book Antiqua" w:cs="Times New Roman"/>
          <w:sz w:val="24"/>
          <w:szCs w:val="24"/>
        </w:rPr>
        <w:t xml:space="preserve"> Rules and guidance were (and still are) set out in the FCA’s Mortgages and Home Finance: Conduct of Business sourcebook (“</w:t>
      </w:r>
      <w:r w:rsidRPr="006B566B">
        <w:rPr>
          <w:rFonts w:ascii="Book Antiqua" w:hAnsi="Book Antiqua" w:cs="Times New Roman"/>
          <w:b/>
          <w:sz w:val="24"/>
          <w:szCs w:val="24"/>
        </w:rPr>
        <w:t>MCOB</w:t>
      </w:r>
      <w:r w:rsidRPr="00BD474F">
        <w:rPr>
          <w:rFonts w:ascii="Book Antiqua" w:hAnsi="Book Antiqua" w:cs="Times New Roman"/>
          <w:sz w:val="24"/>
          <w:szCs w:val="24"/>
        </w:rPr>
        <w:t>”).</w:t>
      </w:r>
    </w:p>
    <w:p w14:paraId="6FC44781"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D474F">
        <w:rPr>
          <w:rFonts w:ascii="Book Antiqua" w:hAnsi="Book Antiqua" w:cs="Times New Roman"/>
          <w:sz w:val="24"/>
          <w:szCs w:val="24"/>
        </w:rPr>
        <w:t>In contrast, regulation of much other credit business, including second charge mortgages, was set out in consumer credit legislation and superintended and enforced by the Office of Fair Trading (“</w:t>
      </w:r>
      <w:r w:rsidRPr="006B566B">
        <w:rPr>
          <w:rFonts w:ascii="Book Antiqua" w:hAnsi="Book Antiqua" w:cs="Times New Roman"/>
          <w:b/>
          <w:sz w:val="24"/>
          <w:szCs w:val="24"/>
        </w:rPr>
        <w:t>OFT</w:t>
      </w:r>
      <w:r w:rsidRPr="00BD474F">
        <w:rPr>
          <w:rFonts w:ascii="Book Antiqua" w:hAnsi="Book Antiqua" w:cs="Times New Roman"/>
          <w:sz w:val="24"/>
          <w:szCs w:val="24"/>
        </w:rPr>
        <w:t>”).</w:t>
      </w:r>
    </w:p>
    <w:p w14:paraId="57F806AA"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Pr>
          <w:rFonts w:ascii="Book Antiqua" w:hAnsi="Book Antiqua" w:cs="Times New Roman"/>
          <w:sz w:val="24"/>
          <w:szCs w:val="24"/>
        </w:rPr>
        <w:lastRenderedPageBreak/>
        <w:t>However, o</w:t>
      </w:r>
      <w:r w:rsidRPr="00BD474F">
        <w:rPr>
          <w:rFonts w:ascii="Book Antiqua" w:hAnsi="Book Antiqua" w:cs="Times New Roman"/>
          <w:sz w:val="24"/>
          <w:szCs w:val="24"/>
        </w:rPr>
        <w:t>n 1</w:t>
      </w:r>
      <w:r w:rsidRPr="00BD474F">
        <w:rPr>
          <w:rFonts w:ascii="Book Antiqua" w:hAnsi="Book Antiqua" w:cs="Times New Roman"/>
          <w:sz w:val="24"/>
          <w:szCs w:val="24"/>
          <w:vertAlign w:val="superscript"/>
        </w:rPr>
        <w:t>st</w:t>
      </w:r>
      <w:r w:rsidRPr="00BD474F">
        <w:rPr>
          <w:rFonts w:ascii="Book Antiqua" w:hAnsi="Book Antiqua" w:cs="Times New Roman"/>
          <w:sz w:val="24"/>
          <w:szCs w:val="24"/>
        </w:rPr>
        <w:t xml:space="preserve"> April 2014, the FCA took over from the OFT as the regulator for the consumer credit industry. Rules and guidance in relation to agreements secured on </w:t>
      </w:r>
      <w:proofErr w:type="gramStart"/>
      <w:r w:rsidRPr="00BD474F">
        <w:rPr>
          <w:rFonts w:ascii="Book Antiqua" w:hAnsi="Book Antiqua" w:cs="Times New Roman"/>
          <w:sz w:val="24"/>
          <w:szCs w:val="24"/>
        </w:rPr>
        <w:t>land which were not RMCs</w:t>
      </w:r>
      <w:proofErr w:type="gramEnd"/>
      <w:r w:rsidRPr="00BD474F">
        <w:rPr>
          <w:rFonts w:ascii="Book Antiqua" w:hAnsi="Book Antiqua" w:cs="Times New Roman"/>
          <w:sz w:val="24"/>
          <w:szCs w:val="24"/>
        </w:rPr>
        <w:t xml:space="preserve"> were thereafter set out in Chapter 15 of the FCA’s Consumer Credit sourcebook (“</w:t>
      </w:r>
      <w:r w:rsidRPr="006B566B">
        <w:rPr>
          <w:rFonts w:ascii="Book Antiqua" w:hAnsi="Book Antiqua" w:cs="Times New Roman"/>
          <w:b/>
          <w:sz w:val="24"/>
          <w:szCs w:val="24"/>
        </w:rPr>
        <w:t>CONC</w:t>
      </w:r>
      <w:r w:rsidRPr="00BD474F">
        <w:rPr>
          <w:rFonts w:ascii="Book Antiqua" w:hAnsi="Book Antiqua" w:cs="Times New Roman"/>
          <w:sz w:val="24"/>
          <w:szCs w:val="24"/>
        </w:rPr>
        <w:t>”).</w:t>
      </w:r>
    </w:p>
    <w:p w14:paraId="612489B0" w14:textId="77777777" w:rsidR="00A27D92" w:rsidRPr="00BD474F"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D474F">
        <w:rPr>
          <w:rFonts w:ascii="Book Antiqua" w:hAnsi="Book Antiqua" w:cs="Times New Roman"/>
          <w:sz w:val="24"/>
          <w:szCs w:val="24"/>
        </w:rPr>
        <w:t>In general, buy-to-let mortgages did not fall within the definition of an RMC and were not, therefore, regulated by the FCA. Nor had they fallen within the scope of the OFT’s regulation of consumer credit (as transferred to the FCA on 1</w:t>
      </w:r>
      <w:r w:rsidRPr="00BD474F">
        <w:rPr>
          <w:rFonts w:ascii="Book Antiqua" w:hAnsi="Book Antiqua" w:cs="Times New Roman"/>
          <w:sz w:val="24"/>
          <w:szCs w:val="24"/>
          <w:vertAlign w:val="superscript"/>
        </w:rPr>
        <w:t>st</w:t>
      </w:r>
      <w:r w:rsidRPr="00BD474F">
        <w:rPr>
          <w:rFonts w:ascii="Book Antiqua" w:hAnsi="Book Antiqua" w:cs="Times New Roman"/>
          <w:sz w:val="24"/>
          <w:szCs w:val="24"/>
        </w:rPr>
        <w:t xml:space="preserve"> April 2014).</w:t>
      </w:r>
      <w:r w:rsidRPr="00BD474F">
        <w:rPr>
          <w:rFonts w:ascii="Book Antiqua" w:hAnsi="Book Antiqua" w:cs="Times New Roman"/>
          <w:color w:val="0B0C0C"/>
          <w:sz w:val="24"/>
          <w:szCs w:val="24"/>
          <w:shd w:val="clear" w:color="auto" w:fill="FFFFFF"/>
        </w:rPr>
        <w:t xml:space="preserve"> However, the broking of buy-to-let mortgages did usually require a firm to be </w:t>
      </w:r>
      <w:r w:rsidRPr="00BD474F">
        <w:rPr>
          <w:rFonts w:ascii="Book Antiqua" w:hAnsi="Book Antiqua" w:cs="Times New Roman"/>
          <w:sz w:val="24"/>
          <w:szCs w:val="24"/>
        </w:rPr>
        <w:t xml:space="preserve">FCA </w:t>
      </w:r>
      <w:r w:rsidRPr="00BD474F">
        <w:rPr>
          <w:rFonts w:ascii="Book Antiqua" w:hAnsi="Book Antiqua" w:cs="Times New Roman"/>
          <w:color w:val="0B0C0C"/>
          <w:sz w:val="24"/>
          <w:szCs w:val="24"/>
          <w:shd w:val="clear" w:color="auto" w:fill="FFFFFF"/>
        </w:rPr>
        <w:t>authorised. This was because the broking of buy-to-let mortgages was included in the scope of consumer credit broking.</w:t>
      </w:r>
    </w:p>
    <w:p w14:paraId="51C30E49" w14:textId="77777777" w:rsidR="00A27D92" w:rsidRPr="00AE1064" w:rsidRDefault="00A27D92" w:rsidP="00A27D92">
      <w:pPr>
        <w:spacing w:line="360" w:lineRule="auto"/>
        <w:ind w:left="567" w:hanging="567"/>
        <w:jc w:val="both"/>
        <w:rPr>
          <w:rFonts w:ascii="Book Antiqua" w:hAnsi="Book Antiqua" w:cs="Times New Roman"/>
          <w:sz w:val="24"/>
          <w:szCs w:val="24"/>
        </w:rPr>
      </w:pPr>
    </w:p>
    <w:p w14:paraId="4307EF32" w14:textId="77777777" w:rsidR="00A27D92" w:rsidRPr="00AE1064" w:rsidRDefault="00A27D92" w:rsidP="00A27D92">
      <w:pPr>
        <w:pStyle w:val="NormalWeb"/>
        <w:shd w:val="clear" w:color="auto" w:fill="FFFFFF"/>
        <w:spacing w:before="0" w:beforeAutospacing="0" w:after="200" w:afterAutospacing="0" w:line="360" w:lineRule="auto"/>
        <w:ind w:left="567" w:hanging="567"/>
        <w:jc w:val="both"/>
        <w:rPr>
          <w:rFonts w:ascii="Book Antiqua" w:hAnsi="Book Antiqua"/>
        </w:rPr>
      </w:pPr>
      <w:r>
        <w:rPr>
          <w:rFonts w:ascii="Book Antiqua" w:hAnsi="Book Antiqua"/>
          <w:b/>
          <w:u w:val="single"/>
        </w:rPr>
        <w:t xml:space="preserve">C. </w:t>
      </w:r>
      <w:r w:rsidRPr="00BD474F">
        <w:rPr>
          <w:rFonts w:ascii="Book Antiqua" w:hAnsi="Book Antiqua"/>
          <w:b/>
          <w:u w:val="single"/>
        </w:rPr>
        <w:t>The Mortgage Credit Directive</w:t>
      </w:r>
    </w:p>
    <w:p w14:paraId="2270217D" w14:textId="77777777" w:rsidR="00A27D92" w:rsidRDefault="00A27D92" w:rsidP="00A27D92">
      <w:pPr>
        <w:pStyle w:val="NormalWeb"/>
        <w:numPr>
          <w:ilvl w:val="0"/>
          <w:numId w:val="44"/>
        </w:numPr>
        <w:shd w:val="clear" w:color="auto" w:fill="FFFFFF"/>
        <w:spacing w:before="0" w:beforeAutospacing="0" w:after="200" w:afterAutospacing="0" w:line="360" w:lineRule="auto"/>
        <w:ind w:left="567" w:hanging="567"/>
        <w:jc w:val="both"/>
        <w:rPr>
          <w:rFonts w:ascii="Book Antiqua" w:hAnsi="Book Antiqua"/>
        </w:rPr>
      </w:pPr>
      <w:r w:rsidRPr="00AE1064">
        <w:rPr>
          <w:rFonts w:ascii="Book Antiqua" w:hAnsi="Book Antiqua"/>
        </w:rPr>
        <w:t xml:space="preserve">It was against this background that the MCD </w:t>
      </w:r>
      <w:r w:rsidRPr="00AE1064">
        <w:rPr>
          <w:rFonts w:ascii="Book Antiqua" w:eastAsiaTheme="minorHAnsi" w:hAnsi="Book Antiqua"/>
          <w:shd w:val="clear" w:color="auto" w:fill="FFFFFF"/>
          <w:lang w:eastAsia="en-US"/>
        </w:rPr>
        <w:t>was adopted on 4</w:t>
      </w:r>
      <w:r w:rsidRPr="00AE1064">
        <w:rPr>
          <w:rFonts w:ascii="Book Antiqua" w:eastAsiaTheme="minorHAnsi" w:hAnsi="Book Antiqua"/>
          <w:shd w:val="clear" w:color="auto" w:fill="FFFFFF"/>
          <w:vertAlign w:val="superscript"/>
          <w:lang w:eastAsia="en-US"/>
        </w:rPr>
        <w:t>th</w:t>
      </w:r>
      <w:r w:rsidRPr="00AE1064">
        <w:rPr>
          <w:rFonts w:ascii="Book Antiqua" w:eastAsiaTheme="minorHAnsi" w:hAnsi="Book Antiqua"/>
          <w:shd w:val="clear" w:color="auto" w:fill="FFFFFF"/>
          <w:lang w:eastAsia="en-US"/>
        </w:rPr>
        <w:t xml:space="preserve"> February 2014. </w:t>
      </w:r>
      <w:r w:rsidRPr="00AE1064">
        <w:rPr>
          <w:rFonts w:ascii="Book Antiqua" w:hAnsi="Book Antiqua"/>
        </w:rPr>
        <w:t>The European Commission (“</w:t>
      </w:r>
      <w:r w:rsidRPr="006B566B">
        <w:rPr>
          <w:rFonts w:ascii="Book Antiqua" w:hAnsi="Book Antiqua"/>
          <w:b/>
        </w:rPr>
        <w:t>EC</w:t>
      </w:r>
      <w:r w:rsidRPr="00AE1064">
        <w:rPr>
          <w:rFonts w:ascii="Book Antiqua" w:hAnsi="Book Antiqua"/>
        </w:rPr>
        <w:t>”) had proposed the MCD on 31</w:t>
      </w:r>
      <w:r w:rsidRPr="00AE1064">
        <w:rPr>
          <w:rFonts w:ascii="Book Antiqua" w:hAnsi="Book Antiqua"/>
          <w:vertAlign w:val="superscript"/>
        </w:rPr>
        <w:t>st</w:t>
      </w:r>
      <w:r w:rsidRPr="00AE1064">
        <w:rPr>
          <w:rFonts w:ascii="Book Antiqua" w:hAnsi="Book Antiqua"/>
        </w:rPr>
        <w:t xml:space="preserve"> March 2011 for adoption through the co-decision procedure with a first reading agreement on 22</w:t>
      </w:r>
      <w:r w:rsidRPr="00AE1064">
        <w:rPr>
          <w:rFonts w:ascii="Book Antiqua" w:hAnsi="Book Antiqua"/>
          <w:vertAlign w:val="superscript"/>
        </w:rPr>
        <w:t>nd</w:t>
      </w:r>
      <w:r w:rsidRPr="00AE1064">
        <w:rPr>
          <w:rFonts w:ascii="Book Antiqua" w:hAnsi="Book Antiqua"/>
        </w:rPr>
        <w:t xml:space="preserve"> April 2013.</w:t>
      </w:r>
    </w:p>
    <w:p w14:paraId="42C18776" w14:textId="77777777" w:rsidR="00A27D92" w:rsidRDefault="00A27D92" w:rsidP="00A27D92">
      <w:pPr>
        <w:pStyle w:val="NormalWeb"/>
        <w:numPr>
          <w:ilvl w:val="0"/>
          <w:numId w:val="44"/>
        </w:numPr>
        <w:shd w:val="clear" w:color="auto" w:fill="FFFFFF"/>
        <w:spacing w:before="0" w:beforeAutospacing="0" w:after="200" w:afterAutospacing="0" w:line="360" w:lineRule="auto"/>
        <w:ind w:left="567" w:hanging="567"/>
        <w:jc w:val="both"/>
        <w:rPr>
          <w:rFonts w:ascii="Book Antiqua" w:hAnsi="Book Antiqua"/>
        </w:rPr>
      </w:pPr>
      <w:r w:rsidRPr="00BD474F">
        <w:rPr>
          <w:rFonts w:ascii="Book Antiqua" w:eastAsiaTheme="minorHAnsi" w:hAnsi="Book Antiqua"/>
          <w:shd w:val="clear" w:color="auto" w:fill="FFFFFF"/>
          <w:lang w:eastAsia="en-US"/>
        </w:rPr>
        <w:t xml:space="preserve">The aim of the MCD is to promote an efficient and competitive single mortgage credit market with a high level of consumer protection. It seeks to </w:t>
      </w:r>
      <w:r w:rsidRPr="00BD474F">
        <w:rPr>
          <w:rFonts w:ascii="Book Antiqua" w:hAnsi="Book Antiqua"/>
        </w:rPr>
        <w:t>allow lenders to provide services throughout the single market, encouraging cross-border activity.</w:t>
      </w:r>
    </w:p>
    <w:p w14:paraId="1576858C" w14:textId="77777777" w:rsidR="00A27D92" w:rsidRDefault="00A27D92" w:rsidP="00A27D92">
      <w:pPr>
        <w:pStyle w:val="NormalWeb"/>
        <w:numPr>
          <w:ilvl w:val="0"/>
          <w:numId w:val="44"/>
        </w:numPr>
        <w:shd w:val="clear" w:color="auto" w:fill="FFFFFF"/>
        <w:spacing w:before="0" w:beforeAutospacing="0" w:after="200" w:afterAutospacing="0" w:line="360" w:lineRule="auto"/>
        <w:ind w:left="567" w:hanging="567"/>
        <w:jc w:val="both"/>
        <w:rPr>
          <w:rFonts w:ascii="Book Antiqua" w:hAnsi="Book Antiqua"/>
        </w:rPr>
      </w:pPr>
      <w:r w:rsidRPr="00BD474F">
        <w:rPr>
          <w:rFonts w:ascii="Book Antiqua" w:hAnsi="Book Antiqua"/>
        </w:rPr>
        <w:t>Most of the provisions of the MCD are concerned with setting the minimum regulatory requirements which member states are required to meet in order to protect consumers taking out credit agreements relating to residential property. It also imposes maximum standards on member states in a few areas, in particular in the provision of pre-contractual information in a standardised format.</w:t>
      </w:r>
    </w:p>
    <w:p w14:paraId="7EEE10DD" w14:textId="77777777" w:rsidR="00A27D92" w:rsidRPr="00BD474F" w:rsidRDefault="00A27D92" w:rsidP="00A27D92">
      <w:pPr>
        <w:pStyle w:val="NormalWeb"/>
        <w:numPr>
          <w:ilvl w:val="0"/>
          <w:numId w:val="44"/>
        </w:numPr>
        <w:shd w:val="clear" w:color="auto" w:fill="FFFFFF"/>
        <w:spacing w:before="0" w:beforeAutospacing="0" w:after="200" w:afterAutospacing="0" w:line="360" w:lineRule="auto"/>
        <w:ind w:left="567" w:hanging="567"/>
        <w:jc w:val="both"/>
        <w:rPr>
          <w:rFonts w:ascii="Book Antiqua" w:hAnsi="Book Antiqua"/>
        </w:rPr>
      </w:pPr>
      <w:r w:rsidRPr="00BD474F">
        <w:rPr>
          <w:rFonts w:ascii="Book Antiqua" w:hAnsi="Book Antiqua"/>
        </w:rPr>
        <w:t>So as to meet its treaty obligations, the UK was required to transpose the provisions of the MCD into its national law by 21</w:t>
      </w:r>
      <w:r w:rsidRPr="00BD474F">
        <w:rPr>
          <w:rFonts w:ascii="Book Antiqua" w:hAnsi="Book Antiqua"/>
          <w:vertAlign w:val="superscript"/>
        </w:rPr>
        <w:t>st</w:t>
      </w:r>
      <w:r w:rsidRPr="00BD474F">
        <w:rPr>
          <w:rFonts w:ascii="Book Antiqua" w:hAnsi="Book Antiqua"/>
        </w:rPr>
        <w:t xml:space="preserve"> March 2016.</w:t>
      </w:r>
    </w:p>
    <w:p w14:paraId="0E09F9A8" w14:textId="77777777" w:rsidR="00A27D92" w:rsidRDefault="00A27D92" w:rsidP="00A27D92">
      <w:pPr>
        <w:shd w:val="clear" w:color="auto" w:fill="FFFFFF"/>
        <w:spacing w:line="360" w:lineRule="auto"/>
        <w:ind w:left="567" w:hanging="567"/>
        <w:jc w:val="both"/>
        <w:textAlignment w:val="baseline"/>
        <w:outlineLvl w:val="2"/>
        <w:rPr>
          <w:rFonts w:ascii="Book Antiqua" w:eastAsia="Times New Roman" w:hAnsi="Book Antiqua" w:cs="Times New Roman"/>
          <w:b/>
          <w:bCs/>
          <w:sz w:val="24"/>
          <w:szCs w:val="24"/>
          <w:u w:val="single"/>
          <w:lang w:eastAsia="en-GB"/>
        </w:rPr>
      </w:pPr>
    </w:p>
    <w:p w14:paraId="2FBB4FD0" w14:textId="77777777" w:rsidR="00A27D92" w:rsidRPr="00AE1064" w:rsidRDefault="00A27D92" w:rsidP="00A27D92">
      <w:pPr>
        <w:shd w:val="clear" w:color="auto" w:fill="FFFFFF"/>
        <w:spacing w:line="360" w:lineRule="auto"/>
        <w:ind w:left="567" w:hanging="567"/>
        <w:jc w:val="both"/>
        <w:textAlignment w:val="baseline"/>
        <w:outlineLvl w:val="2"/>
        <w:rPr>
          <w:rFonts w:ascii="Book Antiqua" w:eastAsia="Times New Roman" w:hAnsi="Book Antiqua" w:cs="Times New Roman"/>
          <w:sz w:val="24"/>
          <w:szCs w:val="24"/>
          <w:lang w:eastAsia="en-GB"/>
        </w:rPr>
      </w:pPr>
      <w:r>
        <w:rPr>
          <w:rFonts w:ascii="Book Antiqua" w:eastAsia="Times New Roman" w:hAnsi="Book Antiqua" w:cs="Times New Roman"/>
          <w:b/>
          <w:bCs/>
          <w:sz w:val="24"/>
          <w:szCs w:val="24"/>
          <w:u w:val="single"/>
          <w:lang w:eastAsia="en-GB"/>
        </w:rPr>
        <w:t xml:space="preserve">D. </w:t>
      </w:r>
      <w:r w:rsidRPr="00BD474F">
        <w:rPr>
          <w:rFonts w:ascii="Book Antiqua" w:eastAsia="Times New Roman" w:hAnsi="Book Antiqua" w:cs="Times New Roman"/>
          <w:b/>
          <w:bCs/>
          <w:sz w:val="24"/>
          <w:szCs w:val="24"/>
          <w:u w:val="single"/>
          <w:lang w:eastAsia="en-GB"/>
        </w:rPr>
        <w:t>The UK’s approach to negotiations on the MCD</w:t>
      </w:r>
    </w:p>
    <w:p w14:paraId="3FF1B7BA" w14:textId="77777777" w:rsidR="00A27D92" w:rsidRPr="00BD474F" w:rsidRDefault="00A27D92" w:rsidP="00A27D92">
      <w:pPr>
        <w:pStyle w:val="ListParagraph"/>
        <w:numPr>
          <w:ilvl w:val="0"/>
          <w:numId w:val="44"/>
        </w:numPr>
        <w:shd w:val="clear" w:color="auto" w:fill="FFFFFF"/>
        <w:spacing w:line="360" w:lineRule="auto"/>
        <w:ind w:left="567" w:hanging="567"/>
        <w:contextualSpacing w:val="0"/>
        <w:jc w:val="both"/>
        <w:rPr>
          <w:rFonts w:ascii="Book Antiqua" w:eastAsia="Times New Roman" w:hAnsi="Book Antiqua" w:cs="Times New Roman"/>
          <w:sz w:val="24"/>
          <w:szCs w:val="24"/>
          <w:lang w:eastAsia="en-GB"/>
        </w:rPr>
      </w:pPr>
      <w:r w:rsidRPr="00BD474F">
        <w:rPr>
          <w:rFonts w:ascii="Book Antiqua" w:eastAsia="Times New Roman" w:hAnsi="Book Antiqua" w:cs="Times New Roman"/>
          <w:sz w:val="24"/>
          <w:szCs w:val="24"/>
          <w:lang w:eastAsia="en-GB"/>
        </w:rPr>
        <w:t>As was explained in a consultation (“</w:t>
      </w:r>
      <w:r w:rsidRPr="006B566B">
        <w:rPr>
          <w:rFonts w:ascii="Book Antiqua" w:eastAsia="Times New Roman" w:hAnsi="Book Antiqua" w:cs="Times New Roman"/>
          <w:b/>
          <w:sz w:val="24"/>
          <w:szCs w:val="24"/>
          <w:lang w:eastAsia="en-GB"/>
        </w:rPr>
        <w:t>MCD Consultation</w:t>
      </w:r>
      <w:r w:rsidRPr="00BD474F">
        <w:rPr>
          <w:rFonts w:ascii="Book Antiqua" w:eastAsia="Times New Roman" w:hAnsi="Book Antiqua" w:cs="Times New Roman"/>
          <w:sz w:val="24"/>
          <w:szCs w:val="24"/>
          <w:lang w:eastAsia="en-GB"/>
        </w:rPr>
        <w:t>”) published by HM Treasury on 5</w:t>
      </w:r>
      <w:r w:rsidRPr="00BD474F">
        <w:rPr>
          <w:rFonts w:ascii="Book Antiqua" w:eastAsia="Times New Roman" w:hAnsi="Book Antiqua" w:cs="Times New Roman"/>
          <w:sz w:val="24"/>
          <w:szCs w:val="24"/>
          <w:vertAlign w:val="superscript"/>
          <w:lang w:eastAsia="en-GB"/>
        </w:rPr>
        <w:t>th</w:t>
      </w:r>
      <w:r w:rsidRPr="00BD474F">
        <w:rPr>
          <w:rFonts w:ascii="Book Antiqua" w:eastAsia="Times New Roman" w:hAnsi="Book Antiqua" w:cs="Times New Roman"/>
          <w:sz w:val="24"/>
          <w:szCs w:val="24"/>
          <w:lang w:eastAsia="en-GB"/>
        </w:rPr>
        <w:t xml:space="preserve"> September 2014,</w:t>
      </w:r>
      <w:r w:rsidRPr="00AE1064">
        <w:rPr>
          <w:rStyle w:val="FootnoteReference"/>
          <w:rFonts w:ascii="Book Antiqua" w:eastAsia="Times New Roman" w:hAnsi="Book Antiqua" w:cs="Times New Roman"/>
          <w:sz w:val="24"/>
          <w:szCs w:val="24"/>
          <w:lang w:eastAsia="en-GB"/>
        </w:rPr>
        <w:footnoteReference w:id="151"/>
      </w:r>
      <w:r w:rsidRPr="00BD474F">
        <w:rPr>
          <w:rFonts w:ascii="Book Antiqua" w:eastAsia="Times New Roman" w:hAnsi="Book Antiqua" w:cs="Times New Roman"/>
          <w:sz w:val="24"/>
          <w:szCs w:val="24"/>
          <w:lang w:eastAsia="en-GB"/>
        </w:rPr>
        <w:t xml:space="preserve"> the UK government took a sceptical view of the necessity for, and potential benefits of the MCD:</w:t>
      </w:r>
    </w:p>
    <w:p w14:paraId="37223A41" w14:textId="77777777" w:rsidR="00A27D92" w:rsidRPr="00B50DAE" w:rsidRDefault="00A27D92" w:rsidP="00A27D92">
      <w:pPr>
        <w:shd w:val="clear" w:color="auto" w:fill="FFFFFF"/>
        <w:spacing w:line="360" w:lineRule="auto"/>
        <w:ind w:left="851"/>
        <w:jc w:val="both"/>
        <w:rPr>
          <w:rFonts w:ascii="Book Antiqua" w:eastAsia="Times New Roman" w:hAnsi="Book Antiqua" w:cs="Times New Roman"/>
          <w:i/>
          <w:sz w:val="24"/>
          <w:szCs w:val="24"/>
          <w:lang w:eastAsia="en-GB"/>
        </w:rPr>
      </w:pPr>
      <w:r w:rsidRPr="00B50DAE">
        <w:rPr>
          <w:rFonts w:ascii="Book Antiqua" w:eastAsia="Times New Roman" w:hAnsi="Book Antiqua" w:cs="Times New Roman"/>
          <w:i/>
          <w:sz w:val="24"/>
          <w:szCs w:val="24"/>
          <w:lang w:eastAsia="en-GB"/>
        </w:rPr>
        <w:t>“The UK government does not believe that the MCD offers many benefits to UK consumers beyond those already provided by the high level of protection offered by the existing FCA regime for mortgages. However, it does add a number of costs to UK industry.</w:t>
      </w:r>
    </w:p>
    <w:p w14:paraId="3721A7BB" w14:textId="77777777" w:rsidR="00A27D92" w:rsidRPr="00B50DAE" w:rsidRDefault="00A27D92" w:rsidP="00A27D92">
      <w:pPr>
        <w:shd w:val="clear" w:color="auto" w:fill="FFFFFF"/>
        <w:spacing w:line="360" w:lineRule="auto"/>
        <w:ind w:left="851"/>
        <w:jc w:val="both"/>
        <w:rPr>
          <w:rFonts w:ascii="Book Antiqua" w:eastAsia="Times New Roman" w:hAnsi="Book Antiqua" w:cs="Times New Roman"/>
          <w:i/>
          <w:sz w:val="24"/>
          <w:szCs w:val="24"/>
          <w:lang w:eastAsia="en-GB"/>
        </w:rPr>
      </w:pPr>
      <w:r w:rsidRPr="00B50DAE">
        <w:rPr>
          <w:rFonts w:ascii="Book Antiqua" w:eastAsia="Times New Roman" w:hAnsi="Book Antiqua" w:cs="Times New Roman"/>
          <w:i/>
          <w:sz w:val="24"/>
          <w:szCs w:val="24"/>
          <w:lang w:eastAsia="en-GB"/>
        </w:rPr>
        <w:t>A further aim of the MCD is to facilitate a better internal market in mortgage lending across Europe. The government does not believe that it offers much benefit in this area in practice because it does not address the primary obstacles for such a market. From a lender’s perspective, these include the relative difficulty in understanding credit risk in unfamiliar markets and the complexity in enforcing loans under foreign legal systems. For consumers, the scale and nature of a mortgage commitment drives a preference for dealing with well established, or local, brands.</w:t>
      </w:r>
    </w:p>
    <w:p w14:paraId="212C7BCA" w14:textId="77777777" w:rsidR="00A27D92" w:rsidRPr="00B50DAE" w:rsidRDefault="00A27D92" w:rsidP="00A27D92">
      <w:pPr>
        <w:shd w:val="clear" w:color="auto" w:fill="FFFFFF"/>
        <w:spacing w:line="360" w:lineRule="auto"/>
        <w:ind w:left="851"/>
        <w:jc w:val="both"/>
        <w:rPr>
          <w:rFonts w:ascii="Book Antiqua" w:eastAsia="Times New Roman" w:hAnsi="Book Antiqua" w:cs="Times New Roman"/>
          <w:i/>
          <w:sz w:val="24"/>
          <w:szCs w:val="24"/>
          <w:lang w:eastAsia="en-GB"/>
        </w:rPr>
      </w:pPr>
      <w:r w:rsidRPr="00B50DAE">
        <w:rPr>
          <w:rFonts w:ascii="Book Antiqua" w:eastAsia="Times New Roman" w:hAnsi="Book Antiqua" w:cs="Times New Roman"/>
          <w:i/>
          <w:sz w:val="24"/>
          <w:szCs w:val="24"/>
          <w:lang w:eastAsia="en-GB"/>
        </w:rPr>
        <w:t>The UK has therefore been sceptical about the value of the MCD. Throughout the negotiation of the MCD, the UK focused on aligning the directive requirements as far as possible with the existing UK regulations, with a view to minimising the impact on UK industry and consumers.”</w:t>
      </w:r>
      <w:r w:rsidRPr="00B50DAE">
        <w:rPr>
          <w:rStyle w:val="FootnoteReference"/>
          <w:rFonts w:ascii="Book Antiqua" w:eastAsia="Times New Roman" w:hAnsi="Book Antiqua" w:cs="Times New Roman"/>
          <w:i/>
          <w:sz w:val="24"/>
          <w:szCs w:val="24"/>
          <w:lang w:eastAsia="en-GB"/>
        </w:rPr>
        <w:footnoteReference w:id="152"/>
      </w:r>
    </w:p>
    <w:p w14:paraId="4295B978" w14:textId="77777777" w:rsidR="00A27D92" w:rsidRPr="00AE1064" w:rsidRDefault="00A27D92" w:rsidP="00A27D92">
      <w:pPr>
        <w:spacing w:line="360" w:lineRule="auto"/>
        <w:ind w:left="567" w:hanging="567"/>
        <w:jc w:val="both"/>
        <w:rPr>
          <w:rFonts w:ascii="Book Antiqua" w:hAnsi="Book Antiqua" w:cs="Times New Roman"/>
          <w:sz w:val="24"/>
          <w:szCs w:val="24"/>
        </w:rPr>
      </w:pPr>
    </w:p>
    <w:p w14:paraId="04F8F635" w14:textId="77777777" w:rsidR="00A27D92" w:rsidRPr="00AE1064" w:rsidRDefault="00A27D92" w:rsidP="00A27D92">
      <w:pPr>
        <w:spacing w:line="360" w:lineRule="auto"/>
        <w:ind w:left="567" w:hanging="567"/>
        <w:jc w:val="both"/>
        <w:rPr>
          <w:rFonts w:ascii="Book Antiqua" w:hAnsi="Book Antiqua" w:cs="Times New Roman"/>
          <w:sz w:val="24"/>
          <w:szCs w:val="24"/>
        </w:rPr>
      </w:pPr>
      <w:r>
        <w:rPr>
          <w:rFonts w:ascii="Book Antiqua" w:hAnsi="Book Antiqua" w:cs="Times New Roman"/>
          <w:b/>
          <w:sz w:val="24"/>
          <w:szCs w:val="24"/>
          <w:u w:val="single"/>
        </w:rPr>
        <w:t xml:space="preserve">E. </w:t>
      </w:r>
      <w:r w:rsidRPr="00B50DAE">
        <w:rPr>
          <w:rFonts w:ascii="Book Antiqua" w:hAnsi="Book Antiqua" w:cs="Times New Roman"/>
          <w:b/>
          <w:sz w:val="24"/>
          <w:szCs w:val="24"/>
          <w:u w:val="single"/>
        </w:rPr>
        <w:t>The Mortgage Credit Directive Order and MCOB</w:t>
      </w:r>
    </w:p>
    <w:p w14:paraId="5E09F8EA"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proofErr w:type="gramStart"/>
      <w:r w:rsidRPr="00B50DAE">
        <w:rPr>
          <w:rFonts w:ascii="Book Antiqua" w:hAnsi="Book Antiqua" w:cs="Times New Roman"/>
          <w:sz w:val="24"/>
          <w:szCs w:val="24"/>
        </w:rPr>
        <w:t>The provisions of the MCD were transposed into national law by The Mortgage Credit Directive Order 2015</w:t>
      </w:r>
      <w:proofErr w:type="gramEnd"/>
      <w:r w:rsidRPr="00B50DAE">
        <w:rPr>
          <w:rFonts w:ascii="Book Antiqua" w:hAnsi="Book Antiqua" w:cs="Times New Roman"/>
          <w:sz w:val="24"/>
          <w:szCs w:val="24"/>
        </w:rPr>
        <w:t xml:space="preserve"> (SI 2015/910) (“</w:t>
      </w:r>
      <w:r w:rsidRPr="006B566B">
        <w:rPr>
          <w:rFonts w:ascii="Book Antiqua" w:hAnsi="Book Antiqua" w:cs="Times New Roman"/>
          <w:b/>
          <w:sz w:val="24"/>
          <w:szCs w:val="24"/>
        </w:rPr>
        <w:t>MCD Order</w:t>
      </w:r>
      <w:r w:rsidRPr="00B50DAE">
        <w:rPr>
          <w:rFonts w:ascii="Book Antiqua" w:hAnsi="Book Antiqua" w:cs="Times New Roman"/>
          <w:sz w:val="24"/>
          <w:szCs w:val="24"/>
        </w:rPr>
        <w:t>”).</w:t>
      </w:r>
    </w:p>
    <w:p w14:paraId="3F9F028C"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50DAE">
        <w:rPr>
          <w:rFonts w:ascii="Book Antiqua" w:hAnsi="Book Antiqua" w:cs="Times New Roman"/>
          <w:color w:val="3F3F3F"/>
          <w:sz w:val="24"/>
          <w:szCs w:val="24"/>
          <w:shd w:val="clear" w:color="auto" w:fill="FFFFFF"/>
        </w:rPr>
        <w:lastRenderedPageBreak/>
        <w:t>In addition, the FCA made changes to its Handbook, principally to MCOB but also to</w:t>
      </w:r>
      <w:r w:rsidRPr="00B50DAE">
        <w:rPr>
          <w:rFonts w:ascii="Book Antiqua" w:hAnsi="Book Antiqua" w:cs="Times New Roman"/>
          <w:sz w:val="24"/>
          <w:szCs w:val="24"/>
          <w:shd w:val="clear" w:color="auto" w:fill="FFFFFF"/>
        </w:rPr>
        <w:t xml:space="preserve"> Training and Competence (“</w:t>
      </w:r>
      <w:r w:rsidRPr="006B566B">
        <w:rPr>
          <w:rFonts w:ascii="Book Antiqua" w:hAnsi="Book Antiqua" w:cs="Times New Roman"/>
          <w:b/>
          <w:sz w:val="24"/>
          <w:szCs w:val="24"/>
          <w:shd w:val="clear" w:color="auto" w:fill="FFFFFF"/>
        </w:rPr>
        <w:t>TC</w:t>
      </w:r>
      <w:r w:rsidRPr="00B50DAE">
        <w:rPr>
          <w:rFonts w:ascii="Book Antiqua" w:hAnsi="Book Antiqua" w:cs="Times New Roman"/>
          <w:sz w:val="24"/>
          <w:szCs w:val="24"/>
          <w:shd w:val="clear" w:color="auto" w:fill="FFFFFF"/>
        </w:rPr>
        <w:t>”) and the Prudential Sourcebook for Mortgages (“</w:t>
      </w:r>
      <w:r w:rsidRPr="006B566B">
        <w:rPr>
          <w:rFonts w:ascii="Book Antiqua" w:hAnsi="Book Antiqua" w:cs="Times New Roman"/>
          <w:b/>
          <w:sz w:val="24"/>
          <w:szCs w:val="24"/>
          <w:shd w:val="clear" w:color="auto" w:fill="FFFFFF"/>
        </w:rPr>
        <w:t>MIPRU</w:t>
      </w:r>
      <w:r w:rsidRPr="00B50DAE">
        <w:rPr>
          <w:rFonts w:ascii="Book Antiqua" w:hAnsi="Book Antiqua" w:cs="Times New Roman"/>
          <w:sz w:val="24"/>
          <w:szCs w:val="24"/>
          <w:shd w:val="clear" w:color="auto" w:fill="FFFFFF"/>
        </w:rPr>
        <w:t>”</w:t>
      </w:r>
      <w:r>
        <w:rPr>
          <w:rFonts w:ascii="Book Antiqua" w:hAnsi="Book Antiqua" w:cs="Times New Roman"/>
          <w:sz w:val="24"/>
          <w:szCs w:val="24"/>
          <w:shd w:val="clear" w:color="auto" w:fill="FFFFFF"/>
        </w:rPr>
        <w:t>).</w:t>
      </w:r>
    </w:p>
    <w:p w14:paraId="52319105"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50DAE">
        <w:rPr>
          <w:rFonts w:ascii="Book Antiqua" w:hAnsi="Book Antiqua" w:cs="Times New Roman"/>
          <w:sz w:val="24"/>
          <w:szCs w:val="24"/>
        </w:rPr>
        <w:t>The two most significant changes brought about by the MCD Order involved (</w:t>
      </w:r>
      <w:proofErr w:type="spellStart"/>
      <w:r w:rsidRPr="00B50DAE">
        <w:rPr>
          <w:rFonts w:ascii="Book Antiqua" w:hAnsi="Book Antiqua" w:cs="Times New Roman"/>
          <w:sz w:val="24"/>
          <w:szCs w:val="24"/>
        </w:rPr>
        <w:t>i</w:t>
      </w:r>
      <w:proofErr w:type="spellEnd"/>
      <w:r w:rsidRPr="00B50DAE">
        <w:rPr>
          <w:rFonts w:ascii="Book Antiqua" w:hAnsi="Book Antiqua" w:cs="Times New Roman"/>
          <w:sz w:val="24"/>
          <w:szCs w:val="24"/>
        </w:rPr>
        <w:t xml:space="preserve">) bringing second charge mortgage lending within the wider mortgage regime rather than the consumer credit regime formerly superintended and enforced by the OFT and (ii) </w:t>
      </w:r>
      <w:r w:rsidRPr="00B50DAE">
        <w:rPr>
          <w:rFonts w:ascii="Book Antiqua" w:hAnsi="Book Antiqua" w:cs="Times New Roman"/>
          <w:sz w:val="24"/>
          <w:szCs w:val="24"/>
          <w:shd w:val="clear" w:color="auto" w:fill="FFFFFF"/>
        </w:rPr>
        <w:t xml:space="preserve">meeting the </w:t>
      </w:r>
      <w:r w:rsidRPr="00B50DAE">
        <w:rPr>
          <w:rFonts w:ascii="Book Antiqua" w:hAnsi="Book Antiqua" w:cs="Times New Roman"/>
          <w:sz w:val="24"/>
          <w:szCs w:val="24"/>
        </w:rPr>
        <w:t>MCD</w:t>
      </w:r>
      <w:r w:rsidRPr="00B50DAE">
        <w:rPr>
          <w:rFonts w:ascii="Book Antiqua" w:hAnsi="Book Antiqua" w:cs="Times New Roman"/>
          <w:sz w:val="24"/>
          <w:szCs w:val="24"/>
          <w:shd w:val="clear" w:color="auto" w:fill="FFFFFF"/>
        </w:rPr>
        <w:t>’s requirements for member states to put in place an appropriate framework for buy-to-let mortgage lending to consumers.</w:t>
      </w:r>
    </w:p>
    <w:p w14:paraId="529556B0" w14:textId="77777777" w:rsidR="00A27D92" w:rsidRPr="00B50DAE"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50DAE">
        <w:rPr>
          <w:rFonts w:ascii="Book Antiqua" w:hAnsi="Book Antiqua" w:cs="Times New Roman"/>
          <w:sz w:val="24"/>
          <w:szCs w:val="24"/>
        </w:rPr>
        <w:t>In the case of the former, this did no more than to implement what was already government policy. As was explained in the MCD Consultation:</w:t>
      </w:r>
      <w:r w:rsidRPr="00AE1064">
        <w:rPr>
          <w:rStyle w:val="FootnoteReference"/>
          <w:rFonts w:ascii="Book Antiqua" w:hAnsi="Book Antiqua" w:cs="Times New Roman"/>
          <w:sz w:val="24"/>
          <w:szCs w:val="24"/>
        </w:rPr>
        <w:footnoteReference w:id="153"/>
      </w:r>
      <w:r w:rsidRPr="00B50DAE">
        <w:rPr>
          <w:rFonts w:ascii="Book Antiqua" w:hAnsi="Book Antiqua" w:cs="Times New Roman"/>
          <w:sz w:val="24"/>
          <w:szCs w:val="24"/>
        </w:rPr>
        <w:t xml:space="preserve"> </w:t>
      </w:r>
    </w:p>
    <w:p w14:paraId="462B9107" w14:textId="77777777" w:rsidR="00A27D92" w:rsidRPr="00B50DAE" w:rsidRDefault="00A27D92" w:rsidP="00A27D92">
      <w:pPr>
        <w:pStyle w:val="NormalWeb"/>
        <w:shd w:val="clear" w:color="auto" w:fill="FFFFFF"/>
        <w:spacing w:before="0" w:beforeAutospacing="0" w:after="200" w:afterAutospacing="0" w:line="360" w:lineRule="auto"/>
        <w:ind w:left="851"/>
        <w:jc w:val="both"/>
        <w:rPr>
          <w:rFonts w:ascii="Book Antiqua" w:hAnsi="Book Antiqua"/>
          <w:i/>
        </w:rPr>
      </w:pPr>
      <w:r w:rsidRPr="00B50DAE">
        <w:rPr>
          <w:rFonts w:ascii="Book Antiqua" w:hAnsi="Book Antiqua"/>
          <w:i/>
        </w:rPr>
        <w:t>“…</w:t>
      </w:r>
      <w:proofErr w:type="gramStart"/>
      <w:r w:rsidRPr="00B50DAE">
        <w:rPr>
          <w:rFonts w:ascii="Book Antiqua" w:hAnsi="Book Antiqua"/>
          <w:i/>
        </w:rPr>
        <w:t>the</w:t>
      </w:r>
      <w:proofErr w:type="gramEnd"/>
      <w:r w:rsidRPr="00B50DAE">
        <w:rPr>
          <w:rFonts w:ascii="Book Antiqua" w:hAnsi="Book Antiqua"/>
          <w:i/>
        </w:rPr>
        <w:t xml:space="preserve"> government has an existing policy commitment to move second charge mortgage lending into the regulatory regime for mortgage lending rather than the regime for consumer credit. This is on the basis that it is more appropriate to regulate lending secured on the borrower’s home consistently regardless of whether it is a first or subsequent charge. Moreover, a single regime would make the regulatory landscape simpler for those firms engaged in both the first and second charge markets.</w:t>
      </w:r>
    </w:p>
    <w:p w14:paraId="10679363" w14:textId="77777777" w:rsidR="00A27D92" w:rsidRPr="00AE1064" w:rsidRDefault="00A27D92" w:rsidP="00A27D92">
      <w:pPr>
        <w:pStyle w:val="NormalWeb"/>
        <w:shd w:val="clear" w:color="auto" w:fill="FFFFFF"/>
        <w:spacing w:before="0" w:beforeAutospacing="0" w:after="200" w:afterAutospacing="0" w:line="360" w:lineRule="auto"/>
        <w:ind w:left="851"/>
        <w:jc w:val="both"/>
      </w:pPr>
      <w:r w:rsidRPr="00B50DAE">
        <w:rPr>
          <w:rFonts w:ascii="Book Antiqua" w:hAnsi="Book Antiqua"/>
          <w:i/>
        </w:rPr>
        <w:t>The government originally announced its intention to make this change in 2011. However, in light of the MCD, the decision was made to postpone this transfer until the wider implementation of the directive. The MCD applies to all loans secured against residential property and so its provisions apply equally to first and second charge mortgages. The government wanted to avoid the disruption and additional cost to second charge firms of imposing two sets of regulatory changes in quick succession.”</w:t>
      </w:r>
    </w:p>
    <w:p w14:paraId="708DE845" w14:textId="77777777" w:rsidR="00A27D92" w:rsidRPr="00B50DAE"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50DAE">
        <w:rPr>
          <w:rFonts w:ascii="Book Antiqua" w:hAnsi="Book Antiqua" w:cs="Times New Roman"/>
          <w:sz w:val="24"/>
          <w:szCs w:val="24"/>
        </w:rPr>
        <w:t xml:space="preserve">This first change was achieved through an amendment to the definition of an RMC in article 61(3)(a) of the Regulated Activities Order. There was, though, a further amendment to that provision which was, for present purposes, of perhaps greater potential significance. This involved a change in the </w:t>
      </w:r>
      <w:r w:rsidRPr="00B50DAE">
        <w:rPr>
          <w:rFonts w:ascii="Book Antiqua" w:hAnsi="Book Antiqua" w:cs="Times New Roman"/>
          <w:sz w:val="24"/>
          <w:szCs w:val="24"/>
        </w:rPr>
        <w:lastRenderedPageBreak/>
        <w:t>requirements as to the location of the property given as security so as to include the whole of the EEA. The reasoning behind this was explained in the MCD Consultation:</w:t>
      </w:r>
      <w:r w:rsidRPr="00AE1064">
        <w:rPr>
          <w:rStyle w:val="FootnoteReference"/>
          <w:rFonts w:ascii="Book Antiqua" w:hAnsi="Book Antiqua" w:cs="Times New Roman"/>
          <w:sz w:val="24"/>
          <w:szCs w:val="24"/>
        </w:rPr>
        <w:footnoteReference w:id="154"/>
      </w:r>
    </w:p>
    <w:p w14:paraId="0F149ED3" w14:textId="77777777" w:rsidR="00A27D92" w:rsidRPr="00AE1064" w:rsidRDefault="00A27D92" w:rsidP="00A27D92">
      <w:pPr>
        <w:spacing w:line="360" w:lineRule="auto"/>
        <w:ind w:left="851"/>
        <w:jc w:val="both"/>
        <w:rPr>
          <w:rFonts w:ascii="Book Antiqua" w:hAnsi="Book Antiqua" w:cs="Times New Roman"/>
          <w:sz w:val="24"/>
          <w:szCs w:val="24"/>
        </w:rPr>
      </w:pPr>
      <w:r w:rsidRPr="00AE1064">
        <w:rPr>
          <w:rFonts w:ascii="Book Antiqua" w:hAnsi="Book Antiqua" w:cs="Times New Roman"/>
          <w:sz w:val="24"/>
          <w:szCs w:val="24"/>
          <w:shd w:val="clear" w:color="auto" w:fill="FFFFFF"/>
        </w:rPr>
        <w:t>“</w:t>
      </w:r>
      <w:r w:rsidRPr="00B50DAE">
        <w:rPr>
          <w:rFonts w:ascii="Book Antiqua" w:hAnsi="Book Antiqua" w:cs="Times New Roman"/>
          <w:i/>
          <w:sz w:val="24"/>
          <w:szCs w:val="24"/>
          <w:shd w:val="clear" w:color="auto" w:fill="FFFFFF"/>
        </w:rPr>
        <w:t xml:space="preserve">The existing scope of </w:t>
      </w:r>
      <w:r w:rsidRPr="00B50DAE">
        <w:rPr>
          <w:rFonts w:ascii="Book Antiqua" w:hAnsi="Book Antiqua" w:cs="Times New Roman"/>
          <w:i/>
          <w:sz w:val="24"/>
          <w:szCs w:val="24"/>
        </w:rPr>
        <w:t xml:space="preserve">FCA </w:t>
      </w:r>
      <w:r w:rsidRPr="00B50DAE">
        <w:rPr>
          <w:rFonts w:ascii="Book Antiqua" w:hAnsi="Book Antiqua" w:cs="Times New Roman"/>
          <w:i/>
          <w:sz w:val="24"/>
          <w:szCs w:val="24"/>
          <w:shd w:val="clear" w:color="auto" w:fill="FFFFFF"/>
        </w:rPr>
        <w:t xml:space="preserve">regulation is limited to mortgages secured on property located in the UK. While the </w:t>
      </w:r>
      <w:r w:rsidRPr="00B50DAE">
        <w:rPr>
          <w:rFonts w:ascii="Book Antiqua" w:hAnsi="Book Antiqua" w:cs="Times New Roman"/>
          <w:i/>
          <w:sz w:val="24"/>
          <w:szCs w:val="24"/>
        </w:rPr>
        <w:t xml:space="preserve">MCD </w:t>
      </w:r>
      <w:r w:rsidRPr="00B50DAE">
        <w:rPr>
          <w:rFonts w:ascii="Book Antiqua" w:hAnsi="Book Antiqua" w:cs="Times New Roman"/>
          <w:i/>
          <w:sz w:val="24"/>
          <w:szCs w:val="24"/>
          <w:shd w:val="clear" w:color="auto" w:fill="FFFFFF"/>
        </w:rPr>
        <w:t>is not specific about the location of the property, this approach does not seem consistent with a number of the directive’s provisions, for example setting out how mortgage intermediaries ‘</w:t>
      </w:r>
      <w:proofErr w:type="spellStart"/>
      <w:r w:rsidRPr="00B50DAE">
        <w:rPr>
          <w:rFonts w:ascii="Book Antiqua" w:hAnsi="Book Antiqua" w:cs="Times New Roman"/>
          <w:i/>
          <w:sz w:val="24"/>
          <w:szCs w:val="24"/>
          <w:shd w:val="clear" w:color="auto" w:fill="FFFFFF"/>
        </w:rPr>
        <w:t>passporting</w:t>
      </w:r>
      <w:proofErr w:type="spellEnd"/>
      <w:r w:rsidRPr="00B50DAE">
        <w:rPr>
          <w:rFonts w:ascii="Book Antiqua" w:hAnsi="Book Antiqua" w:cs="Times New Roman"/>
          <w:i/>
          <w:sz w:val="24"/>
          <w:szCs w:val="24"/>
          <w:shd w:val="clear" w:color="auto" w:fill="FFFFFF"/>
        </w:rPr>
        <w:t xml:space="preserve">’ to other jurisdictions should be regulated. For that reason the government is proposing some changes to the scope of </w:t>
      </w:r>
      <w:r w:rsidRPr="00B50DAE">
        <w:rPr>
          <w:rFonts w:ascii="Book Antiqua" w:hAnsi="Book Antiqua" w:cs="Times New Roman"/>
          <w:i/>
          <w:sz w:val="24"/>
          <w:szCs w:val="24"/>
        </w:rPr>
        <w:t xml:space="preserve">FCA </w:t>
      </w:r>
      <w:r w:rsidRPr="00B50DAE">
        <w:rPr>
          <w:rFonts w:ascii="Book Antiqua" w:hAnsi="Book Antiqua" w:cs="Times New Roman"/>
          <w:i/>
          <w:sz w:val="24"/>
          <w:szCs w:val="24"/>
          <w:shd w:val="clear" w:color="auto" w:fill="FFFFFF"/>
        </w:rPr>
        <w:t xml:space="preserve">regulations so that it is aligned more closely with the mechanics of the </w:t>
      </w:r>
      <w:r w:rsidRPr="00B50DAE">
        <w:rPr>
          <w:rFonts w:ascii="Book Antiqua" w:hAnsi="Book Antiqua" w:cs="Times New Roman"/>
          <w:i/>
          <w:sz w:val="24"/>
          <w:szCs w:val="24"/>
        </w:rPr>
        <w:t xml:space="preserve">MCD </w:t>
      </w:r>
      <w:r w:rsidRPr="00B50DAE">
        <w:rPr>
          <w:rFonts w:ascii="Book Antiqua" w:hAnsi="Book Antiqua" w:cs="Times New Roman"/>
          <w:i/>
          <w:sz w:val="24"/>
          <w:szCs w:val="24"/>
          <w:shd w:val="clear" w:color="auto" w:fill="FFFFFF"/>
        </w:rPr>
        <w:t>provisions. We do not, however, expect this to have a significant impact on UK firms, as it is relatively rare for a UK lender to provide mortgages on properties located outside the UK</w:t>
      </w:r>
      <w:r w:rsidRPr="00AE1064">
        <w:rPr>
          <w:rFonts w:ascii="Book Antiqua" w:hAnsi="Book Antiqua" w:cs="Times New Roman"/>
          <w:sz w:val="24"/>
          <w:szCs w:val="24"/>
          <w:shd w:val="clear" w:color="auto" w:fill="FFFFFF"/>
        </w:rPr>
        <w:t>.”</w:t>
      </w:r>
    </w:p>
    <w:p w14:paraId="251DAC97"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50DAE">
        <w:rPr>
          <w:rFonts w:ascii="Book Antiqua" w:hAnsi="Book Antiqua" w:cs="Times New Roman"/>
          <w:sz w:val="24"/>
          <w:szCs w:val="24"/>
        </w:rPr>
        <w:t>As to the second significant change, Part 3 of the MCD Order, including Schedule 2, sets out a framework for regulating buy-to-let-mortgage lending to consumers. It makes provision for a register of the firms involved in such lending, for the requirements with which such firms must comply, and for the FCA to monitor and enforce those requirements.</w:t>
      </w:r>
    </w:p>
    <w:p w14:paraId="7E72EF93" w14:textId="77777777" w:rsidR="00A27D92" w:rsidRPr="00B50DAE"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50DAE">
        <w:rPr>
          <w:rFonts w:ascii="Book Antiqua" w:hAnsi="Book Antiqua" w:cs="Times New Roman"/>
          <w:sz w:val="24"/>
          <w:szCs w:val="24"/>
        </w:rPr>
        <w:t xml:space="preserve">This was a </w:t>
      </w:r>
      <w:proofErr w:type="gramStart"/>
      <w:r w:rsidRPr="00B50DAE">
        <w:rPr>
          <w:rFonts w:ascii="Book Antiqua" w:hAnsi="Book Antiqua" w:cs="Times New Roman"/>
          <w:sz w:val="24"/>
          <w:szCs w:val="24"/>
        </w:rPr>
        <w:t>change which</w:t>
      </w:r>
      <w:proofErr w:type="gramEnd"/>
      <w:r w:rsidRPr="00B50DAE">
        <w:rPr>
          <w:rFonts w:ascii="Book Antiqua" w:hAnsi="Book Antiqua" w:cs="Times New Roman"/>
          <w:sz w:val="24"/>
          <w:szCs w:val="24"/>
        </w:rPr>
        <w:t xml:space="preserve"> the UK government made with some reluctance, doing the minimum necessary to comply with its treaty obligations. Again, the reasoning was explained in the MCD Consultation:</w:t>
      </w:r>
      <w:r w:rsidRPr="00AE1064">
        <w:rPr>
          <w:rStyle w:val="FootnoteReference"/>
          <w:rFonts w:ascii="Book Antiqua" w:hAnsi="Book Antiqua" w:cs="Times New Roman"/>
          <w:sz w:val="24"/>
          <w:szCs w:val="24"/>
        </w:rPr>
        <w:footnoteReference w:id="155"/>
      </w:r>
      <w:r w:rsidRPr="00B50DAE">
        <w:rPr>
          <w:rFonts w:ascii="Book Antiqua" w:hAnsi="Book Antiqua" w:cs="Times New Roman"/>
          <w:sz w:val="24"/>
          <w:szCs w:val="24"/>
        </w:rPr>
        <w:t xml:space="preserve"> </w:t>
      </w:r>
    </w:p>
    <w:p w14:paraId="1A5DC8A0" w14:textId="77777777" w:rsidR="00A27D92" w:rsidRPr="00B50DAE" w:rsidRDefault="00A27D92" w:rsidP="00A27D92">
      <w:pPr>
        <w:pStyle w:val="NormalWeb"/>
        <w:shd w:val="clear" w:color="auto" w:fill="FFFFFF"/>
        <w:spacing w:before="0" w:beforeAutospacing="0" w:after="200" w:afterAutospacing="0" w:line="360" w:lineRule="auto"/>
        <w:ind w:left="851"/>
        <w:jc w:val="both"/>
        <w:rPr>
          <w:rFonts w:ascii="Book Antiqua" w:hAnsi="Book Antiqua"/>
          <w:i/>
        </w:rPr>
      </w:pPr>
      <w:r w:rsidRPr="00AE1064">
        <w:rPr>
          <w:rFonts w:ascii="Book Antiqua" w:hAnsi="Book Antiqua"/>
        </w:rPr>
        <w:t>“</w:t>
      </w:r>
      <w:r w:rsidRPr="00B50DAE">
        <w:rPr>
          <w:rFonts w:ascii="Book Antiqua" w:hAnsi="Book Antiqua"/>
          <w:i/>
        </w:rPr>
        <w:t xml:space="preserve">When mortgage regulation was introduced in 2004 the government drew a distinction between mortgage lending to owner-occupiers and to buy-to-let landlords, and decided not to bring buy-to-let mortgage lending within the scope of FCA regulation. This reflects the different characteristics of buy-to-let </w:t>
      </w:r>
      <w:proofErr w:type="gramStart"/>
      <w:r w:rsidRPr="00B50DAE">
        <w:rPr>
          <w:rFonts w:ascii="Book Antiqua" w:hAnsi="Book Antiqua"/>
          <w:i/>
        </w:rPr>
        <w:t>customers,</w:t>
      </w:r>
      <w:proofErr w:type="gramEnd"/>
      <w:r w:rsidRPr="00B50DAE">
        <w:rPr>
          <w:rFonts w:ascii="Book Antiqua" w:hAnsi="Book Antiqua"/>
          <w:i/>
        </w:rPr>
        <w:t xml:space="preserve"> most of whom are carrying out a business activity and so do not require the same protections, as well as the fact that the borrower’s own home is not at risk.</w:t>
      </w:r>
    </w:p>
    <w:p w14:paraId="1AE65D19" w14:textId="77777777" w:rsidR="00A27D92" w:rsidRPr="00AE1064" w:rsidRDefault="00A27D92" w:rsidP="00A27D92">
      <w:pPr>
        <w:pStyle w:val="NormalWeb"/>
        <w:shd w:val="clear" w:color="auto" w:fill="FFFFFF"/>
        <w:spacing w:before="0" w:beforeAutospacing="0" w:after="200" w:afterAutospacing="0" w:line="360" w:lineRule="auto"/>
        <w:ind w:left="851"/>
        <w:jc w:val="both"/>
      </w:pPr>
      <w:r w:rsidRPr="00B50DAE">
        <w:rPr>
          <w:rFonts w:ascii="Book Antiqua" w:hAnsi="Book Antiqua"/>
          <w:i/>
        </w:rPr>
        <w:t xml:space="preserve">The MCD recognises the different characteristics of buy-to-let mortgage lending and provides member states with the option to exempt it from the detailed requirements </w:t>
      </w:r>
      <w:r w:rsidRPr="00B50DAE">
        <w:rPr>
          <w:rFonts w:ascii="Book Antiqua" w:hAnsi="Book Antiqua"/>
          <w:i/>
        </w:rPr>
        <w:lastRenderedPageBreak/>
        <w:t>of the directive. However, it also requires that member states using this option put in place an alternative appropriate framework to protect consumers engaged in buy-to-let borrowing. The government remains persuaded that it is right to treat buy-to-let mortgage lending differently, and so is proposing to use this option. This consultation sets out the government’s plans for an appropriate framework for buy-to-let mortgages, seeking to put in place the minimum requirements in order to comply with the MCD</w:t>
      </w:r>
      <w:r w:rsidRPr="00AE1064">
        <w:rPr>
          <w:rFonts w:ascii="Book Antiqua" w:hAnsi="Book Antiqua"/>
        </w:rPr>
        <w:t>.”</w:t>
      </w:r>
    </w:p>
    <w:p w14:paraId="128E39B0" w14:textId="77777777" w:rsidR="00A27D92" w:rsidRPr="006B566B" w:rsidRDefault="00A27D92" w:rsidP="00A27D92">
      <w:pPr>
        <w:pStyle w:val="NormalWeb"/>
        <w:numPr>
          <w:ilvl w:val="0"/>
          <w:numId w:val="44"/>
        </w:numPr>
        <w:shd w:val="clear" w:color="auto" w:fill="FFFFFF"/>
        <w:spacing w:before="0" w:beforeAutospacing="0" w:after="200" w:afterAutospacing="0" w:line="360" w:lineRule="auto"/>
        <w:ind w:left="567" w:hanging="567"/>
        <w:jc w:val="both"/>
        <w:rPr>
          <w:rFonts w:ascii="Book Antiqua" w:hAnsi="Book Antiqua"/>
        </w:rPr>
      </w:pPr>
      <w:r w:rsidRPr="00AE1064">
        <w:rPr>
          <w:rFonts w:ascii="Book Antiqua" w:hAnsi="Book Antiqua"/>
        </w:rPr>
        <w:t>Three other changes arising from the MCD have a specifically European dimension. First, there were amendments to the provisions for cross-border activities within the EEA, i.e. “</w:t>
      </w:r>
      <w:proofErr w:type="spellStart"/>
      <w:r w:rsidRPr="00AE1064">
        <w:rPr>
          <w:rFonts w:ascii="Book Antiqua" w:hAnsi="Book Antiqua"/>
        </w:rPr>
        <w:t>passporting</w:t>
      </w:r>
      <w:proofErr w:type="spellEnd"/>
      <w:r w:rsidRPr="00AE1064">
        <w:rPr>
          <w:rFonts w:ascii="Book Antiqua" w:hAnsi="Book Antiqua"/>
        </w:rPr>
        <w:t>”. Secondly, the Key Facts Illustration (“KFI”) provided to customers is to being replaced by a mandatory product disclosure document called the European Standardised Information Sheet (“ESIS”) (albeit that use of the ESIS does not become fully compulsory in the UK until 21</w:t>
      </w:r>
      <w:r w:rsidRPr="00AE1064">
        <w:rPr>
          <w:rFonts w:ascii="Book Antiqua" w:hAnsi="Book Antiqua"/>
          <w:vertAlign w:val="superscript"/>
        </w:rPr>
        <w:t>st</w:t>
      </w:r>
      <w:r w:rsidRPr="00AE1064">
        <w:rPr>
          <w:rFonts w:ascii="Book Antiqua" w:hAnsi="Book Antiqua"/>
        </w:rPr>
        <w:t xml:space="preserve"> March 2019).</w:t>
      </w:r>
      <w:r w:rsidRPr="00AE1064">
        <w:rPr>
          <w:rStyle w:val="FootnoteReference"/>
          <w:rFonts w:ascii="Book Antiqua" w:hAnsi="Book Antiqua"/>
        </w:rPr>
        <w:footnoteReference w:id="156"/>
      </w:r>
      <w:r w:rsidRPr="00AE1064">
        <w:rPr>
          <w:rFonts w:ascii="Book Antiqua" w:hAnsi="Book Antiqua"/>
        </w:rPr>
        <w:t xml:space="preserve"> Thirdly, the MCD contains assumptions </w:t>
      </w:r>
      <w:r w:rsidRPr="00AE1064">
        <w:rPr>
          <w:rFonts w:ascii="Book Antiqua" w:hAnsi="Book Antiqua"/>
          <w:color w:val="000000"/>
        </w:rPr>
        <w:t>for the calculation of the annual percentage rate of charge (“APRC”). The EC has made available a simulator (described as useful by the FCA) based on these assumptions to help users (including regulators, consumers and creditors) calculate the APRC of a given credit.</w:t>
      </w:r>
    </w:p>
    <w:p w14:paraId="7547D1DA"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50DAE">
        <w:rPr>
          <w:rFonts w:ascii="Book Antiqua" w:hAnsi="Book Antiqua" w:cs="Times New Roman"/>
          <w:sz w:val="24"/>
          <w:szCs w:val="24"/>
        </w:rPr>
        <w:t xml:space="preserve">There were also changes to the Handbook (principally to MCOB) of varying degrees of </w:t>
      </w:r>
      <w:proofErr w:type="gramStart"/>
      <w:r w:rsidRPr="00B50DAE">
        <w:rPr>
          <w:rFonts w:ascii="Book Antiqua" w:hAnsi="Book Antiqua" w:cs="Times New Roman"/>
          <w:sz w:val="24"/>
          <w:szCs w:val="24"/>
        </w:rPr>
        <w:t>significance which</w:t>
      </w:r>
      <w:proofErr w:type="gramEnd"/>
      <w:r w:rsidRPr="00B50DAE">
        <w:rPr>
          <w:rFonts w:ascii="Book Antiqua" w:hAnsi="Book Antiqua" w:cs="Times New Roman"/>
          <w:sz w:val="24"/>
          <w:szCs w:val="24"/>
        </w:rPr>
        <w:t>, although instigated by the MCD, had no particular European dimension. As a result, firms providing regulated mortgage advice:</w:t>
      </w:r>
    </w:p>
    <w:p w14:paraId="5F4A8BE2" w14:textId="3DDC5371"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proofErr w:type="gramStart"/>
      <w:r w:rsidRPr="00B50DAE">
        <w:rPr>
          <w:rFonts w:ascii="Book Antiqua" w:eastAsia="Times New Roman" w:hAnsi="Book Antiqua" w:cs="Times New Roman"/>
          <w:color w:val="3F3F3F"/>
          <w:sz w:val="24"/>
          <w:szCs w:val="24"/>
          <w:lang w:eastAsia="en-GB"/>
        </w:rPr>
        <w:t>need</w:t>
      </w:r>
      <w:proofErr w:type="gramEnd"/>
      <w:r w:rsidRPr="00B50DAE">
        <w:rPr>
          <w:rFonts w:ascii="Book Antiqua" w:eastAsia="Times New Roman" w:hAnsi="Book Antiqua" w:cs="Times New Roman"/>
          <w:color w:val="3F3F3F"/>
          <w:sz w:val="24"/>
          <w:szCs w:val="24"/>
          <w:lang w:eastAsia="en-GB"/>
        </w:rPr>
        <w:t xml:space="preserve"> to provide a binding mortgage offer </w:t>
      </w:r>
      <w:r w:rsidR="005938F3">
        <w:rPr>
          <w:rFonts w:ascii="Book Antiqua" w:eastAsia="Times New Roman" w:hAnsi="Book Antiqua" w:cs="Times New Roman"/>
          <w:color w:val="3F3F3F"/>
          <w:sz w:val="24"/>
          <w:szCs w:val="24"/>
          <w:lang w:eastAsia="en-GB"/>
        </w:rPr>
        <w:t xml:space="preserve">and a seven </w:t>
      </w:r>
      <w:r w:rsidRPr="00B50DAE">
        <w:rPr>
          <w:rFonts w:ascii="Book Antiqua" w:eastAsia="Times New Roman" w:hAnsi="Book Antiqua" w:cs="Times New Roman"/>
          <w:color w:val="3F3F3F"/>
          <w:sz w:val="24"/>
          <w:szCs w:val="24"/>
          <w:lang w:eastAsia="en-GB"/>
        </w:rPr>
        <w:t>day (minimum) reflection period;</w:t>
      </w:r>
    </w:p>
    <w:p w14:paraId="49E54853" w14:textId="77777777" w:rsidR="00A27D92" w:rsidRPr="006B566B"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proofErr w:type="gramStart"/>
      <w:r w:rsidRPr="00B50DAE">
        <w:rPr>
          <w:rFonts w:ascii="Book Antiqua" w:eastAsia="Times New Roman" w:hAnsi="Book Antiqua" w:cs="Times New Roman"/>
          <w:color w:val="3F3F3F"/>
          <w:sz w:val="24"/>
          <w:szCs w:val="24"/>
          <w:lang w:eastAsia="en-GB"/>
        </w:rPr>
        <w:t>need</w:t>
      </w:r>
      <w:proofErr w:type="gramEnd"/>
      <w:r w:rsidRPr="00B50DAE">
        <w:rPr>
          <w:rFonts w:ascii="Book Antiqua" w:eastAsia="Times New Roman" w:hAnsi="Book Antiqua" w:cs="Times New Roman"/>
          <w:color w:val="3F3F3F"/>
          <w:sz w:val="24"/>
          <w:szCs w:val="24"/>
          <w:lang w:eastAsia="en-GB"/>
        </w:rPr>
        <w:t xml:space="preserve"> to give an adequate explanation of a product’s essential features;</w:t>
      </w:r>
    </w:p>
    <w:p w14:paraId="7C146F37" w14:textId="77777777" w:rsidR="00A27D92" w:rsidRPr="00B50DAE" w:rsidRDefault="00A27D92" w:rsidP="00A27D92">
      <w:pPr>
        <w:pStyle w:val="ListParagraph"/>
        <w:numPr>
          <w:ilvl w:val="1"/>
          <w:numId w:val="44"/>
        </w:numPr>
        <w:spacing w:line="360" w:lineRule="auto"/>
        <w:ind w:left="1134" w:hanging="567"/>
        <w:contextualSpacing w:val="0"/>
        <w:jc w:val="both"/>
        <w:rPr>
          <w:rFonts w:ascii="Book Antiqua" w:hAnsi="Book Antiqua" w:cs="Times New Roman"/>
          <w:sz w:val="24"/>
          <w:szCs w:val="24"/>
        </w:rPr>
      </w:pPr>
      <w:proofErr w:type="gramStart"/>
      <w:r w:rsidRPr="00B50DAE">
        <w:rPr>
          <w:rFonts w:ascii="Book Antiqua" w:eastAsia="Times New Roman" w:hAnsi="Book Antiqua" w:cs="Times New Roman"/>
          <w:color w:val="3F3F3F"/>
          <w:sz w:val="24"/>
          <w:szCs w:val="24"/>
          <w:lang w:eastAsia="en-GB"/>
        </w:rPr>
        <w:t>are</w:t>
      </w:r>
      <w:proofErr w:type="gramEnd"/>
      <w:r w:rsidRPr="00B50DAE">
        <w:rPr>
          <w:rFonts w:ascii="Book Antiqua" w:eastAsia="Times New Roman" w:hAnsi="Book Antiqua" w:cs="Times New Roman"/>
          <w:color w:val="3F3F3F"/>
          <w:sz w:val="24"/>
          <w:szCs w:val="24"/>
          <w:lang w:eastAsia="en-GB"/>
        </w:rPr>
        <w:t xml:space="preserve"> subject to new disclosure requirements.</w:t>
      </w:r>
    </w:p>
    <w:p w14:paraId="36FB93BB" w14:textId="77777777" w:rsidR="00A27D92" w:rsidRPr="00AE1064" w:rsidRDefault="00A27D92" w:rsidP="00A27D92">
      <w:pPr>
        <w:spacing w:line="360" w:lineRule="auto"/>
        <w:ind w:left="567" w:hanging="567"/>
        <w:jc w:val="both"/>
        <w:rPr>
          <w:rFonts w:ascii="Book Antiqua" w:hAnsi="Book Antiqua" w:cs="Times New Roman"/>
          <w:sz w:val="24"/>
          <w:szCs w:val="24"/>
        </w:rPr>
      </w:pPr>
    </w:p>
    <w:p w14:paraId="6C5F456C" w14:textId="77777777" w:rsidR="00A27D92" w:rsidRPr="00AE1064" w:rsidRDefault="00A27D92" w:rsidP="00A27D92">
      <w:pPr>
        <w:spacing w:line="360" w:lineRule="auto"/>
        <w:ind w:left="567" w:hanging="567"/>
        <w:jc w:val="both"/>
        <w:rPr>
          <w:rFonts w:ascii="Book Antiqua" w:hAnsi="Book Antiqua" w:cs="Times New Roman"/>
          <w:sz w:val="24"/>
          <w:szCs w:val="24"/>
        </w:rPr>
      </w:pPr>
      <w:r>
        <w:rPr>
          <w:rFonts w:ascii="Book Antiqua" w:hAnsi="Book Antiqua" w:cs="Times New Roman"/>
          <w:b/>
          <w:sz w:val="24"/>
          <w:szCs w:val="24"/>
          <w:u w:val="single"/>
        </w:rPr>
        <w:lastRenderedPageBreak/>
        <w:t xml:space="preserve">F. </w:t>
      </w:r>
      <w:r w:rsidRPr="00B50DAE">
        <w:rPr>
          <w:rFonts w:ascii="Book Antiqua" w:hAnsi="Book Antiqua" w:cs="Times New Roman"/>
          <w:b/>
          <w:sz w:val="24"/>
          <w:szCs w:val="24"/>
          <w:u w:val="single"/>
        </w:rPr>
        <w:t>Discussion</w:t>
      </w:r>
    </w:p>
    <w:p w14:paraId="1DF72DEF"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50DAE">
        <w:rPr>
          <w:rFonts w:ascii="Book Antiqua" w:hAnsi="Book Antiqua" w:cs="Times New Roman"/>
          <w:sz w:val="24"/>
          <w:szCs w:val="24"/>
        </w:rPr>
        <w:t>The</w:t>
      </w:r>
      <w:r>
        <w:rPr>
          <w:rFonts w:ascii="Book Antiqua" w:hAnsi="Book Antiqua" w:cs="Times New Roman"/>
          <w:sz w:val="24"/>
          <w:szCs w:val="24"/>
        </w:rPr>
        <w:t xml:space="preserve"> impact of </w:t>
      </w:r>
      <w:proofErr w:type="spellStart"/>
      <w:r>
        <w:rPr>
          <w:rFonts w:ascii="Book Antiqua" w:hAnsi="Book Antiqua" w:cs="Times New Roman"/>
          <w:sz w:val="24"/>
          <w:szCs w:val="24"/>
        </w:rPr>
        <w:t>Brexit</w:t>
      </w:r>
      <w:proofErr w:type="spellEnd"/>
      <w:r>
        <w:rPr>
          <w:rFonts w:ascii="Book Antiqua" w:hAnsi="Book Antiqua" w:cs="Times New Roman"/>
          <w:sz w:val="24"/>
          <w:szCs w:val="24"/>
        </w:rPr>
        <w:t xml:space="preserve"> in this area will (as elsewhere) obviously depend upon the </w:t>
      </w:r>
      <w:proofErr w:type="gramStart"/>
      <w:r>
        <w:rPr>
          <w:rFonts w:ascii="Book Antiqua" w:hAnsi="Book Antiqua" w:cs="Times New Roman"/>
          <w:sz w:val="24"/>
          <w:szCs w:val="24"/>
        </w:rPr>
        <w:t>form which</w:t>
      </w:r>
      <w:proofErr w:type="gramEnd"/>
      <w:r>
        <w:rPr>
          <w:rFonts w:ascii="Book Antiqua" w:hAnsi="Book Antiqua" w:cs="Times New Roman"/>
          <w:sz w:val="24"/>
          <w:szCs w:val="24"/>
        </w:rPr>
        <w:t xml:space="preserve"> it takes.  The thoughts and</w:t>
      </w:r>
      <w:r w:rsidRPr="00B50DAE">
        <w:rPr>
          <w:rFonts w:ascii="Book Antiqua" w:hAnsi="Book Antiqua" w:cs="Times New Roman"/>
          <w:sz w:val="24"/>
          <w:szCs w:val="24"/>
        </w:rPr>
        <w:t xml:space="preserve"> conclusions</w:t>
      </w:r>
      <w:r>
        <w:rPr>
          <w:rFonts w:ascii="Book Antiqua" w:hAnsi="Book Antiqua" w:cs="Times New Roman"/>
          <w:sz w:val="24"/>
          <w:szCs w:val="24"/>
        </w:rPr>
        <w:t xml:space="preserve"> set out below are clearly subject to those post-</w:t>
      </w:r>
      <w:proofErr w:type="spellStart"/>
      <w:r>
        <w:rPr>
          <w:rFonts w:ascii="Book Antiqua" w:hAnsi="Book Antiqua" w:cs="Times New Roman"/>
          <w:sz w:val="24"/>
          <w:szCs w:val="24"/>
        </w:rPr>
        <w:t>Brexit</w:t>
      </w:r>
      <w:proofErr w:type="spellEnd"/>
      <w:r>
        <w:rPr>
          <w:rFonts w:ascii="Book Antiqua" w:hAnsi="Book Antiqua" w:cs="Times New Roman"/>
          <w:sz w:val="24"/>
          <w:szCs w:val="24"/>
        </w:rPr>
        <w:t xml:space="preserve"> arrangements, but may also be of relevance in informing the best way forward.</w:t>
      </w:r>
    </w:p>
    <w:p w14:paraId="2EA9DA4E"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Pr>
          <w:rFonts w:ascii="Book Antiqua" w:hAnsi="Book Antiqua" w:cs="Times New Roman"/>
          <w:sz w:val="24"/>
          <w:szCs w:val="24"/>
        </w:rPr>
        <w:t>First, u</w:t>
      </w:r>
      <w:r w:rsidRPr="00B50DAE">
        <w:rPr>
          <w:rFonts w:ascii="Book Antiqua" w:hAnsi="Book Antiqua" w:cs="Times New Roman"/>
          <w:sz w:val="24"/>
          <w:szCs w:val="24"/>
        </w:rPr>
        <w:t xml:space="preserve">nless expressly amended or revoked, </w:t>
      </w:r>
      <w:r>
        <w:rPr>
          <w:rFonts w:ascii="Book Antiqua" w:hAnsi="Book Antiqua" w:cs="Times New Roman"/>
          <w:sz w:val="24"/>
          <w:szCs w:val="24"/>
        </w:rPr>
        <w:t>t</w:t>
      </w:r>
      <w:r w:rsidRPr="00B50DAE">
        <w:rPr>
          <w:rFonts w:ascii="Book Antiqua" w:hAnsi="Book Antiqua" w:cs="Times New Roman"/>
          <w:sz w:val="24"/>
          <w:szCs w:val="24"/>
        </w:rPr>
        <w:t>he MCD Order</w:t>
      </w:r>
      <w:r>
        <w:rPr>
          <w:rFonts w:ascii="Book Antiqua" w:hAnsi="Book Antiqua" w:cs="Times New Roman"/>
          <w:sz w:val="24"/>
          <w:szCs w:val="24"/>
        </w:rPr>
        <w:t xml:space="preserve"> will (like other delegated legislation)</w:t>
      </w:r>
      <w:r w:rsidRPr="00B50DAE">
        <w:rPr>
          <w:rFonts w:ascii="Book Antiqua" w:hAnsi="Book Antiqua" w:cs="Times New Roman"/>
          <w:sz w:val="24"/>
          <w:szCs w:val="24"/>
        </w:rPr>
        <w:t xml:space="preserve"> presumably remain in force </w:t>
      </w:r>
      <w:r>
        <w:rPr>
          <w:rFonts w:ascii="Book Antiqua" w:hAnsi="Book Antiqua" w:cs="Times New Roman"/>
          <w:sz w:val="24"/>
          <w:szCs w:val="24"/>
        </w:rPr>
        <w:t>post-</w:t>
      </w:r>
      <w:proofErr w:type="spellStart"/>
      <w:r>
        <w:rPr>
          <w:rFonts w:ascii="Book Antiqua" w:hAnsi="Book Antiqua" w:cs="Times New Roman"/>
          <w:sz w:val="24"/>
          <w:szCs w:val="24"/>
        </w:rPr>
        <w:t>Brexit</w:t>
      </w:r>
      <w:proofErr w:type="spellEnd"/>
      <w:r>
        <w:rPr>
          <w:rFonts w:ascii="Book Antiqua" w:hAnsi="Book Antiqua" w:cs="Times New Roman"/>
          <w:sz w:val="24"/>
          <w:szCs w:val="24"/>
        </w:rPr>
        <w:t xml:space="preserve"> </w:t>
      </w:r>
      <w:r w:rsidRPr="00B50DAE">
        <w:rPr>
          <w:rFonts w:ascii="Book Antiqua" w:hAnsi="Book Antiqua" w:cs="Times New Roman"/>
          <w:sz w:val="24"/>
          <w:szCs w:val="24"/>
        </w:rPr>
        <w:t>regardless of any difficulties there might be in the workability of its provisions.</w:t>
      </w:r>
    </w:p>
    <w:p w14:paraId="4528A9D1"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50DAE">
        <w:rPr>
          <w:rFonts w:ascii="Book Antiqua" w:hAnsi="Book Antiqua" w:cs="Times New Roman"/>
          <w:sz w:val="24"/>
          <w:szCs w:val="24"/>
        </w:rPr>
        <w:t xml:space="preserve">There is a clear distinction between domestic subordinate legislation merely introduced at the instigation of EU institutions and </w:t>
      </w:r>
      <w:proofErr w:type="gramStart"/>
      <w:r w:rsidRPr="00B50DAE">
        <w:rPr>
          <w:rFonts w:ascii="Book Antiqua" w:hAnsi="Book Antiqua" w:cs="Times New Roman"/>
          <w:sz w:val="24"/>
          <w:szCs w:val="24"/>
        </w:rPr>
        <w:t>that which</w:t>
      </w:r>
      <w:proofErr w:type="gramEnd"/>
      <w:r w:rsidRPr="00B50DAE">
        <w:rPr>
          <w:rFonts w:ascii="Book Antiqua" w:hAnsi="Book Antiqua" w:cs="Times New Roman"/>
          <w:sz w:val="24"/>
          <w:szCs w:val="24"/>
        </w:rPr>
        <w:t xml:space="preserve"> depends (or might depend) on continued membership of the EU for its workability.</w:t>
      </w:r>
    </w:p>
    <w:p w14:paraId="44079BB4"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B50DAE">
        <w:rPr>
          <w:rFonts w:ascii="Book Antiqua" w:hAnsi="Book Antiqua" w:cs="Times New Roman"/>
          <w:sz w:val="24"/>
          <w:szCs w:val="24"/>
        </w:rPr>
        <w:t>Significant parts of the MCD Order fall within the former category. The most obvious examples of such provisions are those (</w:t>
      </w:r>
      <w:proofErr w:type="spellStart"/>
      <w:r w:rsidRPr="00B50DAE">
        <w:rPr>
          <w:rFonts w:ascii="Book Antiqua" w:hAnsi="Book Antiqua" w:cs="Times New Roman"/>
          <w:sz w:val="24"/>
          <w:szCs w:val="24"/>
        </w:rPr>
        <w:t>i</w:t>
      </w:r>
      <w:proofErr w:type="spellEnd"/>
      <w:r w:rsidRPr="00B50DAE">
        <w:rPr>
          <w:rFonts w:ascii="Book Antiqua" w:hAnsi="Book Antiqua" w:cs="Times New Roman"/>
          <w:sz w:val="24"/>
          <w:szCs w:val="24"/>
        </w:rPr>
        <w:t xml:space="preserve">) extending the definition of an RMC to include second charges and (ii) introducing a system of regulation for buy-to-let mortgages. The government could have introduced such provisions of its own volition (and indeed, in the case of second charges, would have done so). Whilst these changes were, in fact, introduced at the instigation of EU institutions, there is no obvious reason to suppose that the government would now wish to reverse changes </w:t>
      </w:r>
      <w:proofErr w:type="gramStart"/>
      <w:r w:rsidRPr="00B50DAE">
        <w:rPr>
          <w:rFonts w:ascii="Book Antiqua" w:hAnsi="Book Antiqua" w:cs="Times New Roman"/>
          <w:sz w:val="24"/>
          <w:szCs w:val="24"/>
        </w:rPr>
        <w:t>which (</w:t>
      </w:r>
      <w:proofErr w:type="spellStart"/>
      <w:r w:rsidRPr="00B50DAE">
        <w:rPr>
          <w:rFonts w:ascii="Book Antiqua" w:hAnsi="Book Antiqua" w:cs="Times New Roman"/>
          <w:sz w:val="24"/>
          <w:szCs w:val="24"/>
        </w:rPr>
        <w:t>i</w:t>
      </w:r>
      <w:proofErr w:type="spellEnd"/>
      <w:r w:rsidRPr="00B50DAE">
        <w:rPr>
          <w:rFonts w:ascii="Book Antiqua" w:hAnsi="Book Antiqua" w:cs="Times New Roman"/>
          <w:sz w:val="24"/>
          <w:szCs w:val="24"/>
        </w:rPr>
        <w:t>) many would see as increasing consumer protection</w:t>
      </w:r>
      <w:proofErr w:type="gramEnd"/>
      <w:r w:rsidRPr="00B50DAE">
        <w:rPr>
          <w:rFonts w:ascii="Book Antiqua" w:hAnsi="Book Antiqua" w:cs="Times New Roman"/>
          <w:sz w:val="24"/>
          <w:szCs w:val="24"/>
        </w:rPr>
        <w:t xml:space="preserve"> or (ii) in the case of non-buy-to-let mortgages, brought different parts of the domestic market under a single regulatory regime.</w:t>
      </w:r>
    </w:p>
    <w:p w14:paraId="72ED2DFE" w14:textId="69561242"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3D6C11">
        <w:rPr>
          <w:rFonts w:ascii="Book Antiqua" w:hAnsi="Book Antiqua" w:cs="Times New Roman"/>
          <w:sz w:val="24"/>
          <w:szCs w:val="24"/>
        </w:rPr>
        <w:t xml:space="preserve">Perhaps the most striking conclusion is that a cessation of membership of the EEA in the absence of an amendment of the definition of an RMC would result in the (perhaps inadvertent) de-regulation of most mortgage related activities carried on in the </w:t>
      </w:r>
      <w:r w:rsidR="007B3D77">
        <w:rPr>
          <w:rFonts w:ascii="Book Antiqua" w:hAnsi="Book Antiqua" w:cs="Times New Roman"/>
          <w:sz w:val="24"/>
          <w:szCs w:val="24"/>
        </w:rPr>
        <w:t>UK</w:t>
      </w:r>
      <w:r w:rsidRPr="003D6C11">
        <w:rPr>
          <w:rFonts w:ascii="Book Antiqua" w:hAnsi="Book Antiqua" w:cs="Times New Roman"/>
          <w:sz w:val="24"/>
          <w:szCs w:val="24"/>
        </w:rPr>
        <w:t xml:space="preserve">. Similarly, any ambiguity about the status of the </w:t>
      </w:r>
      <w:r w:rsidR="007B3D77">
        <w:rPr>
          <w:rFonts w:ascii="Book Antiqua" w:hAnsi="Book Antiqua" w:cs="Times New Roman"/>
          <w:sz w:val="24"/>
          <w:szCs w:val="24"/>
        </w:rPr>
        <w:t>UK</w:t>
      </w:r>
      <w:bookmarkStart w:id="15" w:name="_GoBack"/>
      <w:bookmarkEnd w:id="15"/>
      <w:r w:rsidRPr="003D6C11">
        <w:rPr>
          <w:rFonts w:ascii="Book Antiqua" w:hAnsi="Book Antiqua" w:cs="Times New Roman"/>
          <w:sz w:val="24"/>
          <w:szCs w:val="24"/>
        </w:rPr>
        <w:t xml:space="preserve"> as a member of the EEA would lead to uncertainty and the potential for litigation. Subject to this, the current requirements as to the location of the security would not be inherently objectionable post-</w:t>
      </w:r>
      <w:proofErr w:type="spellStart"/>
      <w:r w:rsidRPr="003D6C11">
        <w:rPr>
          <w:rFonts w:ascii="Book Antiqua" w:hAnsi="Book Antiqua" w:cs="Times New Roman"/>
          <w:sz w:val="24"/>
          <w:szCs w:val="24"/>
        </w:rPr>
        <w:t>Brexit</w:t>
      </w:r>
      <w:proofErr w:type="spellEnd"/>
      <w:r w:rsidRPr="003D6C11">
        <w:rPr>
          <w:rFonts w:ascii="Book Antiqua" w:hAnsi="Book Antiqua" w:cs="Times New Roman"/>
          <w:sz w:val="24"/>
          <w:szCs w:val="24"/>
        </w:rPr>
        <w:t xml:space="preserve"> (although they might be thought illogical). There is no reason why regulated activities (e.g. advising) carried on </w:t>
      </w:r>
      <w:r w:rsidRPr="003D6C11">
        <w:rPr>
          <w:rFonts w:ascii="Book Antiqua" w:hAnsi="Book Antiqua" w:cs="Times New Roman"/>
          <w:sz w:val="24"/>
          <w:szCs w:val="24"/>
        </w:rPr>
        <w:lastRenderedPageBreak/>
        <w:t xml:space="preserve">in the UK should not relate to property (moveable or immovable) located elsewhere. </w:t>
      </w:r>
    </w:p>
    <w:p w14:paraId="100A4ECE"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3D6C11">
        <w:rPr>
          <w:rFonts w:ascii="Book Antiqua" w:hAnsi="Book Antiqua" w:cs="Times New Roman"/>
          <w:sz w:val="24"/>
          <w:szCs w:val="24"/>
        </w:rPr>
        <w:t>However, if the UK were no longer a member of the EEA, the geographical scope of the current definition of an RMC would appear somewhat arbitrary. For domestic regulatory purposes, why should the status of a mortgage contract depend upon whether the security is located within the territory of a body of which the UK is not a member? Should the geographical scope of the definition be widened to include security located elsewhere? Or should it be narrowed (thereby removing some lending from regulation altogether and thus arguably reducing consumer protection)?</w:t>
      </w:r>
    </w:p>
    <w:p w14:paraId="767DED1B"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3D6C11">
        <w:rPr>
          <w:rFonts w:ascii="Book Antiqua" w:hAnsi="Book Antiqua" w:cs="Times New Roman"/>
          <w:sz w:val="24"/>
          <w:szCs w:val="24"/>
        </w:rPr>
        <w:t>The nature of land makes it more than usually likely that if (</w:t>
      </w:r>
      <w:proofErr w:type="spellStart"/>
      <w:r w:rsidRPr="003D6C11">
        <w:rPr>
          <w:rFonts w:ascii="Book Antiqua" w:hAnsi="Book Antiqua" w:cs="Times New Roman"/>
          <w:sz w:val="24"/>
          <w:szCs w:val="24"/>
        </w:rPr>
        <w:t>i</w:t>
      </w:r>
      <w:proofErr w:type="spellEnd"/>
      <w:r w:rsidRPr="003D6C11">
        <w:rPr>
          <w:rFonts w:ascii="Book Antiqua" w:hAnsi="Book Antiqua" w:cs="Times New Roman"/>
          <w:sz w:val="24"/>
          <w:szCs w:val="24"/>
        </w:rPr>
        <w:t xml:space="preserve">) an activity involving advising is carried out in the UK but relates to property elsewhere, then (ii) any related activity involving arranging </w:t>
      </w:r>
      <w:r>
        <w:rPr>
          <w:rFonts w:ascii="Book Antiqua" w:hAnsi="Book Antiqua" w:cs="Times New Roman"/>
          <w:sz w:val="24"/>
          <w:szCs w:val="24"/>
        </w:rPr>
        <w:t xml:space="preserve">finance </w:t>
      </w:r>
      <w:r w:rsidRPr="003D6C11">
        <w:rPr>
          <w:rFonts w:ascii="Book Antiqua" w:hAnsi="Book Antiqua" w:cs="Times New Roman"/>
          <w:sz w:val="24"/>
          <w:szCs w:val="24"/>
        </w:rPr>
        <w:t>will not take place exclusively in the UK. It could plainly be inconvenient if, for example, a mortgage broker advising a UK customer in the UK in relation to borrowing from a French bank on the security of property in France were to be unable to use that bank’s online application system.</w:t>
      </w:r>
    </w:p>
    <w:p w14:paraId="57FE0E75" w14:textId="77777777" w:rsidR="00A27D92" w:rsidRPr="006B566B"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3D6C11">
        <w:rPr>
          <w:rFonts w:ascii="Book Antiqua" w:hAnsi="Book Antiqua" w:cs="Times New Roman"/>
          <w:sz w:val="24"/>
          <w:szCs w:val="24"/>
        </w:rPr>
        <w:t>This leads on to the wider issue of the potential effects of any loss of “</w:t>
      </w:r>
      <w:proofErr w:type="spellStart"/>
      <w:r w:rsidRPr="003D6C11">
        <w:rPr>
          <w:rFonts w:ascii="Book Antiqua" w:hAnsi="Book Antiqua" w:cs="Times New Roman"/>
          <w:sz w:val="24"/>
          <w:szCs w:val="24"/>
        </w:rPr>
        <w:t>passporting</w:t>
      </w:r>
      <w:proofErr w:type="spellEnd"/>
      <w:r w:rsidRPr="003D6C11">
        <w:rPr>
          <w:rFonts w:ascii="Book Antiqua" w:hAnsi="Book Antiqua" w:cs="Times New Roman"/>
          <w:sz w:val="24"/>
          <w:szCs w:val="24"/>
        </w:rPr>
        <w:t xml:space="preserve">” rights. Much of what </w:t>
      </w:r>
      <w:r>
        <w:rPr>
          <w:rFonts w:ascii="Book Antiqua" w:hAnsi="Book Antiqua" w:cs="Times New Roman"/>
          <w:sz w:val="24"/>
          <w:szCs w:val="24"/>
        </w:rPr>
        <w:t>has been put forward in this Report</w:t>
      </w:r>
      <w:r w:rsidRPr="003D6C11">
        <w:rPr>
          <w:rFonts w:ascii="Book Antiqua" w:hAnsi="Book Antiqua" w:cs="Times New Roman"/>
          <w:sz w:val="24"/>
          <w:szCs w:val="24"/>
        </w:rPr>
        <w:t xml:space="preserve"> in the context of other regulated activities w</w:t>
      </w:r>
      <w:r>
        <w:rPr>
          <w:rFonts w:ascii="Book Antiqua" w:hAnsi="Book Antiqua" w:cs="Times New Roman"/>
          <w:sz w:val="24"/>
          <w:szCs w:val="24"/>
        </w:rPr>
        <w:t>ill</w:t>
      </w:r>
      <w:r w:rsidRPr="003D6C11">
        <w:rPr>
          <w:rFonts w:ascii="Book Antiqua" w:hAnsi="Book Antiqua" w:cs="Times New Roman"/>
          <w:sz w:val="24"/>
          <w:szCs w:val="24"/>
        </w:rPr>
        <w:t xml:space="preserve"> apply equally to mortgage brokers. In the MCD Consultation, the UK government expressed a degree of scepticism about the development of </w:t>
      </w:r>
      <w:proofErr w:type="gramStart"/>
      <w:r w:rsidRPr="003D6C11">
        <w:rPr>
          <w:rFonts w:ascii="Book Antiqua" w:hAnsi="Book Antiqua" w:cs="Times New Roman"/>
          <w:sz w:val="24"/>
          <w:szCs w:val="24"/>
        </w:rPr>
        <w:t>an</w:t>
      </w:r>
      <w:proofErr w:type="gramEnd"/>
      <w:r w:rsidRPr="003D6C11">
        <w:rPr>
          <w:rFonts w:ascii="Book Antiqua" w:hAnsi="Book Antiqua" w:cs="Times New Roman"/>
          <w:sz w:val="24"/>
          <w:szCs w:val="24"/>
        </w:rPr>
        <w:t xml:space="preserve"> EU-wide mortgage market. The provision of cross-border mortgage advice (e.g. in relation to second or holiday homes) may be a specialist market, but any loss of “</w:t>
      </w:r>
      <w:proofErr w:type="spellStart"/>
      <w:r w:rsidRPr="003D6C11">
        <w:rPr>
          <w:rFonts w:ascii="Book Antiqua" w:hAnsi="Book Antiqua" w:cs="Times New Roman"/>
          <w:sz w:val="24"/>
          <w:szCs w:val="24"/>
        </w:rPr>
        <w:t>passporting</w:t>
      </w:r>
      <w:proofErr w:type="spellEnd"/>
      <w:r w:rsidRPr="003D6C11">
        <w:rPr>
          <w:rFonts w:ascii="Book Antiqua" w:hAnsi="Book Antiqua" w:cs="Times New Roman"/>
          <w:sz w:val="24"/>
          <w:szCs w:val="24"/>
        </w:rPr>
        <w:t>” rights would be likely to be of considerable significance to those participating (or seeking to participate) in it.</w:t>
      </w:r>
    </w:p>
    <w:p w14:paraId="487D7CD7" w14:textId="77777777" w:rsidR="00A27D92" w:rsidRPr="003D6C11" w:rsidRDefault="00A27D92" w:rsidP="00A27D92">
      <w:pPr>
        <w:pStyle w:val="ListParagraph"/>
        <w:numPr>
          <w:ilvl w:val="0"/>
          <w:numId w:val="44"/>
        </w:numPr>
        <w:spacing w:line="360" w:lineRule="auto"/>
        <w:ind w:left="567" w:hanging="567"/>
        <w:contextualSpacing w:val="0"/>
        <w:jc w:val="both"/>
        <w:rPr>
          <w:rFonts w:ascii="Book Antiqua" w:hAnsi="Book Antiqua" w:cs="Times New Roman"/>
          <w:sz w:val="24"/>
          <w:szCs w:val="24"/>
        </w:rPr>
      </w:pPr>
      <w:r w:rsidRPr="003D6C11">
        <w:rPr>
          <w:rFonts w:ascii="Book Antiqua" w:hAnsi="Book Antiqua" w:cs="Times New Roman"/>
          <w:sz w:val="24"/>
          <w:szCs w:val="24"/>
        </w:rPr>
        <w:t xml:space="preserve">The MCD resulted in the introduction of few rules relating to the conduct of mortgage </w:t>
      </w:r>
      <w:proofErr w:type="gramStart"/>
      <w:r w:rsidRPr="003D6C11">
        <w:rPr>
          <w:rFonts w:ascii="Book Antiqua" w:hAnsi="Book Antiqua" w:cs="Times New Roman"/>
          <w:sz w:val="24"/>
          <w:szCs w:val="24"/>
        </w:rPr>
        <w:t>business which</w:t>
      </w:r>
      <w:proofErr w:type="gramEnd"/>
      <w:r w:rsidRPr="003D6C11">
        <w:rPr>
          <w:rFonts w:ascii="Book Antiqua" w:hAnsi="Book Antiqua" w:cs="Times New Roman"/>
          <w:sz w:val="24"/>
          <w:szCs w:val="24"/>
        </w:rPr>
        <w:t xml:space="preserve"> are specifically European in nature. The most obvious is the requirement for an ESIS (this, though, not yet being mandatory). Will this requirement remain? If it does, how might the UK respond to any </w:t>
      </w:r>
      <w:r w:rsidRPr="003D6C11">
        <w:rPr>
          <w:rFonts w:ascii="Book Antiqua" w:hAnsi="Book Antiqua" w:cs="Times New Roman"/>
          <w:sz w:val="24"/>
          <w:szCs w:val="24"/>
        </w:rPr>
        <w:lastRenderedPageBreak/>
        <w:t>changes in the form or substance of the ESIS post-</w:t>
      </w:r>
      <w:proofErr w:type="spellStart"/>
      <w:r w:rsidRPr="003D6C11">
        <w:rPr>
          <w:rFonts w:ascii="Book Antiqua" w:hAnsi="Book Antiqua" w:cs="Times New Roman"/>
          <w:sz w:val="24"/>
          <w:szCs w:val="24"/>
        </w:rPr>
        <w:t>Brexit</w:t>
      </w:r>
      <w:proofErr w:type="spellEnd"/>
      <w:r w:rsidRPr="003D6C11">
        <w:rPr>
          <w:rFonts w:ascii="Book Antiqua" w:hAnsi="Book Antiqua" w:cs="Times New Roman"/>
          <w:sz w:val="24"/>
          <w:szCs w:val="24"/>
        </w:rPr>
        <w:t>? If it does not, how might this affect access to the single market on the part of those carrying on regulated mortgage activities in the UK?</w:t>
      </w:r>
      <w:r>
        <w:rPr>
          <w:rFonts w:ascii="Book Antiqua" w:hAnsi="Book Antiqua" w:cs="Times New Roman"/>
          <w:sz w:val="24"/>
          <w:szCs w:val="24"/>
        </w:rPr>
        <w:t xml:space="preserve">  It is beyond the scope of this Report to offer detailed proposals, but this is clearly an </w:t>
      </w:r>
      <w:proofErr w:type="gramStart"/>
      <w:r>
        <w:rPr>
          <w:rFonts w:ascii="Book Antiqua" w:hAnsi="Book Antiqua" w:cs="Times New Roman"/>
          <w:sz w:val="24"/>
          <w:szCs w:val="24"/>
        </w:rPr>
        <w:t>issue which</w:t>
      </w:r>
      <w:proofErr w:type="gramEnd"/>
      <w:r>
        <w:rPr>
          <w:rFonts w:ascii="Book Antiqua" w:hAnsi="Book Antiqua" w:cs="Times New Roman"/>
          <w:sz w:val="24"/>
          <w:szCs w:val="24"/>
        </w:rPr>
        <w:t xml:space="preserve"> will require careful strategic consideration at an early stage.</w:t>
      </w:r>
    </w:p>
    <w:p w14:paraId="644DCC13" w14:textId="77777777" w:rsidR="009024BF" w:rsidRPr="00564E53" w:rsidRDefault="009024BF" w:rsidP="009024BF">
      <w:pPr>
        <w:spacing w:line="360" w:lineRule="auto"/>
        <w:rPr>
          <w:rFonts w:ascii="Book Antiqua" w:eastAsiaTheme="minorEastAsia" w:hAnsi="Book Antiqua" w:cs="Times New Roman"/>
          <w:sz w:val="24"/>
          <w:szCs w:val="24"/>
        </w:rPr>
      </w:pPr>
    </w:p>
    <w:p w14:paraId="58DD80B7" w14:textId="77777777" w:rsidR="008C1882" w:rsidRPr="005C0F12" w:rsidRDefault="008C1882" w:rsidP="008C1882">
      <w:pPr>
        <w:tabs>
          <w:tab w:val="left" w:pos="4395"/>
        </w:tabs>
        <w:spacing w:line="360" w:lineRule="auto"/>
        <w:ind w:left="567" w:hanging="567"/>
        <w:jc w:val="both"/>
        <w:rPr>
          <w:rFonts w:ascii="Book Antiqua" w:hAnsi="Book Antiqua" w:cs="Times New Roman"/>
          <w:sz w:val="24"/>
          <w:szCs w:val="24"/>
        </w:rPr>
      </w:pPr>
    </w:p>
    <w:p w14:paraId="23200A08" w14:textId="77777777" w:rsidR="001053EF" w:rsidRPr="008C1882" w:rsidRDefault="001053EF" w:rsidP="005572A6">
      <w:pPr>
        <w:rPr>
          <w:rFonts w:ascii="Book Antiqua" w:hAnsi="Book Antiqua"/>
          <w:sz w:val="24"/>
          <w:szCs w:val="24"/>
        </w:rPr>
      </w:pPr>
    </w:p>
    <w:sectPr w:rsidR="001053EF" w:rsidRPr="008C188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C23DE" w14:textId="77777777" w:rsidR="00941425" w:rsidRDefault="00941425" w:rsidP="00F84C5C">
      <w:pPr>
        <w:spacing w:after="0" w:line="240" w:lineRule="auto"/>
      </w:pPr>
      <w:r>
        <w:separator/>
      </w:r>
    </w:p>
  </w:endnote>
  <w:endnote w:type="continuationSeparator" w:id="0">
    <w:p w14:paraId="403DC16D" w14:textId="77777777" w:rsidR="00941425" w:rsidRDefault="00941425" w:rsidP="00F8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serif">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674273"/>
      <w:docPartObj>
        <w:docPartGallery w:val="Page Numbers (Bottom of Page)"/>
        <w:docPartUnique/>
      </w:docPartObj>
    </w:sdtPr>
    <w:sdtEndPr>
      <w:rPr>
        <w:noProof/>
      </w:rPr>
    </w:sdtEndPr>
    <w:sdtContent>
      <w:p w14:paraId="4E91AE8B" w14:textId="77777777" w:rsidR="00941425" w:rsidRDefault="00941425">
        <w:pPr>
          <w:pStyle w:val="Footer"/>
          <w:jc w:val="center"/>
        </w:pPr>
        <w:r>
          <w:fldChar w:fldCharType="begin"/>
        </w:r>
        <w:r>
          <w:instrText xml:space="preserve"> PAGE   \* MERGEFORMAT </w:instrText>
        </w:r>
        <w:r>
          <w:fldChar w:fldCharType="separate"/>
        </w:r>
        <w:r w:rsidR="00943272">
          <w:rPr>
            <w:noProof/>
          </w:rPr>
          <w:t>108</w:t>
        </w:r>
        <w:r>
          <w:rPr>
            <w:noProof/>
          </w:rPr>
          <w:fldChar w:fldCharType="end"/>
        </w:r>
      </w:p>
    </w:sdtContent>
  </w:sdt>
  <w:p w14:paraId="45E1E742" w14:textId="77777777" w:rsidR="00941425" w:rsidRDefault="009414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8089C" w14:textId="77777777" w:rsidR="00941425" w:rsidRDefault="00941425" w:rsidP="00F84C5C">
      <w:pPr>
        <w:spacing w:after="0" w:line="240" w:lineRule="auto"/>
      </w:pPr>
      <w:r>
        <w:separator/>
      </w:r>
    </w:p>
  </w:footnote>
  <w:footnote w:type="continuationSeparator" w:id="0">
    <w:p w14:paraId="3228CC49" w14:textId="77777777" w:rsidR="00941425" w:rsidRDefault="00941425" w:rsidP="00F84C5C">
      <w:pPr>
        <w:spacing w:after="0" w:line="240" w:lineRule="auto"/>
      </w:pPr>
      <w:r>
        <w:continuationSeparator/>
      </w:r>
    </w:p>
  </w:footnote>
  <w:footnote w:id="1">
    <w:p w14:paraId="3C238E2A" w14:textId="77777777" w:rsidR="00941425" w:rsidRPr="00DD2DD2" w:rsidRDefault="00941425" w:rsidP="00F81091">
      <w:pPr>
        <w:pStyle w:val="FootnoteText"/>
        <w:rPr>
          <w:rFonts w:ascii="Book Antiqua" w:hAnsi="Book Antiqua"/>
        </w:rPr>
      </w:pPr>
      <w:r w:rsidRPr="00DD2DD2">
        <w:rPr>
          <w:rStyle w:val="FootnoteReference"/>
          <w:rFonts w:ascii="Book Antiqua" w:hAnsi="Book Antiqua"/>
        </w:rPr>
        <w:footnoteRef/>
      </w:r>
      <w:r w:rsidRPr="00DD2DD2">
        <w:rPr>
          <w:rFonts w:ascii="Book Antiqua" w:hAnsi="Book Antiqua"/>
        </w:rPr>
        <w:t xml:space="preserve"> http://www.publications.parliament.uk/pa/ld201617/ldselect/ldeucom/81/81.pdf</w:t>
      </w:r>
    </w:p>
  </w:footnote>
  <w:footnote w:id="2">
    <w:p w14:paraId="3B11A7D7" w14:textId="77777777" w:rsidR="00941425" w:rsidRPr="00DD2DD2" w:rsidRDefault="00941425" w:rsidP="00F81091">
      <w:pPr>
        <w:pStyle w:val="FootnoteText"/>
        <w:rPr>
          <w:rFonts w:ascii="Book Antiqua" w:hAnsi="Book Antiqua"/>
        </w:rPr>
      </w:pPr>
      <w:r w:rsidRPr="00DD2DD2">
        <w:rPr>
          <w:rStyle w:val="FootnoteReference"/>
          <w:rFonts w:ascii="Book Antiqua" w:hAnsi="Book Antiqua"/>
        </w:rPr>
        <w:footnoteRef/>
      </w:r>
      <w:r w:rsidRPr="00DD2DD2">
        <w:rPr>
          <w:rFonts w:ascii="Book Antiqua" w:hAnsi="Book Antiqua"/>
        </w:rPr>
        <w:t xml:space="preserve"> </w:t>
      </w:r>
      <w:proofErr w:type="gramStart"/>
      <w:r w:rsidRPr="00DD2DD2">
        <w:rPr>
          <w:rFonts w:ascii="Book Antiqua" w:hAnsi="Book Antiqua"/>
        </w:rPr>
        <w:t>2000, c. 8.</w:t>
      </w:r>
      <w:proofErr w:type="gramEnd"/>
    </w:p>
  </w:footnote>
  <w:footnote w:id="3">
    <w:p w14:paraId="2F60C0FE" w14:textId="77777777" w:rsidR="00941425" w:rsidRPr="00DD2DD2" w:rsidRDefault="00941425" w:rsidP="00F81091">
      <w:pPr>
        <w:pStyle w:val="FootnoteText"/>
        <w:rPr>
          <w:rFonts w:ascii="Book Antiqua" w:hAnsi="Book Antiqua"/>
        </w:rPr>
      </w:pPr>
      <w:r w:rsidRPr="00DD2DD2">
        <w:rPr>
          <w:rStyle w:val="FootnoteReference"/>
          <w:rFonts w:ascii="Book Antiqua" w:hAnsi="Book Antiqua"/>
        </w:rPr>
        <w:footnoteRef/>
      </w:r>
      <w:r w:rsidRPr="00DD2DD2">
        <w:rPr>
          <w:rFonts w:ascii="Book Antiqua" w:hAnsi="Book Antiqua"/>
        </w:rPr>
        <w:t>https://www.fca.org.uk/news/statements/statement-european-union-referendum-result.</w:t>
      </w:r>
    </w:p>
  </w:footnote>
  <w:footnote w:id="4">
    <w:p w14:paraId="2DD89A9B" w14:textId="77777777" w:rsidR="00941425" w:rsidRPr="00DD2DD2" w:rsidRDefault="00941425" w:rsidP="00F81091">
      <w:pPr>
        <w:pStyle w:val="FootnoteText"/>
        <w:rPr>
          <w:rFonts w:ascii="Book Antiqua" w:hAnsi="Book Antiqua"/>
        </w:rPr>
      </w:pPr>
      <w:r w:rsidRPr="00DD2DD2">
        <w:rPr>
          <w:rStyle w:val="FootnoteReference"/>
          <w:rFonts w:ascii="Book Antiqua" w:hAnsi="Book Antiqua"/>
        </w:rPr>
        <w:footnoteRef/>
      </w:r>
      <w:r w:rsidRPr="00DD2DD2">
        <w:rPr>
          <w:rFonts w:ascii="Book Antiqua" w:hAnsi="Book Antiqua"/>
        </w:rPr>
        <w:t xml:space="preserve"> http://johnredwoodsdiary.com/2016/07/02/a-guide-to-getting-out-of-the-eu-we-have-a-plan/</w:t>
      </w:r>
    </w:p>
  </w:footnote>
  <w:footnote w:id="5">
    <w:p w14:paraId="69AFE6FA" w14:textId="77777777" w:rsidR="00941425" w:rsidRPr="00DD2DD2" w:rsidRDefault="00941425" w:rsidP="00F81091">
      <w:pPr>
        <w:pStyle w:val="FootnoteText"/>
        <w:rPr>
          <w:rFonts w:ascii="Book Antiqua" w:hAnsi="Book Antiqua"/>
        </w:rPr>
      </w:pPr>
      <w:r w:rsidRPr="00DD2DD2">
        <w:rPr>
          <w:rStyle w:val="FootnoteReference"/>
          <w:rFonts w:ascii="Book Antiqua" w:hAnsi="Book Antiqua"/>
        </w:rPr>
        <w:footnoteRef/>
      </w:r>
      <w:r w:rsidRPr="00DD2DD2">
        <w:rPr>
          <w:rFonts w:ascii="Book Antiqua" w:hAnsi="Book Antiqua"/>
        </w:rPr>
        <w:t xml:space="preserve"> http://www.independent.co.uk/news/uk/politics/great-repeal-bill-brexit-law-eu-law-theresa-may-david-davis-a7343256.html</w:t>
      </w:r>
    </w:p>
  </w:footnote>
  <w:footnote w:id="6">
    <w:p w14:paraId="1C3CE747" w14:textId="77777777" w:rsidR="00941425" w:rsidRPr="00DD2DD2" w:rsidRDefault="00941425" w:rsidP="00F81091">
      <w:pPr>
        <w:pStyle w:val="FootnoteText"/>
        <w:rPr>
          <w:rFonts w:ascii="Book Antiqua" w:hAnsi="Book Antiqua"/>
        </w:rPr>
      </w:pPr>
      <w:r w:rsidRPr="00DD2DD2">
        <w:rPr>
          <w:rStyle w:val="FootnoteReference"/>
          <w:rFonts w:ascii="Book Antiqua" w:hAnsi="Book Antiqua"/>
        </w:rPr>
        <w:footnoteRef/>
      </w:r>
      <w:r w:rsidRPr="00DD2DD2">
        <w:rPr>
          <w:rFonts w:ascii="Book Antiqua" w:hAnsi="Book Antiqua"/>
        </w:rPr>
        <w:t xml:space="preserve"> </w:t>
      </w:r>
      <w:proofErr w:type="gramStart"/>
      <w:r w:rsidRPr="00DD2DD2">
        <w:rPr>
          <w:rFonts w:ascii="Book Antiqua" w:hAnsi="Book Antiqua"/>
        </w:rPr>
        <w:t>FSMA, s. 426.</w:t>
      </w:r>
      <w:proofErr w:type="gramEnd"/>
    </w:p>
  </w:footnote>
  <w:footnote w:id="7">
    <w:p w14:paraId="67815C31" w14:textId="77777777" w:rsidR="00941425" w:rsidRPr="00DD2DD2" w:rsidRDefault="00941425" w:rsidP="00F81091">
      <w:pPr>
        <w:pStyle w:val="FootnoteText"/>
        <w:rPr>
          <w:rFonts w:ascii="Book Antiqua" w:hAnsi="Book Antiqua"/>
        </w:rPr>
      </w:pPr>
      <w:r w:rsidRPr="00DD2DD2">
        <w:rPr>
          <w:rStyle w:val="FootnoteReference"/>
          <w:rFonts w:ascii="Book Antiqua" w:hAnsi="Book Antiqua"/>
        </w:rPr>
        <w:footnoteRef/>
      </w:r>
      <w:r w:rsidRPr="00DD2DD2">
        <w:rPr>
          <w:rFonts w:ascii="Book Antiqua" w:hAnsi="Book Antiqua"/>
        </w:rPr>
        <w:t xml:space="preserve"> http://www.bbc.com/news/uk-politics-37532364</w:t>
      </w:r>
    </w:p>
  </w:footnote>
  <w:footnote w:id="8">
    <w:p w14:paraId="68BAB5FD" w14:textId="77777777" w:rsidR="00941425" w:rsidRPr="00DD2DD2" w:rsidRDefault="00941425" w:rsidP="00F81091">
      <w:pPr>
        <w:pStyle w:val="FootnoteText"/>
        <w:rPr>
          <w:rFonts w:ascii="Book Antiqua" w:hAnsi="Book Antiqua"/>
        </w:rPr>
      </w:pPr>
      <w:r w:rsidRPr="00DD2DD2">
        <w:rPr>
          <w:rStyle w:val="FootnoteReference"/>
          <w:rFonts w:ascii="Book Antiqua" w:hAnsi="Book Antiqua"/>
        </w:rPr>
        <w:footnoteRef/>
      </w:r>
      <w:r w:rsidRPr="00DD2DD2">
        <w:rPr>
          <w:rStyle w:val="FootnoteReference"/>
          <w:rFonts w:ascii="Book Antiqua" w:hAnsi="Book Antiqua"/>
        </w:rPr>
        <w:footnoteRef/>
      </w:r>
      <w:r w:rsidRPr="00DD2DD2">
        <w:rPr>
          <w:rFonts w:ascii="Book Antiqua" w:hAnsi="Book Antiqua"/>
        </w:rPr>
        <w:t>https://www.ft.com/content/fbe3b3c0-7b6b-11e6-ae24-f193b105145e</w:t>
      </w:r>
    </w:p>
  </w:footnote>
  <w:footnote w:id="9">
    <w:p w14:paraId="5DE4A438" w14:textId="77777777" w:rsidR="00941425" w:rsidRPr="00DD2DD2" w:rsidRDefault="00941425" w:rsidP="00F81091">
      <w:pPr>
        <w:pStyle w:val="FootnoteText"/>
        <w:rPr>
          <w:rFonts w:ascii="Book Antiqua" w:hAnsi="Book Antiqua"/>
        </w:rPr>
      </w:pPr>
      <w:r w:rsidRPr="00DD2DD2">
        <w:rPr>
          <w:rStyle w:val="FootnoteReference"/>
          <w:rFonts w:ascii="Book Antiqua" w:hAnsi="Book Antiqua"/>
        </w:rPr>
        <w:footnoteRef/>
      </w:r>
      <w:r w:rsidRPr="00DD2DD2">
        <w:rPr>
          <w:rFonts w:ascii="Book Antiqua" w:hAnsi="Book Antiqua"/>
        </w:rPr>
        <w:t xml:space="preserve"> </w:t>
      </w:r>
      <w:hyperlink r:id="rId1" w:anchor="_idTextAnchor055" w:history="1">
        <w:r w:rsidRPr="00DD2DD2">
          <w:rPr>
            <w:rStyle w:val="Hyperlink"/>
            <w:rFonts w:ascii="Book Antiqua" w:hAnsi="Book Antiqua"/>
          </w:rPr>
          <w:t>http://www.publications.parliament.uk/pa/ld201617/ldselect/ldeucom/81/8108.htm#_idTextAnchor055</w:t>
        </w:r>
      </w:hyperlink>
      <w:r w:rsidRPr="00DD2DD2">
        <w:rPr>
          <w:rFonts w:ascii="Book Antiqua" w:hAnsi="Book Antiqua"/>
        </w:rPr>
        <w:t xml:space="preserve">, Chapter 5, </w:t>
      </w:r>
      <w:proofErr w:type="spellStart"/>
      <w:r w:rsidRPr="00DD2DD2">
        <w:rPr>
          <w:rFonts w:ascii="Book Antiqua" w:hAnsi="Book Antiqua"/>
        </w:rPr>
        <w:t>para</w:t>
      </w:r>
      <w:proofErr w:type="spellEnd"/>
      <w:r w:rsidRPr="00DD2DD2">
        <w:rPr>
          <w:rFonts w:ascii="Book Antiqua" w:hAnsi="Book Antiqua"/>
        </w:rPr>
        <w:t>. 96-110.</w:t>
      </w:r>
    </w:p>
  </w:footnote>
  <w:footnote w:id="10">
    <w:p w14:paraId="277CD51B" w14:textId="77777777" w:rsidR="00941425" w:rsidRPr="00DD2DD2" w:rsidRDefault="00941425" w:rsidP="00F81091">
      <w:pPr>
        <w:pStyle w:val="FootnoteText"/>
        <w:rPr>
          <w:rFonts w:ascii="Book Antiqua" w:hAnsi="Book Antiqua"/>
        </w:rPr>
      </w:pPr>
      <w:r w:rsidRPr="00DD2DD2">
        <w:rPr>
          <w:rStyle w:val="FootnoteReference"/>
          <w:rFonts w:ascii="Book Antiqua" w:hAnsi="Book Antiqua"/>
        </w:rPr>
        <w:footnoteRef/>
      </w:r>
      <w:r w:rsidRPr="00DD2DD2">
        <w:rPr>
          <w:rFonts w:ascii="Book Antiqua" w:hAnsi="Book Antiqua"/>
        </w:rPr>
        <w:t xml:space="preserve"> https://www.ft.com/content/32ebdd78-97bf-11e2-97e0-00144feabdc0</w:t>
      </w:r>
    </w:p>
  </w:footnote>
  <w:footnote w:id="11">
    <w:p w14:paraId="290C1DD6" w14:textId="77777777" w:rsidR="00941425" w:rsidRPr="00E810DB" w:rsidRDefault="00941425" w:rsidP="00CA585D">
      <w:pPr>
        <w:pStyle w:val="FootnoteText"/>
        <w:spacing w:after="60"/>
        <w:jc w:val="both"/>
        <w:rPr>
          <w:rFonts w:ascii="Book Antiqua" w:hAnsi="Book Antiqua" w:cs="Times New Roman"/>
        </w:rPr>
      </w:pPr>
      <w:r w:rsidRPr="00E810DB">
        <w:rPr>
          <w:rStyle w:val="FootnoteReference"/>
          <w:rFonts w:ascii="Book Antiqua" w:hAnsi="Book Antiqua" w:cs="Times New Roman"/>
        </w:rPr>
        <w:footnoteRef/>
      </w:r>
      <w:r w:rsidRPr="00E810DB">
        <w:rPr>
          <w:rFonts w:ascii="Book Antiqua" w:hAnsi="Book Antiqua" w:cs="Times New Roman"/>
        </w:rPr>
        <w:t xml:space="preserve"> Consumer credit is a notable exclusion from the </w:t>
      </w:r>
      <w:proofErr w:type="spellStart"/>
      <w:r w:rsidRPr="00E810DB">
        <w:rPr>
          <w:rFonts w:ascii="Book Antiqua" w:hAnsi="Book Antiqua" w:cs="Times New Roman"/>
        </w:rPr>
        <w:t>passporting</w:t>
      </w:r>
      <w:proofErr w:type="spellEnd"/>
      <w:r w:rsidRPr="00E810DB">
        <w:rPr>
          <w:rFonts w:ascii="Book Antiqua" w:hAnsi="Book Antiqua" w:cs="Times New Roman"/>
        </w:rPr>
        <w:t xml:space="preserve"> regime. </w:t>
      </w:r>
    </w:p>
  </w:footnote>
  <w:footnote w:id="12">
    <w:p w14:paraId="50E163A6" w14:textId="77777777" w:rsidR="00941425" w:rsidRPr="00E810DB" w:rsidRDefault="00941425" w:rsidP="00CA585D">
      <w:pPr>
        <w:pStyle w:val="FootnoteText"/>
        <w:spacing w:after="60"/>
        <w:jc w:val="both"/>
        <w:rPr>
          <w:rFonts w:ascii="Book Antiqua" w:hAnsi="Book Antiqua" w:cs="Times New Roman"/>
          <w:lang w:val="en-US"/>
        </w:rPr>
      </w:pPr>
      <w:r w:rsidRPr="00E810DB">
        <w:rPr>
          <w:rStyle w:val="FootnoteReference"/>
          <w:rFonts w:ascii="Book Antiqua" w:hAnsi="Book Antiqua" w:cs="Times New Roman"/>
        </w:rPr>
        <w:footnoteRef/>
      </w:r>
      <w:r w:rsidRPr="00E810DB">
        <w:rPr>
          <w:rFonts w:ascii="Book Antiqua" w:hAnsi="Book Antiqua" w:cs="Times New Roman"/>
        </w:rPr>
        <w:t xml:space="preserve"> </w:t>
      </w:r>
      <w:r w:rsidRPr="00E810DB">
        <w:rPr>
          <w:rFonts w:ascii="Book Antiqua" w:hAnsi="Book Antiqua" w:cs="Times New Roman"/>
          <w:lang w:val="en-US"/>
        </w:rPr>
        <w:t xml:space="preserve">Chapter 2 - </w:t>
      </w:r>
      <w:r w:rsidRPr="0032316D">
        <w:rPr>
          <w:rFonts w:ascii="Book Antiqua" w:hAnsi="Book Antiqua" w:cs="Times New Roman"/>
        </w:rPr>
        <w:t xml:space="preserve">Under </w:t>
      </w:r>
      <w:proofErr w:type="spellStart"/>
      <w:r w:rsidRPr="0032316D">
        <w:rPr>
          <w:rFonts w:ascii="Book Antiqua" w:hAnsi="Book Antiqua" w:cs="Times New Roman"/>
        </w:rPr>
        <w:t>MiFID</w:t>
      </w:r>
      <w:proofErr w:type="spellEnd"/>
      <w:r w:rsidRPr="0032316D">
        <w:rPr>
          <w:rFonts w:ascii="Book Antiqua" w:hAnsi="Book Antiqua" w:cs="Times New Roman"/>
        </w:rPr>
        <w:t xml:space="preserve"> / </w:t>
      </w:r>
      <w:proofErr w:type="spellStart"/>
      <w:r w:rsidRPr="0032316D">
        <w:rPr>
          <w:rFonts w:ascii="Book Antiqua" w:hAnsi="Book Antiqua" w:cs="Times New Roman"/>
        </w:rPr>
        <w:t>MiFID</w:t>
      </w:r>
      <w:proofErr w:type="spellEnd"/>
      <w:r w:rsidRPr="0032316D">
        <w:rPr>
          <w:rFonts w:ascii="Book Antiqua" w:hAnsi="Book Antiqua" w:cs="Times New Roman"/>
        </w:rPr>
        <w:t xml:space="preserve"> II / </w:t>
      </w:r>
      <w:proofErr w:type="spellStart"/>
      <w:r w:rsidRPr="0032316D">
        <w:rPr>
          <w:rFonts w:ascii="Book Antiqua" w:hAnsi="Book Antiqua" w:cs="Times New Roman"/>
        </w:rPr>
        <w:t>MiFIR</w:t>
      </w:r>
      <w:proofErr w:type="spellEnd"/>
      <w:r w:rsidRPr="0032316D">
        <w:rPr>
          <w:rFonts w:ascii="Book Antiqua" w:hAnsi="Book Antiqua" w:cs="Times New Roman"/>
        </w:rPr>
        <w:t xml:space="preserve">; </w:t>
      </w:r>
      <w:r w:rsidRPr="00E810DB">
        <w:rPr>
          <w:rFonts w:ascii="Book Antiqua" w:hAnsi="Book Antiqua" w:cs="Times New Roman"/>
        </w:rPr>
        <w:t>Chapter</w:t>
      </w:r>
      <w:r w:rsidRPr="0032316D">
        <w:rPr>
          <w:rFonts w:ascii="Book Antiqua" w:hAnsi="Book Antiqua" w:cs="Times New Roman"/>
        </w:rPr>
        <w:t xml:space="preserve"> 3 - Insurers, life offices and pure reinsurers under Solvency II Directive</w:t>
      </w:r>
      <w:r w:rsidRPr="00E810DB">
        <w:rPr>
          <w:rFonts w:ascii="Book Antiqua" w:hAnsi="Book Antiqua" w:cs="Times New Roman"/>
        </w:rPr>
        <w:t xml:space="preserve">; Chapter 4 </w:t>
      </w:r>
      <w:r>
        <w:rPr>
          <w:rFonts w:ascii="Book Antiqua" w:hAnsi="Book Antiqua" w:cs="Times New Roman"/>
        </w:rPr>
        <w:t>–</w:t>
      </w:r>
      <w:r w:rsidRPr="00E810DB">
        <w:rPr>
          <w:rFonts w:ascii="Book Antiqua" w:hAnsi="Book Antiqua" w:cs="Times New Roman"/>
        </w:rPr>
        <w:t xml:space="preserve"> </w:t>
      </w:r>
      <w:r>
        <w:rPr>
          <w:rFonts w:ascii="Book Antiqua" w:hAnsi="Book Antiqua" w:cs="Times New Roman"/>
        </w:rPr>
        <w:t xml:space="preserve">Business Transfers under FSMA; Chapter 5 - </w:t>
      </w:r>
      <w:r w:rsidRPr="0032316D">
        <w:rPr>
          <w:rFonts w:ascii="Book Antiqua" w:hAnsi="Book Antiqua" w:cs="Times New Roman"/>
        </w:rPr>
        <w:t xml:space="preserve">Funds under the AIFM Directive; </w:t>
      </w:r>
      <w:r w:rsidRPr="00E810DB">
        <w:rPr>
          <w:rFonts w:ascii="Book Antiqua" w:hAnsi="Book Antiqua" w:cs="Times New Roman"/>
        </w:rPr>
        <w:t>Chapter</w:t>
      </w:r>
      <w:r w:rsidRPr="0032316D">
        <w:rPr>
          <w:rFonts w:ascii="Book Antiqua" w:hAnsi="Book Antiqua" w:cs="Times New Roman"/>
        </w:rPr>
        <w:t xml:space="preserve"> </w:t>
      </w:r>
      <w:r>
        <w:rPr>
          <w:rFonts w:ascii="Book Antiqua" w:hAnsi="Book Antiqua" w:cs="Times New Roman"/>
        </w:rPr>
        <w:t>6</w:t>
      </w:r>
      <w:r w:rsidRPr="0032316D">
        <w:rPr>
          <w:rFonts w:ascii="Book Antiqua" w:hAnsi="Book Antiqua" w:cs="Times New Roman"/>
        </w:rPr>
        <w:t xml:space="preserve"> - CRD </w:t>
      </w:r>
      <w:proofErr w:type="spellStart"/>
      <w:r w:rsidRPr="0032316D">
        <w:rPr>
          <w:rFonts w:ascii="Book Antiqua" w:hAnsi="Book Antiqua" w:cs="Times New Roman"/>
        </w:rPr>
        <w:t>IVl</w:t>
      </w:r>
      <w:proofErr w:type="spellEnd"/>
      <w:r w:rsidRPr="0032316D">
        <w:rPr>
          <w:rFonts w:ascii="Book Antiqua" w:hAnsi="Book Antiqua" w:cs="Times New Roman"/>
        </w:rPr>
        <w:t xml:space="preserve">; </w:t>
      </w:r>
      <w:r w:rsidRPr="00E810DB">
        <w:rPr>
          <w:rFonts w:ascii="Book Antiqua" w:hAnsi="Book Antiqua" w:cs="Times New Roman"/>
        </w:rPr>
        <w:t>Chapter</w:t>
      </w:r>
      <w:r>
        <w:rPr>
          <w:rFonts w:ascii="Book Antiqua" w:hAnsi="Book Antiqua" w:cs="Times New Roman"/>
        </w:rPr>
        <w:t xml:space="preserve"> 7</w:t>
      </w:r>
      <w:r w:rsidRPr="0032316D">
        <w:rPr>
          <w:rFonts w:ascii="Book Antiqua" w:hAnsi="Book Antiqua" w:cs="Times New Roman"/>
        </w:rPr>
        <w:t xml:space="preserve"> - Central counterparties and trade repositories under EMIR; </w:t>
      </w:r>
      <w:r w:rsidRPr="00E810DB">
        <w:rPr>
          <w:rFonts w:ascii="Book Antiqua" w:hAnsi="Book Antiqua" w:cs="Times New Roman"/>
        </w:rPr>
        <w:t>Chapter</w:t>
      </w:r>
      <w:r w:rsidRPr="0032316D">
        <w:rPr>
          <w:rFonts w:ascii="Book Antiqua" w:hAnsi="Book Antiqua" w:cs="Times New Roman"/>
        </w:rPr>
        <w:t xml:space="preserve"> </w:t>
      </w:r>
      <w:r>
        <w:rPr>
          <w:rFonts w:ascii="Book Antiqua" w:hAnsi="Book Antiqua" w:cs="Times New Roman"/>
        </w:rPr>
        <w:t>8</w:t>
      </w:r>
      <w:r w:rsidRPr="0032316D">
        <w:rPr>
          <w:rFonts w:ascii="Book Antiqua" w:hAnsi="Book Antiqua" w:cs="Times New Roman"/>
        </w:rPr>
        <w:t xml:space="preserve"> - </w:t>
      </w:r>
      <w:r w:rsidRPr="0032316D">
        <w:rPr>
          <w:rFonts w:ascii="Book Antiqua" w:eastAsia="Times New Roman" w:hAnsi="Book Antiqua" w:cs="Times New Roman"/>
          <w:color w:val="000000"/>
        </w:rPr>
        <w:t xml:space="preserve">Payment Services Directive; </w:t>
      </w:r>
      <w:r w:rsidRPr="00E810DB">
        <w:rPr>
          <w:rFonts w:ascii="Book Antiqua" w:eastAsia="Times New Roman" w:hAnsi="Book Antiqua" w:cs="Times New Roman"/>
          <w:color w:val="000000"/>
        </w:rPr>
        <w:t>Chapter</w:t>
      </w:r>
      <w:r w:rsidRPr="0032316D">
        <w:rPr>
          <w:rFonts w:ascii="Book Antiqua" w:eastAsia="Times New Roman" w:hAnsi="Book Antiqua" w:cs="Times New Roman"/>
          <w:color w:val="000000"/>
        </w:rPr>
        <w:t xml:space="preserve"> </w:t>
      </w:r>
      <w:r>
        <w:rPr>
          <w:rFonts w:ascii="Book Antiqua" w:eastAsia="Times New Roman" w:hAnsi="Book Antiqua" w:cs="Times New Roman"/>
          <w:color w:val="000000"/>
        </w:rPr>
        <w:t>9</w:t>
      </w:r>
      <w:r w:rsidRPr="0032316D">
        <w:rPr>
          <w:rFonts w:ascii="Book Antiqua" w:eastAsia="Times New Roman" w:hAnsi="Book Antiqua" w:cs="Times New Roman"/>
          <w:color w:val="000000"/>
        </w:rPr>
        <w:t xml:space="preserve"> - </w:t>
      </w:r>
      <w:r w:rsidRPr="00E810DB">
        <w:rPr>
          <w:rFonts w:ascii="Book Antiqua" w:hAnsi="Book Antiqua" w:cs="Times New Roman"/>
        </w:rPr>
        <w:t>Mortgage Brokers under the Mortgage Credit Directive.</w:t>
      </w:r>
    </w:p>
  </w:footnote>
  <w:footnote w:id="13">
    <w:p w14:paraId="71B8A707" w14:textId="77777777" w:rsidR="00941425" w:rsidRPr="00E810DB" w:rsidRDefault="00941425" w:rsidP="00CA585D">
      <w:pPr>
        <w:pStyle w:val="FootnoteText"/>
        <w:spacing w:after="60"/>
        <w:jc w:val="both"/>
        <w:rPr>
          <w:rFonts w:ascii="Book Antiqua" w:hAnsi="Book Antiqua" w:cs="Times New Roman"/>
        </w:rPr>
      </w:pPr>
      <w:r w:rsidRPr="00E810DB">
        <w:rPr>
          <w:rStyle w:val="FootnoteReference"/>
          <w:rFonts w:ascii="Book Antiqua" w:hAnsi="Book Antiqua" w:cs="Times New Roman"/>
        </w:rPr>
        <w:footnoteRef/>
      </w:r>
      <w:r w:rsidRPr="00E810DB">
        <w:rPr>
          <w:rFonts w:ascii="Book Antiqua" w:hAnsi="Book Antiqua" w:cs="Times New Roman"/>
        </w:rPr>
        <w:t xml:space="preserve"> Complications would arise if the UK were to remain in the EEA but were not able to join EFTA. Such complications are outside the scope of this paper.</w:t>
      </w:r>
    </w:p>
  </w:footnote>
  <w:footnote w:id="14">
    <w:p w14:paraId="53EC9B92" w14:textId="77777777" w:rsidR="00941425" w:rsidRPr="00E810DB" w:rsidRDefault="00941425" w:rsidP="00CA585D">
      <w:pPr>
        <w:pStyle w:val="FootnoteText"/>
        <w:spacing w:after="60"/>
        <w:jc w:val="both"/>
        <w:rPr>
          <w:rFonts w:ascii="Book Antiqua" w:hAnsi="Book Antiqua" w:cs="Times New Roman"/>
        </w:rPr>
      </w:pPr>
      <w:r w:rsidRPr="00E810DB">
        <w:rPr>
          <w:rStyle w:val="FootnoteReference"/>
          <w:rFonts w:ascii="Book Antiqua" w:hAnsi="Book Antiqua" w:cs="Times New Roman"/>
        </w:rPr>
        <w:footnoteRef/>
      </w:r>
      <w:r w:rsidRPr="00E810DB">
        <w:rPr>
          <w:rFonts w:ascii="Book Antiqua" w:hAnsi="Book Antiqua" w:cs="Times New Roman"/>
        </w:rPr>
        <w:t xml:space="preserve"> Published by </w:t>
      </w:r>
      <w:proofErr w:type="spellStart"/>
      <w:r w:rsidRPr="00E810DB">
        <w:rPr>
          <w:rFonts w:ascii="Book Antiqua" w:hAnsi="Book Antiqua" w:cs="Times New Roman"/>
        </w:rPr>
        <w:t>wikileaks</w:t>
      </w:r>
      <w:proofErr w:type="spellEnd"/>
      <w:r w:rsidRPr="00E810DB">
        <w:rPr>
          <w:rFonts w:ascii="Book Antiqua" w:hAnsi="Book Antiqua" w:cs="Times New Roman"/>
        </w:rPr>
        <w:t xml:space="preserve"> at </w:t>
      </w:r>
      <w:hyperlink r:id="rId2" w:history="1">
        <w:r w:rsidRPr="00E810DB">
          <w:rPr>
            <w:rStyle w:val="Hyperlink"/>
            <w:rFonts w:ascii="Book Antiqua" w:hAnsi="Book Antiqua" w:cs="Times New Roman"/>
          </w:rPr>
          <w:t>https://wikileaks.org/tisa/document/20160627_TiSA_Annex-on-Financial-Services/20160627_TiSA_Annex-on-Financial-Services.pdf</w:t>
        </w:r>
      </w:hyperlink>
      <w:r w:rsidRPr="00E810DB">
        <w:rPr>
          <w:rFonts w:ascii="Book Antiqua" w:hAnsi="Book Antiqua" w:cs="Times New Roman"/>
        </w:rPr>
        <w:t xml:space="preserve"> </w:t>
      </w:r>
    </w:p>
  </w:footnote>
  <w:footnote w:id="15">
    <w:p w14:paraId="601BD721" w14:textId="77777777" w:rsidR="00941425" w:rsidRPr="001E75F1" w:rsidRDefault="00941425" w:rsidP="00875E70">
      <w:pPr>
        <w:pStyle w:val="FootnoteText"/>
        <w:spacing w:after="120"/>
        <w:jc w:val="both"/>
        <w:rPr>
          <w:rFonts w:ascii="Book Antiqua" w:hAnsi="Book Antiqua"/>
        </w:rPr>
      </w:pPr>
      <w:r w:rsidRPr="001E75F1">
        <w:rPr>
          <w:rStyle w:val="FootnoteReference"/>
          <w:rFonts w:ascii="Book Antiqua" w:hAnsi="Book Antiqua"/>
        </w:rPr>
        <w:footnoteRef/>
      </w:r>
      <w:r w:rsidRPr="001E75F1">
        <w:rPr>
          <w:rFonts w:ascii="Book Antiqua" w:hAnsi="Book Antiqua"/>
        </w:rPr>
        <w:t xml:space="preserve"> </w:t>
      </w:r>
      <w:proofErr w:type="gramStart"/>
      <w:r w:rsidRPr="001E75F1">
        <w:rPr>
          <w:rFonts w:ascii="Book Antiqua" w:hAnsi="Book Antiqua"/>
        </w:rPr>
        <w:t>Markets in Financial Instruments Directive (2004/39/EC).</w:t>
      </w:r>
      <w:proofErr w:type="gramEnd"/>
    </w:p>
  </w:footnote>
  <w:footnote w:id="16">
    <w:p w14:paraId="2718F750" w14:textId="77777777" w:rsidR="00941425" w:rsidRPr="001E75F1" w:rsidRDefault="00941425" w:rsidP="00875E70">
      <w:pPr>
        <w:pStyle w:val="FootnoteText"/>
        <w:spacing w:after="120"/>
        <w:jc w:val="both"/>
        <w:rPr>
          <w:rFonts w:ascii="Book Antiqua" w:hAnsi="Book Antiqua"/>
        </w:rPr>
      </w:pPr>
      <w:r w:rsidRPr="001E75F1">
        <w:rPr>
          <w:rStyle w:val="FootnoteReference"/>
          <w:rFonts w:ascii="Book Antiqua" w:hAnsi="Book Antiqua"/>
        </w:rPr>
        <w:footnoteRef/>
      </w:r>
      <w:r w:rsidRPr="001E75F1">
        <w:rPr>
          <w:rFonts w:ascii="Book Antiqua" w:hAnsi="Book Antiqua"/>
        </w:rPr>
        <w:t xml:space="preserve"> </w:t>
      </w:r>
      <w:proofErr w:type="gramStart"/>
      <w:r w:rsidRPr="001E75F1">
        <w:rPr>
          <w:rFonts w:ascii="Book Antiqua" w:hAnsi="Book Antiqua"/>
        </w:rPr>
        <w:t>Markets in Financial Instruments Directive II (2014/65/EU).</w:t>
      </w:r>
      <w:proofErr w:type="gramEnd"/>
    </w:p>
  </w:footnote>
  <w:footnote w:id="17">
    <w:p w14:paraId="03D4883D" w14:textId="77777777" w:rsidR="00941425" w:rsidRPr="001E75F1" w:rsidRDefault="00941425" w:rsidP="00875E70">
      <w:pPr>
        <w:spacing w:after="120"/>
        <w:jc w:val="both"/>
        <w:rPr>
          <w:rFonts w:ascii="Book Antiqua" w:hAnsi="Book Antiqua" w:cs="Times New Roman"/>
          <w:sz w:val="20"/>
          <w:szCs w:val="20"/>
        </w:rPr>
      </w:pPr>
      <w:r w:rsidRPr="001E75F1">
        <w:rPr>
          <w:rStyle w:val="FootnoteReference"/>
          <w:rFonts w:ascii="Book Antiqua" w:hAnsi="Book Antiqua"/>
          <w:sz w:val="20"/>
          <w:szCs w:val="20"/>
        </w:rPr>
        <w:footnoteRef/>
      </w:r>
      <w:r w:rsidRPr="001E75F1">
        <w:rPr>
          <w:rFonts w:ascii="Book Antiqua" w:hAnsi="Book Antiqua" w:cs="Times New Roman"/>
          <w:sz w:val="20"/>
          <w:szCs w:val="20"/>
        </w:rPr>
        <w:t xml:space="preserve"> Markets in Financial Instruments Regulation </w:t>
      </w:r>
      <w:proofErr w:type="spellStart"/>
      <w:r w:rsidRPr="001E75F1">
        <w:rPr>
          <w:rFonts w:ascii="Book Antiqua" w:hAnsi="Book Antiqua" w:cs="Times New Roman"/>
          <w:sz w:val="20"/>
          <w:szCs w:val="20"/>
        </w:rPr>
        <w:t>Regulation</w:t>
      </w:r>
      <w:proofErr w:type="spellEnd"/>
      <w:r w:rsidRPr="001E75F1">
        <w:rPr>
          <w:rFonts w:ascii="Book Antiqua" w:hAnsi="Book Antiqua" w:cs="Times New Roman"/>
          <w:sz w:val="20"/>
          <w:szCs w:val="20"/>
        </w:rPr>
        <w:t xml:space="preserve"> No 600/2014 of 15 May 2014.</w:t>
      </w:r>
    </w:p>
  </w:footnote>
  <w:footnote w:id="18">
    <w:p w14:paraId="0B7B4D47" w14:textId="77777777" w:rsidR="00941425" w:rsidRPr="001E75F1" w:rsidRDefault="00941425" w:rsidP="00875E70">
      <w:pPr>
        <w:pStyle w:val="FootnoteText"/>
        <w:spacing w:after="120"/>
        <w:jc w:val="both"/>
        <w:rPr>
          <w:rFonts w:ascii="Book Antiqua" w:hAnsi="Book Antiqua"/>
        </w:rPr>
      </w:pPr>
      <w:r w:rsidRPr="001E75F1">
        <w:rPr>
          <w:rStyle w:val="FootnoteReference"/>
          <w:rFonts w:ascii="Book Antiqua" w:hAnsi="Book Antiqua"/>
        </w:rPr>
        <w:footnoteRef/>
      </w:r>
      <w:r w:rsidRPr="001E75F1">
        <w:rPr>
          <w:rFonts w:ascii="Book Antiqua" w:hAnsi="Book Antiqua"/>
        </w:rPr>
        <w:t xml:space="preserve"> </w:t>
      </w:r>
      <w:proofErr w:type="gramStart"/>
      <w:r w:rsidRPr="001E75F1">
        <w:rPr>
          <w:rFonts w:ascii="Book Antiqua" w:hAnsi="Book Antiqua"/>
        </w:rPr>
        <w:t>www.fca.org.uk</w:t>
      </w:r>
      <w:proofErr w:type="gramEnd"/>
      <w:r w:rsidRPr="001E75F1">
        <w:rPr>
          <w:rFonts w:ascii="Book Antiqua" w:hAnsi="Book Antiqua"/>
        </w:rPr>
        <w:t>/markets/mifid-ii.</w:t>
      </w:r>
    </w:p>
  </w:footnote>
  <w:footnote w:id="19">
    <w:p w14:paraId="14504A5A" w14:textId="77777777" w:rsidR="00941425" w:rsidRPr="001E75F1" w:rsidRDefault="00941425" w:rsidP="00875E70">
      <w:pPr>
        <w:pStyle w:val="FootnoteText"/>
        <w:spacing w:after="120"/>
        <w:jc w:val="both"/>
        <w:rPr>
          <w:rFonts w:ascii="Book Antiqua" w:hAnsi="Book Antiqua"/>
        </w:rPr>
      </w:pPr>
      <w:r w:rsidRPr="001E75F1">
        <w:rPr>
          <w:rStyle w:val="FootnoteReference"/>
          <w:rFonts w:ascii="Book Antiqua" w:hAnsi="Book Antiqua"/>
        </w:rPr>
        <w:footnoteRef/>
      </w:r>
      <w:r w:rsidRPr="001E75F1">
        <w:rPr>
          <w:rFonts w:ascii="Book Antiqua" w:hAnsi="Book Antiqua"/>
        </w:rPr>
        <w:t xml:space="preserve"> Figures given in a letter dated 17 August 2016 from the FCA to the Chairman of the Treasury Committee.</w:t>
      </w:r>
    </w:p>
  </w:footnote>
  <w:footnote w:id="20">
    <w:p w14:paraId="674122F4" w14:textId="77777777" w:rsidR="00941425" w:rsidRPr="001E75F1" w:rsidRDefault="00941425" w:rsidP="00875E70">
      <w:pPr>
        <w:pStyle w:val="FootnoteText"/>
        <w:spacing w:after="120"/>
        <w:jc w:val="both"/>
        <w:rPr>
          <w:rFonts w:ascii="Book Antiqua" w:hAnsi="Book Antiqua"/>
        </w:rPr>
      </w:pPr>
      <w:r w:rsidRPr="001E75F1">
        <w:rPr>
          <w:rStyle w:val="FootnoteReference"/>
          <w:rFonts w:ascii="Book Antiqua" w:hAnsi="Book Antiqua"/>
        </w:rPr>
        <w:footnoteRef/>
      </w:r>
      <w:r w:rsidRPr="001E75F1">
        <w:rPr>
          <w:rFonts w:ascii="Book Antiqua" w:hAnsi="Book Antiqua"/>
        </w:rPr>
        <w:t xml:space="preserve"> See paragraph 21 below. </w:t>
      </w:r>
    </w:p>
  </w:footnote>
  <w:footnote w:id="21">
    <w:p w14:paraId="48E6D6B0" w14:textId="77777777" w:rsidR="00941425" w:rsidRPr="001E75F1" w:rsidRDefault="00941425" w:rsidP="00875E70">
      <w:pPr>
        <w:pStyle w:val="FootnoteText"/>
        <w:spacing w:after="120"/>
        <w:jc w:val="both"/>
        <w:rPr>
          <w:rFonts w:ascii="Book Antiqua" w:hAnsi="Book Antiqua"/>
        </w:rPr>
      </w:pPr>
      <w:r w:rsidRPr="001E75F1">
        <w:rPr>
          <w:rStyle w:val="FootnoteReference"/>
          <w:rFonts w:ascii="Book Antiqua" w:hAnsi="Book Antiqua"/>
        </w:rPr>
        <w:footnoteRef/>
      </w:r>
      <w:r w:rsidRPr="001E75F1">
        <w:rPr>
          <w:rFonts w:ascii="Book Antiqua" w:hAnsi="Book Antiqua"/>
        </w:rPr>
        <w:t xml:space="preserve"> </w:t>
      </w:r>
      <w:proofErr w:type="gramStart"/>
      <w:r w:rsidRPr="001E75F1">
        <w:rPr>
          <w:rFonts w:ascii="Book Antiqua" w:hAnsi="Book Antiqua"/>
        </w:rPr>
        <w:t>European Commission communication of 11 May 1999.</w:t>
      </w:r>
      <w:proofErr w:type="gramEnd"/>
    </w:p>
  </w:footnote>
  <w:footnote w:id="22">
    <w:p w14:paraId="5AC6F4EE" w14:textId="77777777" w:rsidR="00941425" w:rsidRPr="001E75F1" w:rsidRDefault="00941425" w:rsidP="00875E70">
      <w:pPr>
        <w:pStyle w:val="FootnoteText"/>
        <w:spacing w:after="120"/>
        <w:jc w:val="both"/>
        <w:rPr>
          <w:rFonts w:ascii="Book Antiqua" w:hAnsi="Book Antiqua"/>
        </w:rPr>
      </w:pPr>
      <w:r w:rsidRPr="001E75F1">
        <w:rPr>
          <w:rStyle w:val="FootnoteReference"/>
          <w:rFonts w:ascii="Book Antiqua" w:hAnsi="Book Antiqua"/>
        </w:rPr>
        <w:footnoteRef/>
      </w:r>
      <w:r w:rsidRPr="001E75F1">
        <w:rPr>
          <w:rFonts w:ascii="Book Antiqua" w:hAnsi="Book Antiqua"/>
        </w:rPr>
        <w:t xml:space="preserve"> </w:t>
      </w:r>
      <w:proofErr w:type="spellStart"/>
      <w:r w:rsidRPr="001E75F1">
        <w:rPr>
          <w:rFonts w:ascii="Book Antiqua" w:hAnsi="Book Antiqua"/>
        </w:rPr>
        <w:t>MiFID</w:t>
      </w:r>
      <w:proofErr w:type="spellEnd"/>
      <w:r w:rsidRPr="001E75F1">
        <w:rPr>
          <w:rFonts w:ascii="Book Antiqua" w:hAnsi="Book Antiqua"/>
        </w:rPr>
        <w:t xml:space="preserve"> has been developed using the </w:t>
      </w:r>
      <w:proofErr w:type="spellStart"/>
      <w:r w:rsidRPr="001E75F1">
        <w:rPr>
          <w:rFonts w:ascii="Book Antiqua" w:hAnsi="Book Antiqua"/>
        </w:rPr>
        <w:t>Lamfalussy</w:t>
      </w:r>
      <w:proofErr w:type="spellEnd"/>
      <w:r w:rsidRPr="001E75F1">
        <w:rPr>
          <w:rFonts w:ascii="Book Antiqua" w:hAnsi="Book Antiqua"/>
        </w:rPr>
        <w:t xml:space="preserve"> legislative process. Named after Baron </w:t>
      </w:r>
      <w:proofErr w:type="spellStart"/>
      <w:r w:rsidRPr="001E75F1">
        <w:rPr>
          <w:rFonts w:ascii="Book Antiqua" w:hAnsi="Book Antiqua"/>
        </w:rPr>
        <w:t>Lamfalussy</w:t>
      </w:r>
      <w:proofErr w:type="spellEnd"/>
      <w:r w:rsidRPr="001E75F1">
        <w:rPr>
          <w:rFonts w:ascii="Book Antiqua" w:hAnsi="Book Antiqua"/>
        </w:rPr>
        <w:t xml:space="preserve">, the chairman of the so-called “Committee of Wise Men” that devised it, the process was proposed in 2001 as a means of accelerating the development of European financial services legislation and enabling market experts to participate in the legislative process. The </w:t>
      </w:r>
      <w:proofErr w:type="spellStart"/>
      <w:r w:rsidRPr="001E75F1">
        <w:rPr>
          <w:rFonts w:ascii="Book Antiqua" w:hAnsi="Book Antiqua"/>
        </w:rPr>
        <w:t>Lamfalussy</w:t>
      </w:r>
      <w:proofErr w:type="spellEnd"/>
      <w:r w:rsidRPr="001E75F1">
        <w:rPr>
          <w:rFonts w:ascii="Book Antiqua" w:hAnsi="Book Antiqua"/>
        </w:rPr>
        <w:t xml:space="preserve"> approach to </w:t>
      </w:r>
      <w:proofErr w:type="gramStart"/>
      <w:r w:rsidRPr="001E75F1">
        <w:rPr>
          <w:rFonts w:ascii="Book Antiqua" w:hAnsi="Book Antiqua"/>
        </w:rPr>
        <w:t>law-making</w:t>
      </w:r>
      <w:proofErr w:type="gramEnd"/>
      <w:r w:rsidRPr="001E75F1">
        <w:rPr>
          <w:rFonts w:ascii="Book Antiqua" w:hAnsi="Book Antiqua"/>
        </w:rPr>
        <w:t xml:space="preserve"> involves the preparation of a framework “Level 1” Directive which establishes guiding principles and requirements. Subordinate “Level 2” measures are subsequently prepared during the Level 1 implementation period. Level 2 measures build technical detail on to the Level 1 framework and are formulated by the European Commission with the assistance of advice provided by the European Securities Committee, itself a creation of the </w:t>
      </w:r>
      <w:proofErr w:type="spellStart"/>
      <w:r w:rsidRPr="001E75F1">
        <w:rPr>
          <w:rFonts w:ascii="Book Antiqua" w:hAnsi="Book Antiqua"/>
        </w:rPr>
        <w:t>Lamfalussy</w:t>
      </w:r>
      <w:proofErr w:type="spellEnd"/>
      <w:r w:rsidRPr="001E75F1">
        <w:rPr>
          <w:rFonts w:ascii="Book Antiqua" w:hAnsi="Book Antiqua"/>
        </w:rPr>
        <w:t xml:space="preserve"> process. In support of these legislative measures are the Level 3 and Level 4 processes. At Level 3, the Committee of European Securities Regulators (CESR) works to develop recommendations, interpretative guidelines and common standards </w:t>
      </w:r>
      <w:proofErr w:type="gramStart"/>
      <w:r w:rsidRPr="001E75F1">
        <w:rPr>
          <w:rFonts w:ascii="Book Antiqua" w:hAnsi="Book Antiqua"/>
        </w:rPr>
        <w:t>which</w:t>
      </w:r>
      <w:proofErr w:type="gramEnd"/>
      <w:r w:rsidRPr="001E75F1">
        <w:rPr>
          <w:rFonts w:ascii="Book Antiqua" w:hAnsi="Book Antiqua"/>
        </w:rPr>
        <w:t xml:space="preserve"> aim to ensure the consistent implementation and application of the Level 1 and Level 2 legislative measures across the EU. Level 4 is concerned with supervision and enforcement: in essence, the Commission checks the compliance of Member States with Level 1 and Level 2 legislation and, where necessary and appropriate, takes action to ensure that it is observed and properly implemented. </w:t>
      </w:r>
      <w:proofErr w:type="spellStart"/>
      <w:r w:rsidRPr="001E75F1">
        <w:rPr>
          <w:rFonts w:ascii="Book Antiqua" w:hAnsi="Book Antiqua"/>
        </w:rPr>
        <w:t>MiFID</w:t>
      </w:r>
      <w:proofErr w:type="spellEnd"/>
      <w:r w:rsidRPr="001E75F1">
        <w:rPr>
          <w:rFonts w:ascii="Book Antiqua" w:hAnsi="Book Antiqua"/>
        </w:rPr>
        <w:t xml:space="preserve"> is a Level 1 Directive. </w:t>
      </w:r>
    </w:p>
  </w:footnote>
  <w:footnote w:id="23">
    <w:p w14:paraId="1DAF23E2" w14:textId="77777777" w:rsidR="00941425" w:rsidRPr="001E75F1" w:rsidRDefault="00941425" w:rsidP="00875E70">
      <w:pPr>
        <w:autoSpaceDE w:val="0"/>
        <w:autoSpaceDN w:val="0"/>
        <w:adjustRightInd w:val="0"/>
        <w:spacing w:after="120"/>
        <w:jc w:val="both"/>
        <w:rPr>
          <w:rFonts w:ascii="Book Antiqua" w:hAnsi="Book Antiqua" w:cs="Times New Roman"/>
          <w:sz w:val="20"/>
          <w:szCs w:val="20"/>
        </w:rPr>
      </w:pPr>
      <w:r w:rsidRPr="001E75F1">
        <w:rPr>
          <w:rStyle w:val="FootnoteReference"/>
          <w:rFonts w:ascii="Book Antiqua" w:hAnsi="Book Antiqua"/>
          <w:sz w:val="20"/>
          <w:szCs w:val="20"/>
        </w:rPr>
        <w:footnoteRef/>
      </w:r>
      <w:r w:rsidRPr="001E75F1">
        <w:rPr>
          <w:rFonts w:ascii="Book Antiqua" w:hAnsi="Book Antiqua" w:cs="Times New Roman"/>
          <w:sz w:val="20"/>
          <w:szCs w:val="20"/>
        </w:rPr>
        <w:t xml:space="preserve"> </w:t>
      </w:r>
      <w:r w:rsidRPr="001E75F1">
        <w:rPr>
          <w:rFonts w:ascii="Book Antiqua" w:hAnsi="Book Antiqua" w:cs="Times New Roman"/>
          <w:color w:val="303030"/>
          <w:sz w:val="20"/>
          <w:szCs w:val="20"/>
        </w:rPr>
        <w:t xml:space="preserve">The </w:t>
      </w:r>
      <w:proofErr w:type="spellStart"/>
      <w:r w:rsidRPr="001E75F1">
        <w:rPr>
          <w:rFonts w:ascii="Book Antiqua" w:hAnsi="Book Antiqua" w:cs="Times New Roman"/>
          <w:color w:val="303030"/>
          <w:sz w:val="20"/>
          <w:szCs w:val="20"/>
        </w:rPr>
        <w:t>MiFID</w:t>
      </w:r>
      <w:proofErr w:type="spellEnd"/>
      <w:r w:rsidRPr="001E75F1">
        <w:rPr>
          <w:rFonts w:ascii="Book Antiqua" w:hAnsi="Book Antiqua" w:cs="Times New Roman"/>
          <w:color w:val="303030"/>
          <w:sz w:val="20"/>
          <w:szCs w:val="20"/>
        </w:rPr>
        <w:t xml:space="preserve"> II 'Level 1' framework was agreed in 2014 - this contains two linked pieces of legislation: a revised </w:t>
      </w:r>
      <w:proofErr w:type="spellStart"/>
      <w:r w:rsidRPr="001E75F1">
        <w:rPr>
          <w:rFonts w:ascii="Book Antiqua" w:hAnsi="Book Antiqua" w:cs="Times New Roman"/>
          <w:color w:val="303030"/>
          <w:sz w:val="20"/>
          <w:szCs w:val="20"/>
        </w:rPr>
        <w:t>MiFID</w:t>
      </w:r>
      <w:proofErr w:type="spellEnd"/>
      <w:r w:rsidRPr="001E75F1">
        <w:rPr>
          <w:rFonts w:ascii="Book Antiqua" w:hAnsi="Book Antiqua" w:cs="Times New Roman"/>
          <w:color w:val="303030"/>
          <w:sz w:val="20"/>
          <w:szCs w:val="20"/>
        </w:rPr>
        <w:t> a</w:t>
      </w:r>
      <w:r w:rsidRPr="001E75F1">
        <w:rPr>
          <w:rFonts w:ascii="Book Antiqua" w:hAnsi="Book Antiqua" w:cs="Times New Roman"/>
          <w:color w:val="303030"/>
          <w:kern w:val="1"/>
          <w:sz w:val="20"/>
          <w:szCs w:val="20"/>
        </w:rPr>
        <w:t xml:space="preserve">nd </w:t>
      </w:r>
      <w:r w:rsidRPr="001E75F1">
        <w:rPr>
          <w:rFonts w:ascii="Book Antiqua" w:hAnsi="Book Antiqua" w:cs="Times New Roman"/>
          <w:color w:val="303030"/>
          <w:sz w:val="20"/>
          <w:szCs w:val="20"/>
        </w:rPr>
        <w:t>the Markets in Financial Instruments Regulation (</w:t>
      </w:r>
      <w:proofErr w:type="spellStart"/>
      <w:r w:rsidRPr="001E75F1">
        <w:rPr>
          <w:rFonts w:ascii="Book Antiqua" w:hAnsi="Book Antiqua" w:cs="Times New Roman"/>
          <w:color w:val="303030"/>
          <w:sz w:val="20"/>
          <w:szCs w:val="20"/>
        </w:rPr>
        <w:t>MiFIR</w:t>
      </w:r>
      <w:proofErr w:type="spellEnd"/>
      <w:r w:rsidRPr="001E75F1">
        <w:rPr>
          <w:rFonts w:ascii="Book Antiqua" w:hAnsi="Book Antiqua" w:cs="Times New Roman"/>
          <w:color w:val="303030"/>
          <w:sz w:val="20"/>
          <w:szCs w:val="20"/>
        </w:rPr>
        <w:t xml:space="preserve">). There is provision for Level 1 to be supplemented in many areas by various implementing measures (known as 'Level 2' legislation, referred to and explained in FN3, above). These measures take two forms: 'delegated acts', drafted by the Commission on the basis of advice by the European Securities and Markets Authority (ESMA), and 'technical standards', drafted by ESMA and approved by the Commission. </w:t>
      </w:r>
    </w:p>
    <w:p w14:paraId="63004B46" w14:textId="77777777" w:rsidR="00941425" w:rsidRPr="001E75F1" w:rsidRDefault="00941425" w:rsidP="00875E70">
      <w:pPr>
        <w:pStyle w:val="FootnoteText"/>
        <w:spacing w:after="120"/>
        <w:jc w:val="both"/>
        <w:rPr>
          <w:rFonts w:ascii="Book Antiqua" w:hAnsi="Book Antiqua"/>
        </w:rPr>
      </w:pPr>
    </w:p>
  </w:footnote>
  <w:footnote w:id="24">
    <w:p w14:paraId="1D54A2C9" w14:textId="77777777" w:rsidR="00941425" w:rsidRPr="001E75F1" w:rsidRDefault="00941425" w:rsidP="00875E70">
      <w:pPr>
        <w:pStyle w:val="FootnoteText"/>
        <w:spacing w:after="120"/>
        <w:rPr>
          <w:rFonts w:ascii="Book Antiqua" w:hAnsi="Book Antiqua"/>
        </w:rPr>
      </w:pPr>
      <w:r w:rsidRPr="001E75F1">
        <w:rPr>
          <w:rStyle w:val="FootnoteReference"/>
          <w:rFonts w:ascii="Book Antiqua" w:hAnsi="Book Antiqua"/>
        </w:rPr>
        <w:footnoteRef/>
      </w:r>
      <w:r w:rsidRPr="001E75F1">
        <w:rPr>
          <w:rFonts w:ascii="Book Antiqua" w:hAnsi="Book Antiqua"/>
        </w:rPr>
        <w:t xml:space="preserve"> See FN6 above. </w:t>
      </w:r>
    </w:p>
  </w:footnote>
  <w:footnote w:id="25">
    <w:p w14:paraId="52F5B124" w14:textId="77777777" w:rsidR="00941425" w:rsidRPr="001E75F1" w:rsidRDefault="00941425" w:rsidP="00875E70">
      <w:pPr>
        <w:pStyle w:val="FootnoteText"/>
        <w:spacing w:after="120"/>
        <w:jc w:val="both"/>
        <w:rPr>
          <w:rFonts w:ascii="Book Antiqua" w:hAnsi="Book Antiqua"/>
        </w:rPr>
      </w:pPr>
      <w:r w:rsidRPr="001E75F1">
        <w:rPr>
          <w:rStyle w:val="FootnoteReference"/>
          <w:rFonts w:ascii="Book Antiqua" w:hAnsi="Book Antiqua"/>
        </w:rPr>
        <w:footnoteRef/>
      </w:r>
      <w:r w:rsidRPr="001E75F1">
        <w:rPr>
          <w:rFonts w:ascii="Book Antiqua" w:hAnsi="Book Antiqua"/>
        </w:rPr>
        <w:t xml:space="preserve"> Section I of Annex II to Directive 2014/65/EU includes (for example) entities required to be authorised or regulated to operate in the financial markets, investment firms, institutional investors etc.</w:t>
      </w:r>
    </w:p>
  </w:footnote>
  <w:footnote w:id="26">
    <w:p w14:paraId="36998DCB" w14:textId="77777777" w:rsidR="00941425" w:rsidRPr="001E75F1" w:rsidRDefault="00941425" w:rsidP="00875E70">
      <w:pPr>
        <w:pStyle w:val="FootnoteText"/>
        <w:spacing w:after="120"/>
        <w:jc w:val="both"/>
        <w:rPr>
          <w:rFonts w:ascii="Book Antiqua" w:hAnsi="Book Antiqua"/>
        </w:rPr>
      </w:pPr>
      <w:r w:rsidRPr="001E75F1">
        <w:rPr>
          <w:rStyle w:val="FootnoteReference"/>
          <w:rFonts w:ascii="Book Antiqua" w:hAnsi="Book Antiqua"/>
        </w:rPr>
        <w:footnoteRef/>
      </w:r>
      <w:r w:rsidRPr="001E75F1">
        <w:rPr>
          <w:rFonts w:ascii="Book Antiqua" w:hAnsi="Book Antiqua"/>
        </w:rPr>
        <w:t xml:space="preserve"> For example, bilateral treaties between the UK and the EU might allow cross-border services to be provided. </w:t>
      </w:r>
      <w:r>
        <w:rPr>
          <w:rFonts w:ascii="Book Antiqua" w:hAnsi="Book Antiqua"/>
        </w:rPr>
        <w:t>See, for example,</w:t>
      </w:r>
      <w:r w:rsidRPr="001E75F1">
        <w:rPr>
          <w:rFonts w:ascii="Book Antiqua" w:hAnsi="Book Antiqua"/>
        </w:rPr>
        <w:t xml:space="preserve"> the arrangements allowing general insurers in Switzerland (not part of the EEA) to set up an establishment in the EEA).</w:t>
      </w:r>
    </w:p>
  </w:footnote>
  <w:footnote w:id="27">
    <w:p w14:paraId="3BE164CF" w14:textId="77777777" w:rsidR="00941425" w:rsidRDefault="00941425" w:rsidP="00875E70">
      <w:pPr>
        <w:pStyle w:val="FootnoteText"/>
      </w:pPr>
      <w:r>
        <w:rPr>
          <w:rStyle w:val="FootnoteReference"/>
        </w:rPr>
        <w:footnoteRef/>
      </w:r>
      <w:r>
        <w:t xml:space="preserve"> </w:t>
      </w:r>
      <w:hyperlink r:id="rId3" w:history="1">
        <w:r w:rsidRPr="0042218F">
          <w:rPr>
            <w:rStyle w:val="Hyperlink"/>
          </w:rPr>
          <w:t>http://eur-lex.europa.eu/legal-content/EN/TXT/?uri=CELEX:32014L0065</w:t>
        </w:r>
      </w:hyperlink>
    </w:p>
  </w:footnote>
  <w:footnote w:id="28">
    <w:p w14:paraId="4B274288"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The term “</w:t>
      </w:r>
      <w:r w:rsidRPr="00FB4A84">
        <w:rPr>
          <w:rFonts w:ascii="Book Antiqua" w:hAnsi="Book Antiqua"/>
          <w:i/>
        </w:rPr>
        <w:t>direct insurance</w:t>
      </w:r>
      <w:r w:rsidRPr="00FB4A84">
        <w:rPr>
          <w:rFonts w:ascii="Book Antiqua" w:hAnsi="Book Antiqua"/>
        </w:rPr>
        <w:t xml:space="preserve">” is sometimes used to refer to insurance concluded without the use of an intermediary, but we do not adopt that usage. </w:t>
      </w:r>
    </w:p>
  </w:footnote>
  <w:footnote w:id="29">
    <w:p w14:paraId="3C3044AF" w14:textId="77777777" w:rsidR="00941425" w:rsidRPr="00FB4A84" w:rsidRDefault="00941425" w:rsidP="00E832D6">
      <w:pPr>
        <w:pStyle w:val="FootnoteText"/>
        <w:spacing w:after="60"/>
        <w:jc w:val="both"/>
        <w:rPr>
          <w:rFonts w:ascii="Book Antiqua" w:hAnsi="Book Antiqua" w:cs="Times New Roman"/>
          <w:color w:val="000000" w:themeColor="text1"/>
        </w:rPr>
      </w:pPr>
      <w:r w:rsidRPr="00FB4A84">
        <w:rPr>
          <w:rStyle w:val="FootnoteReference"/>
          <w:rFonts w:ascii="Book Antiqua" w:hAnsi="Book Antiqua" w:cs="Times New Roman"/>
          <w:color w:val="000000" w:themeColor="text1"/>
        </w:rPr>
        <w:footnoteRef/>
      </w:r>
      <w:r w:rsidRPr="00FB4A84">
        <w:rPr>
          <w:rFonts w:ascii="Book Antiqua" w:hAnsi="Book Antiqua" w:cs="Times New Roman"/>
          <w:color w:val="000000" w:themeColor="text1"/>
        </w:rPr>
        <w:t xml:space="preserve"> Insurance mediation is defined in IMD Art 2.3 as the process of introducing, proposing or carrying out other work preparatory to the conclusion of contracts of insurance, or of concluding such contracts, or of assisting in the administration and performance of such contracts, in particular in the event of a claim.</w:t>
      </w:r>
      <w:r w:rsidRPr="00FB4A84">
        <w:rPr>
          <w:rStyle w:val="FootnoteReference"/>
          <w:rFonts w:ascii="Book Antiqua" w:hAnsi="Book Antiqua" w:cs="Times New Roman"/>
          <w:color w:val="000000" w:themeColor="text1"/>
        </w:rPr>
        <w:footnoteRef/>
      </w:r>
    </w:p>
  </w:footnote>
  <w:footnote w:id="30">
    <w:p w14:paraId="22C7B462" w14:textId="77777777" w:rsidR="00941425" w:rsidRPr="00FB4A84" w:rsidRDefault="00941425" w:rsidP="00E832D6">
      <w:pPr>
        <w:pStyle w:val="p1"/>
        <w:spacing w:after="60"/>
        <w:jc w:val="both"/>
        <w:rPr>
          <w:rFonts w:ascii="Book Antiqua" w:hAnsi="Book Antiqua"/>
          <w:color w:val="000000" w:themeColor="text1"/>
          <w:sz w:val="20"/>
          <w:szCs w:val="20"/>
        </w:rPr>
      </w:pPr>
      <w:r w:rsidRPr="00FB4A84">
        <w:rPr>
          <w:rStyle w:val="FootnoteReference"/>
          <w:rFonts w:ascii="Book Antiqua" w:hAnsi="Book Antiqua"/>
          <w:color w:val="000000" w:themeColor="text1"/>
          <w:sz w:val="20"/>
          <w:szCs w:val="20"/>
        </w:rPr>
        <w:footnoteRef/>
      </w:r>
      <w:r w:rsidRPr="00FB4A84">
        <w:rPr>
          <w:rFonts w:ascii="Book Antiqua" w:hAnsi="Book Antiqua"/>
          <w:color w:val="000000" w:themeColor="text1"/>
          <w:sz w:val="20"/>
          <w:szCs w:val="20"/>
        </w:rPr>
        <w:t xml:space="preserve"> See, for example, Expert Group on European Insurance Contract Law, Discussion Paper 6</w:t>
      </w:r>
    </w:p>
  </w:footnote>
  <w:footnote w:id="31">
    <w:p w14:paraId="625FE007" w14:textId="77777777" w:rsidR="00941425" w:rsidRPr="00FB4A84" w:rsidRDefault="00941425" w:rsidP="00E832D6">
      <w:pPr>
        <w:pStyle w:val="FootnoteText"/>
        <w:spacing w:after="60"/>
        <w:jc w:val="both"/>
        <w:rPr>
          <w:rFonts w:ascii="Book Antiqua" w:hAnsi="Book Antiqua" w:cs="Times New Roman"/>
          <w:color w:val="000000" w:themeColor="text1"/>
        </w:rPr>
      </w:pPr>
      <w:r w:rsidRPr="00FB4A84">
        <w:rPr>
          <w:rStyle w:val="FootnoteReference"/>
          <w:rFonts w:ascii="Book Antiqua" w:hAnsi="Book Antiqua" w:cs="Times New Roman"/>
          <w:color w:val="000000" w:themeColor="text1"/>
        </w:rPr>
        <w:footnoteRef/>
      </w:r>
      <w:r w:rsidRPr="00FB4A84">
        <w:rPr>
          <w:rFonts w:ascii="Book Antiqua" w:hAnsi="Book Antiqua" w:cs="Times New Roman"/>
          <w:color w:val="000000" w:themeColor="text1"/>
        </w:rPr>
        <w:t xml:space="preserve"> See Birds' Modern Insurance Law, John Birds, 10th Ed. (2016</w:t>
      </w:r>
      <w:proofErr w:type="gramStart"/>
      <w:r w:rsidRPr="00FB4A84">
        <w:rPr>
          <w:rFonts w:ascii="Book Antiqua" w:hAnsi="Book Antiqua" w:cs="Times New Roman"/>
          <w:color w:val="000000" w:themeColor="text1"/>
        </w:rPr>
        <w:t>) ,p</w:t>
      </w:r>
      <w:proofErr w:type="gramEnd"/>
      <w:r w:rsidRPr="00FB4A84">
        <w:rPr>
          <w:rFonts w:ascii="Book Antiqua" w:hAnsi="Book Antiqua" w:cs="Times New Roman"/>
          <w:color w:val="000000" w:themeColor="text1"/>
        </w:rPr>
        <w:t>. 5</w:t>
      </w:r>
    </w:p>
  </w:footnote>
  <w:footnote w:id="32">
    <w:p w14:paraId="132250E0" w14:textId="77777777" w:rsidR="00941425" w:rsidRPr="00FB4A84" w:rsidRDefault="00941425" w:rsidP="00E832D6">
      <w:pPr>
        <w:pStyle w:val="FootnoteText"/>
        <w:spacing w:after="60"/>
        <w:jc w:val="both"/>
        <w:rPr>
          <w:rFonts w:ascii="Book Antiqua" w:hAnsi="Book Antiqua" w:cs="Times New Roman"/>
          <w:color w:val="000000" w:themeColor="text1"/>
        </w:rPr>
      </w:pPr>
      <w:r w:rsidRPr="00FB4A84">
        <w:rPr>
          <w:rStyle w:val="FootnoteReference"/>
          <w:rFonts w:ascii="Book Antiqua" w:hAnsi="Book Antiqua" w:cs="Times New Roman"/>
          <w:color w:val="000000" w:themeColor="text1"/>
        </w:rPr>
        <w:footnoteRef/>
      </w:r>
      <w:r w:rsidRPr="00FB4A84">
        <w:rPr>
          <w:rFonts w:ascii="Book Antiqua" w:hAnsi="Book Antiqua" w:cs="Times New Roman"/>
          <w:color w:val="000000" w:themeColor="text1"/>
        </w:rPr>
        <w:t xml:space="preserve"> </w:t>
      </w:r>
      <w:proofErr w:type="spellStart"/>
      <w:r w:rsidRPr="00FB4A84">
        <w:rPr>
          <w:rFonts w:ascii="Book Antiqua" w:hAnsi="Book Antiqua" w:cs="Times New Roman"/>
          <w:color w:val="000000" w:themeColor="text1"/>
        </w:rPr>
        <w:t>Colinvaux’s</w:t>
      </w:r>
      <w:proofErr w:type="spellEnd"/>
      <w:r w:rsidRPr="00FB4A84">
        <w:rPr>
          <w:rFonts w:ascii="Book Antiqua" w:hAnsi="Book Antiqua" w:cs="Times New Roman"/>
          <w:color w:val="000000" w:themeColor="text1"/>
        </w:rPr>
        <w:t xml:space="preserve"> Law of Insurance, 11</w:t>
      </w:r>
      <w:r w:rsidRPr="00FB4A84">
        <w:rPr>
          <w:rFonts w:ascii="Book Antiqua" w:hAnsi="Book Antiqua" w:cs="Times New Roman"/>
          <w:color w:val="000000" w:themeColor="text1"/>
          <w:vertAlign w:val="superscript"/>
        </w:rPr>
        <w:t>th</w:t>
      </w:r>
      <w:r w:rsidRPr="00FB4A84">
        <w:rPr>
          <w:rFonts w:ascii="Book Antiqua" w:hAnsi="Book Antiqua" w:cs="Times New Roman"/>
          <w:color w:val="000000" w:themeColor="text1"/>
        </w:rPr>
        <w:t xml:space="preserve"> Ed. (2016), </w:t>
      </w:r>
      <w:proofErr w:type="spellStart"/>
      <w:r w:rsidRPr="00FB4A84">
        <w:rPr>
          <w:rFonts w:ascii="Book Antiqua" w:hAnsi="Book Antiqua" w:cs="Times New Roman"/>
          <w:color w:val="000000" w:themeColor="text1"/>
        </w:rPr>
        <w:t>Merkin</w:t>
      </w:r>
      <w:proofErr w:type="spellEnd"/>
      <w:r w:rsidRPr="00FB4A84">
        <w:rPr>
          <w:rFonts w:ascii="Book Antiqua" w:hAnsi="Book Antiqua" w:cs="Times New Roman"/>
          <w:color w:val="000000" w:themeColor="text1"/>
        </w:rPr>
        <w:t>, [18-001]</w:t>
      </w:r>
    </w:p>
  </w:footnote>
  <w:footnote w:id="33">
    <w:p w14:paraId="26855D2B" w14:textId="77777777" w:rsidR="00941425" w:rsidRPr="00FB4A84" w:rsidRDefault="00941425" w:rsidP="00E832D6">
      <w:pPr>
        <w:pStyle w:val="Level3"/>
        <w:numPr>
          <w:ilvl w:val="0"/>
          <w:numId w:val="0"/>
        </w:numPr>
        <w:spacing w:after="60" w:line="240" w:lineRule="auto"/>
        <w:rPr>
          <w:rFonts w:ascii="Book Antiqua" w:hAnsi="Book Antiqua" w:cs="Times New Roman"/>
          <w:color w:val="000000" w:themeColor="text1"/>
          <w:sz w:val="20"/>
          <w:szCs w:val="20"/>
        </w:rPr>
      </w:pPr>
      <w:r w:rsidRPr="00FB4A84">
        <w:rPr>
          <w:rStyle w:val="FootnoteReference"/>
          <w:rFonts w:ascii="Book Antiqua" w:hAnsi="Book Antiqua" w:cs="Times New Roman"/>
          <w:color w:val="000000" w:themeColor="text1"/>
          <w:sz w:val="20"/>
          <w:szCs w:val="20"/>
        </w:rPr>
        <w:footnoteRef/>
      </w:r>
      <w:r w:rsidRPr="00FB4A84">
        <w:rPr>
          <w:rFonts w:ascii="Book Antiqua" w:hAnsi="Book Antiqua" w:cs="Times New Roman"/>
          <w:color w:val="000000" w:themeColor="text1"/>
          <w:sz w:val="20"/>
          <w:szCs w:val="20"/>
        </w:rPr>
        <w:t xml:space="preserve"> </w:t>
      </w:r>
      <w:r w:rsidRPr="00FB4A84">
        <w:rPr>
          <w:rFonts w:ascii="Book Antiqua" w:hAnsi="Book Antiqua" w:cs="Times New Roman"/>
          <w:i/>
          <w:color w:val="000000" w:themeColor="text1"/>
          <w:sz w:val="20"/>
          <w:szCs w:val="20"/>
        </w:rPr>
        <w:t>Swiss Re: The essential guide to reinsurance</w:t>
      </w:r>
      <w:r w:rsidRPr="00FB4A84">
        <w:rPr>
          <w:rFonts w:ascii="Book Antiqua" w:hAnsi="Book Antiqua" w:cs="Times New Roman"/>
          <w:color w:val="000000" w:themeColor="text1"/>
          <w:sz w:val="20"/>
          <w:szCs w:val="20"/>
        </w:rPr>
        <w:t xml:space="preserve"> (2013) p. 9</w:t>
      </w:r>
    </w:p>
  </w:footnote>
  <w:footnote w:id="34">
    <w:p w14:paraId="65541283" w14:textId="77777777" w:rsidR="00941425" w:rsidRPr="00FB4A84" w:rsidRDefault="00941425" w:rsidP="00E832D6">
      <w:pPr>
        <w:pStyle w:val="FootnoteText"/>
        <w:spacing w:after="60"/>
        <w:jc w:val="both"/>
        <w:rPr>
          <w:rFonts w:ascii="Book Antiqua" w:hAnsi="Book Antiqua" w:cs="Times New Roman"/>
          <w:color w:val="000000" w:themeColor="text1"/>
        </w:rPr>
      </w:pPr>
      <w:r w:rsidRPr="00FB4A84">
        <w:rPr>
          <w:rStyle w:val="FootnoteReference"/>
          <w:rFonts w:ascii="Book Antiqua" w:hAnsi="Book Antiqua" w:cs="Times New Roman"/>
          <w:color w:val="000000" w:themeColor="text1"/>
        </w:rPr>
        <w:footnoteRef/>
      </w:r>
      <w:r w:rsidRPr="00FB4A84">
        <w:rPr>
          <w:rFonts w:ascii="Book Antiqua" w:hAnsi="Book Antiqua" w:cs="Times New Roman"/>
          <w:color w:val="000000" w:themeColor="text1"/>
        </w:rPr>
        <w:t xml:space="preserve"> Supplementing directive 2009/138/EU of the European Parliament and of the Council on the taking-up and pursuit of the business of Insurance and Reinsurance (Solvency II) – impact assessment for delegated acts.</w:t>
      </w:r>
    </w:p>
  </w:footnote>
  <w:footnote w:id="35">
    <w:p w14:paraId="655707E6" w14:textId="77777777" w:rsidR="00941425" w:rsidRPr="00FB4A84" w:rsidRDefault="00941425" w:rsidP="00E832D6">
      <w:pPr>
        <w:pStyle w:val="FootnoteText"/>
        <w:spacing w:after="60"/>
        <w:jc w:val="both"/>
        <w:rPr>
          <w:rFonts w:ascii="Book Antiqua" w:hAnsi="Book Antiqua" w:cs="Times New Roman"/>
          <w:color w:val="000000" w:themeColor="text1"/>
        </w:rPr>
      </w:pPr>
      <w:r w:rsidRPr="00FB4A84">
        <w:rPr>
          <w:rStyle w:val="FootnoteReference"/>
          <w:rFonts w:ascii="Book Antiqua" w:hAnsi="Book Antiqua" w:cs="Times New Roman"/>
          <w:color w:val="000000" w:themeColor="text1"/>
        </w:rPr>
        <w:footnoteRef/>
      </w:r>
      <w:r w:rsidRPr="00FB4A84">
        <w:rPr>
          <w:rFonts w:ascii="Book Antiqua" w:hAnsi="Book Antiqua" w:cs="Times New Roman"/>
          <w:color w:val="000000" w:themeColor="text1"/>
        </w:rPr>
        <w:t xml:space="preserve"> Oliver Wyman, The impact of the UK’s exit from the EU on the UK-based financial services sector, pp. 4; 19-22.</w:t>
      </w:r>
    </w:p>
  </w:footnote>
  <w:footnote w:id="36">
    <w:p w14:paraId="56D6FA5D"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Association of British Insurers, Key facts (2015)</w:t>
      </w:r>
    </w:p>
  </w:footnote>
  <w:footnote w:id="37">
    <w:p w14:paraId="104FACA3" w14:textId="77777777" w:rsidR="00941425" w:rsidRPr="00FB4A84" w:rsidRDefault="00941425" w:rsidP="00E832D6">
      <w:pPr>
        <w:pStyle w:val="FootnoteText"/>
        <w:spacing w:after="60"/>
        <w:jc w:val="both"/>
        <w:rPr>
          <w:rFonts w:ascii="Book Antiqua" w:hAnsi="Book Antiqua" w:cs="Times New Roman"/>
          <w:color w:val="000000" w:themeColor="text1"/>
        </w:rPr>
      </w:pPr>
      <w:r w:rsidRPr="00FB4A84">
        <w:rPr>
          <w:rStyle w:val="FootnoteReference"/>
          <w:rFonts w:ascii="Book Antiqua" w:hAnsi="Book Antiqua" w:cs="Times New Roman"/>
          <w:color w:val="000000" w:themeColor="text1"/>
        </w:rPr>
        <w:footnoteRef/>
      </w:r>
      <w:r w:rsidRPr="00FB4A84">
        <w:rPr>
          <w:rFonts w:ascii="Book Antiqua" w:hAnsi="Book Antiqua" w:cs="Times New Roman"/>
          <w:color w:val="000000" w:themeColor="text1"/>
        </w:rPr>
        <w:t xml:space="preserve"> Oliver Wyman, The impact of the UK’s exit from the EU on the UK-based financial services sector, pp. 4; 19-22.</w:t>
      </w:r>
    </w:p>
  </w:footnote>
  <w:footnote w:id="38">
    <w:p w14:paraId="5B9E9D70"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w:t>
      </w:r>
      <w:proofErr w:type="gramStart"/>
      <w:r w:rsidRPr="00FB4A84">
        <w:rPr>
          <w:rFonts w:ascii="Book Antiqua" w:hAnsi="Book Antiqua"/>
        </w:rPr>
        <w:t>Association of British Insurers, Key facts (2015), p. 8.</w:t>
      </w:r>
      <w:proofErr w:type="gramEnd"/>
    </w:p>
  </w:footnote>
  <w:footnote w:id="39">
    <w:p w14:paraId="6F0AC2AD"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IMD was to be transposed by Member States by 15 January 2005.</w:t>
      </w:r>
    </w:p>
  </w:footnote>
  <w:footnote w:id="40">
    <w:p w14:paraId="0ADB63C2"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w:t>
      </w:r>
      <w:proofErr w:type="gramStart"/>
      <w:r w:rsidRPr="00FB4A84">
        <w:rPr>
          <w:rFonts w:ascii="Book Antiqua" w:hAnsi="Book Antiqua"/>
        </w:rPr>
        <w:t>IMD1 recitals 5 and 7.</w:t>
      </w:r>
      <w:proofErr w:type="gramEnd"/>
    </w:p>
  </w:footnote>
  <w:footnote w:id="41">
    <w:p w14:paraId="1D8EB52A"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NB the speech by Sharon Bowles MEP dated 10 December 2010.</w:t>
      </w:r>
    </w:p>
  </w:footnote>
  <w:footnote w:id="42">
    <w:p w14:paraId="06C8BBC4"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Commission Staff Working Paper: Consultation document on the Review of the Insurance Mediation Directive (IMD), pp. 5-8.</w:t>
      </w:r>
    </w:p>
  </w:footnote>
  <w:footnote w:id="43">
    <w:p w14:paraId="5DD807D2"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IDD is to be transposed by Member States by 23 February 2018.</w:t>
      </w:r>
    </w:p>
  </w:footnote>
  <w:footnote w:id="44">
    <w:p w14:paraId="43B0F747"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w:t>
      </w:r>
      <w:proofErr w:type="gramStart"/>
      <w:r w:rsidRPr="00FB4A84">
        <w:rPr>
          <w:rFonts w:ascii="Book Antiqua" w:hAnsi="Book Antiqua"/>
        </w:rPr>
        <w:t>IDD recitals 6 and 7.</w:t>
      </w:r>
      <w:proofErr w:type="gramEnd"/>
    </w:p>
  </w:footnote>
  <w:footnote w:id="45">
    <w:p w14:paraId="770B3F86"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w:t>
      </w:r>
      <w:proofErr w:type="gramStart"/>
      <w:r w:rsidRPr="00FB4A84">
        <w:rPr>
          <w:rFonts w:ascii="Book Antiqua" w:hAnsi="Book Antiqua"/>
        </w:rPr>
        <w:t>Such as the PRIPs Regulation, Solvency II and the Payment Accounts Directive.</w:t>
      </w:r>
      <w:proofErr w:type="gramEnd"/>
    </w:p>
  </w:footnote>
  <w:footnote w:id="46">
    <w:p w14:paraId="0590E4A1"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w:t>
      </w:r>
      <w:r w:rsidRPr="00FB4A84">
        <w:rPr>
          <w:rFonts w:ascii="Book Antiqua" w:hAnsi="Book Antiqua"/>
        </w:rPr>
        <w:tab/>
        <w:t>Article 2(1) 1</w:t>
      </w:r>
      <w:r w:rsidRPr="00FB4A84">
        <w:rPr>
          <w:rFonts w:ascii="Book Antiqua" w:hAnsi="Book Antiqua"/>
          <w:vertAlign w:val="superscript"/>
        </w:rPr>
        <w:t>st</w:t>
      </w:r>
      <w:r w:rsidRPr="00FB4A84">
        <w:rPr>
          <w:rFonts w:ascii="Book Antiqua" w:hAnsi="Book Antiqua"/>
        </w:rPr>
        <w:t xml:space="preserve"> paragraph reads: “This Directive shall apply to direct life and non-life insurance undertakings which are established in the territory of a Member State or which wish to become established there”.</w:t>
      </w:r>
    </w:p>
  </w:footnote>
  <w:footnote w:id="47">
    <w:p w14:paraId="229FAC2A"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w:t>
      </w:r>
      <w:r w:rsidRPr="00FB4A84">
        <w:rPr>
          <w:rFonts w:ascii="Book Antiqua" w:hAnsi="Book Antiqua"/>
        </w:rPr>
        <w:tab/>
        <w:t xml:space="preserve">See the minutes at </w:t>
      </w:r>
      <w:hyperlink r:id="rId4" w:history="1">
        <w:r w:rsidRPr="00FB4A84">
          <w:rPr>
            <w:rStyle w:val="Hyperlink"/>
            <w:rFonts w:ascii="Book Antiqua" w:hAnsi="Book Antiqua"/>
          </w:rPr>
          <w:t>http://ec.europa.eu/finance/general-policy/docs/expert-group/150714-minutes_en.pdf</w:t>
        </w:r>
      </w:hyperlink>
      <w:r w:rsidRPr="00FB4A84">
        <w:rPr>
          <w:rFonts w:ascii="Book Antiqua" w:hAnsi="Book Antiqua"/>
        </w:rPr>
        <w:t xml:space="preserve">. </w:t>
      </w:r>
      <w:proofErr w:type="gramStart"/>
      <w:r w:rsidRPr="00FB4A84">
        <w:rPr>
          <w:rFonts w:ascii="Book Antiqua" w:hAnsi="Book Antiqua"/>
        </w:rPr>
        <w:t>p2</w:t>
      </w:r>
      <w:proofErr w:type="gramEnd"/>
      <w:r w:rsidRPr="00FB4A84">
        <w:rPr>
          <w:rFonts w:ascii="Book Antiqua" w:hAnsi="Book Antiqua"/>
        </w:rPr>
        <w:t xml:space="preserve"> section 4.</w:t>
      </w:r>
    </w:p>
  </w:footnote>
  <w:footnote w:id="48">
    <w:p w14:paraId="629C7929"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w:t>
      </w:r>
      <w:r w:rsidRPr="00FB4A84">
        <w:rPr>
          <w:rFonts w:ascii="Book Antiqua" w:hAnsi="Book Antiqua"/>
        </w:rPr>
        <w:tab/>
        <w:t xml:space="preserve">This is stated for example in the Clifford Chance Briefing note at </w:t>
      </w:r>
      <w:hyperlink r:id="rId5" w:history="1">
        <w:r w:rsidRPr="00FB4A84">
          <w:rPr>
            <w:rStyle w:val="Hyperlink"/>
            <w:rFonts w:ascii="Book Antiqua" w:hAnsi="Book Antiqua"/>
          </w:rPr>
          <w:t>https://www.cliffordchance.com/briefings/2016/03/brexit_-_insurancesectoranalysis.html</w:t>
        </w:r>
      </w:hyperlink>
      <w:proofErr w:type="gramStart"/>
      <w:r w:rsidRPr="00FB4A84">
        <w:rPr>
          <w:rFonts w:ascii="Book Antiqua" w:hAnsi="Book Antiqua"/>
        </w:rPr>
        <w:t xml:space="preserve"> .</w:t>
      </w:r>
      <w:proofErr w:type="gramEnd"/>
      <w:r w:rsidRPr="00FB4A84">
        <w:rPr>
          <w:rFonts w:ascii="Book Antiqua" w:hAnsi="Book Antiqua"/>
        </w:rPr>
        <w:t xml:space="preserve">  This may not be the position in Germany: other commentators suggest that Germany and some other Member States permit “home-foreign insurance” on the basis of reverse solicitation i.e. where the EEA person takes the initiative in seeking insurance from a third country insurer: which may be a viable business model for wholesale, as opposed to retail, insurance business (see </w:t>
      </w:r>
      <w:hyperlink r:id="rId6" w:history="1">
        <w:r w:rsidRPr="00FB4A84">
          <w:rPr>
            <w:rStyle w:val="Hyperlink"/>
            <w:rFonts w:ascii="Book Antiqua" w:hAnsi="Book Antiqua"/>
          </w:rPr>
          <w:t>http://www.shearman.com/~/media/Files/NewsInsights/Publications/2016/07/Brexit-Implications-for-the-Insurance-and-Reinsurance-Industry-INS-071916.pdf</w:t>
        </w:r>
      </w:hyperlink>
      <w:r w:rsidRPr="00FB4A84">
        <w:rPr>
          <w:rFonts w:ascii="Book Antiqua" w:hAnsi="Book Antiqua"/>
        </w:rPr>
        <w:t xml:space="preserve">  at p4).</w:t>
      </w:r>
    </w:p>
    <w:p w14:paraId="27E0F2B0" w14:textId="77777777" w:rsidR="00941425" w:rsidRPr="00FB4A84" w:rsidRDefault="00941425" w:rsidP="00E832D6">
      <w:pPr>
        <w:pStyle w:val="FootnoteText"/>
        <w:spacing w:after="60"/>
        <w:jc w:val="both"/>
        <w:rPr>
          <w:rFonts w:ascii="Book Antiqua" w:hAnsi="Book Antiqua"/>
        </w:rPr>
      </w:pPr>
      <w:r w:rsidRPr="00FB4A84">
        <w:rPr>
          <w:rFonts w:ascii="Book Antiqua" w:hAnsi="Book Antiqua"/>
        </w:rPr>
        <w:t xml:space="preserve">In addition, it has been suggested that in the case of reinsurance, it may be easier under local laws for firms to avoid the regulatory net by keeping activities offshore: see </w:t>
      </w:r>
      <w:hyperlink r:id="rId7" w:history="1">
        <w:r w:rsidRPr="00FB4A84">
          <w:rPr>
            <w:rStyle w:val="Hyperlink"/>
            <w:rFonts w:ascii="Book Antiqua" w:hAnsi="Book Antiqua"/>
          </w:rPr>
          <w:t>http://www.sidley.com/~/media/publications/reactions-membery-dannheisser.pdf</w:t>
        </w:r>
      </w:hyperlink>
      <w:proofErr w:type="gramStart"/>
      <w:r w:rsidRPr="00FB4A84">
        <w:rPr>
          <w:rFonts w:ascii="Book Antiqua" w:hAnsi="Book Antiqua"/>
        </w:rPr>
        <w:t xml:space="preserve"> .</w:t>
      </w:r>
      <w:proofErr w:type="gramEnd"/>
    </w:p>
  </w:footnote>
  <w:footnote w:id="49">
    <w:p w14:paraId="7BCB06C7"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There is also provision in Article 172(4)-(6) for grants of temporary equivalence.</w:t>
      </w:r>
    </w:p>
  </w:footnote>
  <w:footnote w:id="50">
    <w:p w14:paraId="36CFED04"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Except in relation to captive and special purpose reinsurers.</w:t>
      </w:r>
    </w:p>
  </w:footnote>
  <w:footnote w:id="51">
    <w:p w14:paraId="61C47B82"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Articles 213(2)(a) and (b) </w:t>
      </w:r>
    </w:p>
  </w:footnote>
  <w:footnote w:id="52">
    <w:p w14:paraId="49C307E3"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w:t>
      </w:r>
      <w:proofErr w:type="gramStart"/>
      <w:r w:rsidRPr="00FB4A84">
        <w:rPr>
          <w:rFonts w:ascii="Book Antiqua" w:hAnsi="Book Antiqua"/>
        </w:rPr>
        <w:t>Solvency II, Article 1(1).</w:t>
      </w:r>
      <w:proofErr w:type="gramEnd"/>
      <w:r w:rsidRPr="00FB4A84">
        <w:rPr>
          <w:rFonts w:ascii="Book Antiqua" w:hAnsi="Book Antiqua"/>
        </w:rPr>
        <w:t xml:space="preserve">  </w:t>
      </w:r>
    </w:p>
  </w:footnote>
  <w:footnote w:id="53">
    <w:p w14:paraId="5A126B40"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See e.g. Solvency II, Article 15(1), which provides that authorisation shall ‘permit insurance and reinsurance undertakings to pursue business’ throughout the EU, and similarly Article 73(1). </w:t>
      </w:r>
    </w:p>
  </w:footnote>
  <w:footnote w:id="54">
    <w:p w14:paraId="0FA963A6"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E.g. Solvency II, Article 200, regarding legal expenses insurance.</w:t>
      </w:r>
    </w:p>
  </w:footnote>
  <w:footnote w:id="55">
    <w:p w14:paraId="70609245"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E.g. Solvency II, Article 185(5) regarding life insurance. </w:t>
      </w:r>
    </w:p>
  </w:footnote>
  <w:footnote w:id="56">
    <w:p w14:paraId="43D85F65"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Sean McGovern, Lloyd’s chief risk officer, speech on 10.02.16.</w:t>
      </w:r>
    </w:p>
  </w:footnote>
  <w:footnote w:id="57">
    <w:p w14:paraId="5ED0891F"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John Nelson, Lloyd’s chairman, speech on 05.09.16.</w:t>
      </w:r>
    </w:p>
  </w:footnote>
  <w:footnote w:id="58">
    <w:p w14:paraId="01294587"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22.09.16, </w:t>
      </w:r>
      <w:r w:rsidRPr="00FB4A84">
        <w:rPr>
          <w:rFonts w:ascii="Book Antiqua" w:hAnsi="Book Antiqua"/>
          <w:i/>
        </w:rPr>
        <w:t>The Guardian</w:t>
      </w:r>
      <w:r w:rsidRPr="00FB4A84">
        <w:rPr>
          <w:rFonts w:ascii="Book Antiqua" w:hAnsi="Book Antiqua"/>
        </w:rPr>
        <w:t xml:space="preserve">, “Lloyd’s considers opening EU subsidiary to be ready for </w:t>
      </w:r>
      <w:proofErr w:type="spellStart"/>
      <w:r w:rsidRPr="00FB4A84">
        <w:rPr>
          <w:rFonts w:ascii="Book Antiqua" w:hAnsi="Book Antiqua"/>
        </w:rPr>
        <w:t>Brexit</w:t>
      </w:r>
      <w:proofErr w:type="spellEnd"/>
      <w:r w:rsidRPr="00FB4A84">
        <w:rPr>
          <w:rFonts w:ascii="Book Antiqua" w:hAnsi="Book Antiqua"/>
        </w:rPr>
        <w:t>”.</w:t>
      </w:r>
    </w:p>
  </w:footnote>
  <w:footnote w:id="59">
    <w:p w14:paraId="275D08A9"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http://www.inhouselawyer.co.uk/index.php/mag-feature/the-new-order/</w:t>
      </w:r>
    </w:p>
  </w:footnote>
  <w:footnote w:id="60">
    <w:p w14:paraId="37221336"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Anthony Baldwin, AIG’s chief executive for the UK and EU, speech on 22.11.16 to the ABI.</w:t>
      </w:r>
    </w:p>
  </w:footnote>
  <w:footnote w:id="61">
    <w:p w14:paraId="3147DF77"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The Comprehensive Economic and Trade Agreement between the EU and Canada.</w:t>
      </w:r>
    </w:p>
  </w:footnote>
  <w:footnote w:id="62">
    <w:p w14:paraId="2D54961F" w14:textId="77777777" w:rsidR="00941425" w:rsidRPr="00FB4A84" w:rsidRDefault="00941425" w:rsidP="00E832D6">
      <w:pPr>
        <w:pStyle w:val="FootnoteText"/>
        <w:spacing w:after="60"/>
        <w:jc w:val="both"/>
        <w:rPr>
          <w:rFonts w:ascii="Book Antiqua" w:hAnsi="Book Antiqua"/>
        </w:rPr>
      </w:pPr>
      <w:r w:rsidRPr="00FB4A84">
        <w:rPr>
          <w:rStyle w:val="FootnoteReference"/>
          <w:rFonts w:ascii="Book Antiqua" w:hAnsi="Book Antiqua"/>
        </w:rPr>
        <w:footnoteRef/>
      </w:r>
      <w:r w:rsidRPr="00FB4A84">
        <w:rPr>
          <w:rFonts w:ascii="Book Antiqua" w:hAnsi="Book Antiqua"/>
        </w:rPr>
        <w:t xml:space="preserve"> NB the definition of financial services under CETA, which includes insurance, reinsurance and insurance intermediation.</w:t>
      </w:r>
    </w:p>
  </w:footnote>
  <w:footnote w:id="63">
    <w:p w14:paraId="0439369B"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A </w:t>
      </w:r>
      <w:r>
        <w:rPr>
          <w:rFonts w:ascii="Book Antiqua" w:hAnsi="Book Antiqua"/>
        </w:rPr>
        <w:t>“</w:t>
      </w:r>
      <w:r w:rsidRPr="00775E33">
        <w:rPr>
          <w:rFonts w:ascii="Book Antiqua" w:hAnsi="Book Antiqua"/>
        </w:rPr>
        <w:t>reclaim fund</w:t>
      </w:r>
      <w:r>
        <w:rPr>
          <w:rFonts w:ascii="Book Antiqua" w:hAnsi="Book Antiqua"/>
        </w:rPr>
        <w:t>”</w:t>
      </w:r>
      <w:r w:rsidRPr="00775E33">
        <w:rPr>
          <w:rFonts w:ascii="Book Antiqua" w:hAnsi="Book Antiqua"/>
        </w:rPr>
        <w:t xml:space="preserve"> is a company established pursuant to the Dormant Bank and Building Society Accounts Act 2008.  Reclaim funds are intended to enable the distribution of money in dormant bank and building society accounts for the benefit of the community, whilst ensuring the right of owners to reclaim their money is protected.  Under FSMA 2000, s. 106A(1) a scheme is a reclaim fund business transfer scheme if, under the scheme, the whole or part of the business carried on by a reclaim fund is to be transferred to one or more other reclaim funds.</w:t>
      </w:r>
    </w:p>
  </w:footnote>
  <w:footnote w:id="64">
    <w:p w14:paraId="21F08B43"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In response to the 2008 to 2009 financial crisis the Financial Services (Banking Reform) Act 2013 established a bank ring-fencing regime.  In broad outline, the regime requires UK banking groups that have retail banking operations above a specified size to ensure that retail banking operations are carried on only through ‘ring-fenced bodies’: group legal entities that are (a) separate from group legal entities undertaking wholesale and investment banking activities; and (b) required to operate in compliance with the ring-fencing regime.  Under FSMA 2000, s. 106B, a scheme is a ring fencing transfer scheme if, amongst other conditions, it is to be made for a specified purpose connected with the implementation of the ring-fencing regime.</w:t>
      </w:r>
    </w:p>
  </w:footnote>
  <w:footnote w:id="65">
    <w:p w14:paraId="241B5099"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See, for example, Proctor, ‘Bank Restructuring under the Financial Services and Markets Act’, [2003] JIBRL, p. 471.</w:t>
      </w:r>
    </w:p>
  </w:footnote>
  <w:footnote w:id="66">
    <w:p w14:paraId="46EFCD75"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There are four basic pre-conditions.  First, the scheme must fall within the definition of a scheme for that type of business, set out FSMA 2000, ss.105 to 106B.  Footnotes </w:t>
      </w:r>
      <w:r w:rsidRPr="00775E33">
        <w:rPr>
          <w:rFonts w:ascii="Book Antiqua" w:hAnsi="Book Antiqua"/>
        </w:rPr>
        <w:fldChar w:fldCharType="begin"/>
      </w:r>
      <w:r w:rsidRPr="00775E33">
        <w:rPr>
          <w:rFonts w:ascii="Book Antiqua" w:hAnsi="Book Antiqua"/>
        </w:rPr>
        <w:instrText xml:space="preserve"> NOTEREF _Ref470709411 \h </w:instrText>
      </w:r>
      <w:r w:rsidRPr="00775E33">
        <w:rPr>
          <w:rFonts w:ascii="Book Antiqua" w:hAnsi="Book Antiqua"/>
        </w:rPr>
      </w:r>
      <w:r w:rsidRPr="00775E33">
        <w:rPr>
          <w:rFonts w:ascii="Book Antiqua" w:hAnsi="Book Antiqua"/>
        </w:rPr>
        <w:fldChar w:fldCharType="separate"/>
      </w:r>
      <w:r w:rsidRPr="00775E33">
        <w:rPr>
          <w:rFonts w:ascii="Book Antiqua" w:hAnsi="Book Antiqua"/>
        </w:rPr>
        <w:t>1</w:t>
      </w:r>
      <w:r w:rsidRPr="00775E33">
        <w:rPr>
          <w:rFonts w:ascii="Book Antiqua" w:hAnsi="Book Antiqua"/>
        </w:rPr>
        <w:fldChar w:fldCharType="end"/>
      </w:r>
      <w:r w:rsidRPr="00775E33">
        <w:rPr>
          <w:rFonts w:ascii="Book Antiqua" w:hAnsi="Book Antiqua"/>
        </w:rPr>
        <w:t xml:space="preserve"> and </w:t>
      </w:r>
      <w:r w:rsidRPr="00775E33">
        <w:rPr>
          <w:rFonts w:ascii="Book Antiqua" w:hAnsi="Book Antiqua"/>
        </w:rPr>
        <w:fldChar w:fldCharType="begin"/>
      </w:r>
      <w:r w:rsidRPr="00775E33">
        <w:rPr>
          <w:rFonts w:ascii="Book Antiqua" w:hAnsi="Book Antiqua"/>
        </w:rPr>
        <w:instrText xml:space="preserve"> NOTEREF _Ref470709425 </w:instrText>
      </w:r>
      <w:r w:rsidRPr="00775E33">
        <w:rPr>
          <w:rFonts w:ascii="Book Antiqua" w:hAnsi="Book Antiqua"/>
        </w:rPr>
        <w:fldChar w:fldCharType="separate"/>
      </w:r>
      <w:r w:rsidRPr="00775E33">
        <w:rPr>
          <w:rFonts w:ascii="Book Antiqua" w:hAnsi="Book Antiqua"/>
        </w:rPr>
        <w:t>2</w:t>
      </w:r>
      <w:r w:rsidRPr="00775E33">
        <w:rPr>
          <w:rFonts w:ascii="Book Antiqua" w:hAnsi="Book Antiqua"/>
        </w:rPr>
        <w:fldChar w:fldCharType="end"/>
      </w:r>
      <w:r w:rsidRPr="00775E33">
        <w:rPr>
          <w:rFonts w:ascii="Book Antiqua" w:hAnsi="Book Antiqua"/>
        </w:rPr>
        <w:t xml:space="preserve"> above touch on the definition of reclaim fund transfer schemes and ring-fencing transfer schemes.  A more prosaic example is FSMA 2000, s. 105(3), which provides that a scheme is not an insurance business transfer scheme if, amongst other possibilities, the transferor concerned is a friendly society.  Second, under FSMA 2000, s. 108(2) the Court may not determine an application for the sanction of a scheme unless the applicant has complied with any ‘requirements on applicants’ imposed by way of subordinate legislation.  In the main, these requirements relate to publicity for the scheme.  Third, the Court must be satisfied that the appropriate certificates have been obtained, as set out in FSMA 2000, s. 111(2)(a) to (</w:t>
      </w:r>
      <w:proofErr w:type="spellStart"/>
      <w:r w:rsidRPr="00775E33">
        <w:rPr>
          <w:rFonts w:ascii="Book Antiqua" w:hAnsi="Book Antiqua"/>
        </w:rPr>
        <w:t>ab</w:t>
      </w:r>
      <w:proofErr w:type="spellEnd"/>
      <w:r w:rsidRPr="00775E33">
        <w:rPr>
          <w:rFonts w:ascii="Book Antiqua" w:hAnsi="Book Antiqua"/>
        </w:rPr>
        <w:t>), read with FSMA 2000, Schedule 12.  For example, in relation to a banking business transfer scheme the relevant financial regulator must have certified that, taking the proposed transfer into account, the transferee has, or will have before the scheme takes effect, adequate financial resources.  Fourth, under FSMA 2000, s. 111(2)(c), the Court must be satisfied that transferee has, or will have before the scheme takes effect, the authorisation required (if any), to enable the transferring business to be lawfully carried on in the place to which it is to be transferred.</w:t>
      </w:r>
    </w:p>
  </w:footnote>
  <w:footnote w:id="67">
    <w:p w14:paraId="78A9CD1A"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FSMA 2000, s. 111(3).</w:t>
      </w:r>
    </w:p>
  </w:footnote>
  <w:footnote w:id="68">
    <w:p w14:paraId="252E6937"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w:t>
      </w:r>
      <w:r w:rsidRPr="00775E33">
        <w:rPr>
          <w:rFonts w:ascii="Book Antiqua" w:hAnsi="Book Antiqua"/>
          <w:i/>
        </w:rPr>
        <w:t>In re Pearl Assurance</w:t>
      </w:r>
      <w:r w:rsidRPr="00775E33">
        <w:rPr>
          <w:rFonts w:ascii="Book Antiqua" w:hAnsi="Book Antiqua"/>
        </w:rPr>
        <w:t xml:space="preserve"> [2006] EWHC 2291 (</w:t>
      </w:r>
      <w:proofErr w:type="spellStart"/>
      <w:r w:rsidRPr="00775E33">
        <w:rPr>
          <w:rFonts w:ascii="Book Antiqua" w:hAnsi="Book Antiqua"/>
        </w:rPr>
        <w:t>Ch</w:t>
      </w:r>
      <w:proofErr w:type="spellEnd"/>
      <w:r w:rsidRPr="00775E33">
        <w:rPr>
          <w:rFonts w:ascii="Book Antiqua" w:hAnsi="Book Antiqua"/>
        </w:rPr>
        <w:t>), per Briggs J, at [6].</w:t>
      </w:r>
    </w:p>
  </w:footnote>
  <w:footnote w:id="69">
    <w:p w14:paraId="008725BF"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Defined in FSMA 2000, s. 112(12) to include ‘property, rights and powers of any description’.</w:t>
      </w:r>
    </w:p>
  </w:footnote>
  <w:footnote w:id="70">
    <w:p w14:paraId="5BBFBDCB"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Defined in FSMA 2000, s. 112(3), to include ‘duties’.</w:t>
      </w:r>
    </w:p>
  </w:footnote>
  <w:footnote w:id="71">
    <w:p w14:paraId="65E0F16E"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FSMA 2000, s. 112(4): ‘if any property or liability included in the order is governed by the law of any country or territory outside the United Kingdom, the order may require the transferor concerned … if the transferee so requires, to take all necessary steps for securing that the transfer to the transferee of the property or liability is fully effective under the law of that country or territory.’  A somewhat different regime applies in relation to insurance business transfers.</w:t>
      </w:r>
    </w:p>
  </w:footnote>
  <w:footnote w:id="72">
    <w:p w14:paraId="019B08B8"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w:t>
      </w:r>
      <w:proofErr w:type="gramStart"/>
      <w:r w:rsidRPr="00B51667">
        <w:rPr>
          <w:rFonts w:ascii="Book Antiqua" w:hAnsi="Book Antiqua"/>
        </w:rPr>
        <w:t>For example, because at common law the novation of a liability requires the consent of the creditor.</w:t>
      </w:r>
      <w:proofErr w:type="gramEnd"/>
    </w:p>
  </w:footnote>
  <w:footnote w:id="73">
    <w:p w14:paraId="33AA22B5"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See </w:t>
      </w:r>
      <w:r w:rsidRPr="00B51667">
        <w:rPr>
          <w:rFonts w:ascii="Book Antiqua" w:hAnsi="Book Antiqua"/>
          <w:i/>
        </w:rPr>
        <w:t>Re Carter Allen</w:t>
      </w:r>
      <w:r w:rsidRPr="00B51667">
        <w:rPr>
          <w:rFonts w:ascii="Book Antiqua" w:hAnsi="Book Antiqua"/>
        </w:rPr>
        <w:t xml:space="preserve"> (unreported 30 April 2002), per Laddie J (banking business transfer scheme); and </w:t>
      </w:r>
      <w:r w:rsidRPr="00B51667">
        <w:rPr>
          <w:rFonts w:ascii="Book Antiqua" w:hAnsi="Book Antiqua"/>
          <w:i/>
        </w:rPr>
        <w:t>WASA International (UK) Insurance Co v WASA International Insurance Co Ltd</w:t>
      </w:r>
      <w:r w:rsidRPr="00B51667">
        <w:rPr>
          <w:rFonts w:ascii="Book Antiqua" w:hAnsi="Book Antiqua"/>
        </w:rPr>
        <w:t xml:space="preserve"> [2002] EWCA 2698 (</w:t>
      </w:r>
      <w:proofErr w:type="spellStart"/>
      <w:r w:rsidRPr="00B51667">
        <w:rPr>
          <w:rFonts w:ascii="Book Antiqua" w:hAnsi="Book Antiqua"/>
        </w:rPr>
        <w:t>Ch</w:t>
      </w:r>
      <w:proofErr w:type="spellEnd"/>
      <w:r w:rsidRPr="00B51667">
        <w:rPr>
          <w:rFonts w:ascii="Book Antiqua" w:hAnsi="Book Antiqua"/>
        </w:rPr>
        <w:t>) (insurance business transfer scheme), holding that FSMA 2000, s. 112(2)(a) (‘an order under subsection (1)(a) may … transfer property or liabilities whether or not the transferor concerned otherwise has the capacity to effect the transfer’) has a wide ambit, not confined to limitations of corporate capacity.  FSMA 2000, ss. 112(2A) and (2B) now make clear the scope of the Court’s power under FSMA 2000, s. 112.</w:t>
      </w:r>
    </w:p>
  </w:footnote>
  <w:footnote w:id="74">
    <w:p w14:paraId="21024583"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FSMA 2000, s. 112(1)(b) to (d).</w:t>
      </w:r>
    </w:p>
  </w:footnote>
  <w:footnote w:id="75">
    <w:p w14:paraId="6F3163B4"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w:t>
      </w:r>
      <w:r w:rsidRPr="00B51667">
        <w:rPr>
          <w:rFonts w:ascii="Book Antiqua" w:hAnsi="Book Antiqua"/>
          <w:i/>
        </w:rPr>
        <w:t>Re Norwich Union Linked Life Assurance Ltd</w:t>
      </w:r>
      <w:r w:rsidRPr="00B51667">
        <w:rPr>
          <w:rFonts w:ascii="Book Antiqua" w:hAnsi="Book Antiqua"/>
        </w:rPr>
        <w:t xml:space="preserve"> [2004] EWHC 2802 (</w:t>
      </w:r>
      <w:proofErr w:type="spellStart"/>
      <w:r w:rsidRPr="00B51667">
        <w:rPr>
          <w:rFonts w:ascii="Book Antiqua" w:hAnsi="Book Antiqua"/>
        </w:rPr>
        <w:t>Ch</w:t>
      </w:r>
      <w:proofErr w:type="spellEnd"/>
      <w:r w:rsidRPr="00B51667">
        <w:rPr>
          <w:rFonts w:ascii="Book Antiqua" w:hAnsi="Book Antiqua"/>
        </w:rPr>
        <w:t xml:space="preserve">), per Lindsay J. at [9], following </w:t>
      </w:r>
      <w:r w:rsidRPr="00B51667">
        <w:rPr>
          <w:rFonts w:ascii="Book Antiqua" w:hAnsi="Book Antiqua"/>
          <w:i/>
        </w:rPr>
        <w:t>Re Hill Samuel Life Assurance Ltd</w:t>
      </w:r>
      <w:r w:rsidRPr="00B51667">
        <w:rPr>
          <w:rFonts w:ascii="Book Antiqua" w:hAnsi="Book Antiqua"/>
        </w:rPr>
        <w:t>, (unreported, 10 July 1995) per Knox J.</w:t>
      </w:r>
    </w:p>
  </w:footnote>
  <w:footnote w:id="76">
    <w:p w14:paraId="54CADFEC" w14:textId="77777777" w:rsidR="00941425" w:rsidRPr="00B51667" w:rsidRDefault="00941425" w:rsidP="00E832D6">
      <w:pPr>
        <w:pStyle w:val="FootnoteText"/>
        <w:spacing w:after="60"/>
        <w:jc w:val="both"/>
        <w:rPr>
          <w:rFonts w:ascii="Book Antiqua" w:hAnsi="Book Antiqua"/>
          <w:i/>
        </w:rPr>
      </w:pPr>
      <w:r w:rsidRPr="00B51667">
        <w:rPr>
          <w:rStyle w:val="FootnoteReference"/>
          <w:rFonts w:ascii="Book Antiqua" w:hAnsi="Book Antiqua"/>
        </w:rPr>
        <w:footnoteRef/>
      </w:r>
      <w:r w:rsidRPr="00B51667">
        <w:rPr>
          <w:rFonts w:ascii="Book Antiqua" w:hAnsi="Book Antiqua"/>
        </w:rPr>
        <w:t xml:space="preserve"> </w:t>
      </w:r>
      <w:r w:rsidRPr="00B51667">
        <w:rPr>
          <w:rFonts w:ascii="Book Antiqua" w:hAnsi="Book Antiqua"/>
          <w:i/>
        </w:rPr>
        <w:t>Re Norwich Union Linked Life Assurance</w:t>
      </w:r>
      <w:r w:rsidRPr="00B51667">
        <w:rPr>
          <w:rFonts w:ascii="Book Antiqua" w:hAnsi="Book Antiqua"/>
        </w:rPr>
        <w:t xml:space="preserve">, above, at [9] </w:t>
      </w:r>
      <w:proofErr w:type="gramStart"/>
      <w:r w:rsidRPr="00B51667">
        <w:rPr>
          <w:rFonts w:ascii="Book Antiqua" w:hAnsi="Book Antiqua"/>
        </w:rPr>
        <w:t>to</w:t>
      </w:r>
      <w:proofErr w:type="gramEnd"/>
      <w:r w:rsidRPr="00B51667">
        <w:rPr>
          <w:rFonts w:ascii="Book Antiqua" w:hAnsi="Book Antiqua"/>
        </w:rPr>
        <w:t xml:space="preserve"> [12].</w:t>
      </w:r>
    </w:p>
  </w:footnote>
  <w:footnote w:id="77">
    <w:p w14:paraId="05FD35C8"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w:t>
      </w:r>
      <w:proofErr w:type="gramStart"/>
      <w:r w:rsidRPr="00B51667">
        <w:rPr>
          <w:rFonts w:ascii="Book Antiqua" w:hAnsi="Book Antiqua"/>
        </w:rPr>
        <w:t>FSMA 2000, s. 112(8)(c).</w:t>
      </w:r>
      <w:proofErr w:type="gramEnd"/>
    </w:p>
  </w:footnote>
  <w:footnote w:id="78">
    <w:p w14:paraId="5E04F359"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That is, the Financial Conduct Authority in all cases; and, in addition, if the transfer or the transferee is a ‘PRA-authorised person’ (i.e. a firm authorised under FSMA 2000 with permission to carry on insurance business or banking business and therefore ‘dual regulated’), the Prudential Regulation Authority.</w:t>
      </w:r>
    </w:p>
  </w:footnote>
  <w:footnote w:id="79">
    <w:p w14:paraId="7EF89849"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FSMA 2000, s. 110(3) to (5)/</w:t>
      </w:r>
    </w:p>
  </w:footnote>
  <w:footnote w:id="80">
    <w:p w14:paraId="21F72B7F"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Following the ‘invitation’ extended by the Chancellor in </w:t>
      </w:r>
      <w:r w:rsidRPr="00B51667">
        <w:rPr>
          <w:rFonts w:ascii="Book Antiqua" w:hAnsi="Book Antiqua"/>
          <w:i/>
        </w:rPr>
        <w:t xml:space="preserve">Re Alba Life Limited </w:t>
      </w:r>
      <w:r w:rsidRPr="00B51667">
        <w:rPr>
          <w:rFonts w:ascii="Book Antiqua" w:hAnsi="Book Antiqua"/>
        </w:rPr>
        <w:t>[2006] EWHC 3507 (</w:t>
      </w:r>
      <w:proofErr w:type="spellStart"/>
      <w:r w:rsidRPr="00B51667">
        <w:rPr>
          <w:rFonts w:ascii="Book Antiqua" w:hAnsi="Book Antiqua"/>
        </w:rPr>
        <w:t>Ch</w:t>
      </w:r>
      <w:proofErr w:type="spellEnd"/>
      <w:r w:rsidRPr="00B51667">
        <w:rPr>
          <w:rFonts w:ascii="Book Antiqua" w:hAnsi="Book Antiqua"/>
        </w:rPr>
        <w:t>), at [78].</w:t>
      </w:r>
    </w:p>
  </w:footnote>
  <w:footnote w:id="81">
    <w:p w14:paraId="224C6E19"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This is not to suggest that it is the policy of the regulators never to object to a transfer scheme.  It simply reflects the reality that, as indicated in </w:t>
      </w:r>
      <w:r w:rsidRPr="00B51667">
        <w:rPr>
          <w:rFonts w:ascii="Book Antiqua" w:hAnsi="Book Antiqua"/>
          <w:i/>
        </w:rPr>
        <w:t xml:space="preserve">Re </w:t>
      </w:r>
      <w:proofErr w:type="spellStart"/>
      <w:r w:rsidRPr="00B51667">
        <w:rPr>
          <w:rFonts w:ascii="Book Antiqua" w:hAnsi="Book Antiqua"/>
          <w:i/>
        </w:rPr>
        <w:t>Axa</w:t>
      </w:r>
      <w:proofErr w:type="spellEnd"/>
      <w:r w:rsidRPr="00B51667">
        <w:rPr>
          <w:rFonts w:ascii="Book Antiqua" w:hAnsi="Book Antiqua"/>
        </w:rPr>
        <w:t xml:space="preserve"> [2001] 1AER (Comm.), per Evans-</w:t>
      </w:r>
      <w:proofErr w:type="spellStart"/>
      <w:r w:rsidRPr="00B51667">
        <w:rPr>
          <w:rFonts w:ascii="Book Antiqua" w:hAnsi="Book Antiqua"/>
        </w:rPr>
        <w:t>Lombe</w:t>
      </w:r>
      <w:proofErr w:type="spellEnd"/>
      <w:r w:rsidRPr="00B51667">
        <w:rPr>
          <w:rFonts w:ascii="Book Antiqua" w:hAnsi="Book Antiqua"/>
        </w:rPr>
        <w:t xml:space="preserve"> J, ‘the … [regulators] by reason of … [their] regulatory powers can also be expected to have the necessary material and expertise to express an informed opinion on whether policyholders are likely to be adversely affected.  … [</w:t>
      </w:r>
      <w:proofErr w:type="gramStart"/>
      <w:r w:rsidRPr="00B51667">
        <w:rPr>
          <w:rFonts w:ascii="Book Antiqua" w:hAnsi="Book Antiqua"/>
        </w:rPr>
        <w:t>and</w:t>
      </w:r>
      <w:proofErr w:type="gramEnd"/>
      <w:r w:rsidRPr="00B51667">
        <w:rPr>
          <w:rFonts w:ascii="Book Antiqua" w:hAnsi="Book Antiqua"/>
        </w:rPr>
        <w:t xml:space="preserve"> therefore] the court will pay close attention to any views expressed by the … [regulators]’.  Accordingly, a transfer scheme to which either regulator </w:t>
      </w:r>
      <w:proofErr w:type="gramStart"/>
      <w:r w:rsidRPr="00B51667">
        <w:rPr>
          <w:rFonts w:ascii="Book Antiqua" w:hAnsi="Book Antiqua"/>
        </w:rPr>
        <w:t>objects is</w:t>
      </w:r>
      <w:proofErr w:type="gramEnd"/>
      <w:r w:rsidRPr="00B51667">
        <w:rPr>
          <w:rFonts w:ascii="Book Antiqua" w:hAnsi="Book Antiqua"/>
        </w:rPr>
        <w:t xml:space="preserve"> unlikely to proceed as far as a sanction hearing.</w:t>
      </w:r>
    </w:p>
  </w:footnote>
  <w:footnote w:id="82">
    <w:p w14:paraId="69286915"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See footnote </w:t>
      </w:r>
      <w:r w:rsidRPr="00B51667">
        <w:rPr>
          <w:rFonts w:ascii="Book Antiqua" w:hAnsi="Book Antiqua"/>
        </w:rPr>
        <w:fldChar w:fldCharType="begin"/>
      </w:r>
      <w:r w:rsidRPr="00B51667">
        <w:rPr>
          <w:rFonts w:ascii="Book Antiqua" w:hAnsi="Book Antiqua"/>
        </w:rPr>
        <w:instrText xml:space="preserve"> NOTEREF _Ref470778741 \h </w:instrText>
      </w:r>
      <w:r w:rsidRPr="00B51667">
        <w:rPr>
          <w:rFonts w:ascii="Book Antiqua" w:hAnsi="Book Antiqua"/>
        </w:rPr>
      </w:r>
      <w:r w:rsidRPr="00B51667">
        <w:rPr>
          <w:rFonts w:ascii="Book Antiqua" w:hAnsi="Book Antiqua"/>
        </w:rPr>
        <w:fldChar w:fldCharType="separate"/>
      </w:r>
      <w:r w:rsidRPr="00B51667">
        <w:rPr>
          <w:rFonts w:ascii="Book Antiqua" w:hAnsi="Book Antiqua"/>
        </w:rPr>
        <w:t>3</w:t>
      </w:r>
      <w:r w:rsidRPr="00B51667">
        <w:rPr>
          <w:rFonts w:ascii="Book Antiqua" w:hAnsi="Book Antiqua"/>
        </w:rPr>
        <w:fldChar w:fldCharType="end"/>
      </w:r>
      <w:r w:rsidRPr="00B51667">
        <w:rPr>
          <w:rFonts w:ascii="Book Antiqua" w:hAnsi="Book Antiqua"/>
        </w:rPr>
        <w:t>, above.</w:t>
      </w:r>
    </w:p>
  </w:footnote>
  <w:footnote w:id="83">
    <w:p w14:paraId="4E5426B7"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See the Financial Services and Markets Act 2000 (Control of Business Transfers) (Requirements on Applicants) Regulations 2001 (SI 2001/3625), Reg. 3(2)(a) (insurance business transfers); and Reg. 5(2) (banking business transfers and reclaim fund business transfers).  The exception is </w:t>
      </w:r>
      <w:proofErr w:type="gramStart"/>
      <w:r w:rsidRPr="00B51667">
        <w:rPr>
          <w:rFonts w:ascii="Book Antiqua" w:hAnsi="Book Antiqua"/>
        </w:rPr>
        <w:t>ring-fencing</w:t>
      </w:r>
      <w:proofErr w:type="gramEnd"/>
      <w:r w:rsidRPr="00B51667">
        <w:rPr>
          <w:rFonts w:ascii="Book Antiqua" w:hAnsi="Book Antiqua"/>
        </w:rPr>
        <w:t xml:space="preserve"> transfer schemes in relation to which (oddly) there is no formal requirement for publication.  However, a minimum level of publicity must be a necessary pre-condition for the effective exercise of the right to be heard. </w:t>
      </w:r>
    </w:p>
  </w:footnote>
  <w:footnote w:id="84">
    <w:p w14:paraId="0D5E1D64"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For example, under the Financial Services and Markets Act 2000 (Control of Business Transfers) (Requirements on Applicants) Regulations 2001 (SI 2001/3625), Reg. 3(2)(b), all policyholders of the transferor and the transferee must receive individual notice of an insurance business transfer scheme, unless the Court waives that requirement, under Reg. 4.</w:t>
      </w:r>
    </w:p>
  </w:footnote>
  <w:footnote w:id="85">
    <w:p w14:paraId="6E9A2FCF"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See FSMA 2000, ss. 109 (insurance business transfer schemes); and s. 109A (ring-fencing transfer schemes).</w:t>
      </w:r>
    </w:p>
  </w:footnote>
  <w:footnote w:id="86">
    <w:p w14:paraId="2C291807"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w:t>
      </w:r>
      <w:r w:rsidRPr="00775E33">
        <w:rPr>
          <w:rFonts w:ascii="Book Antiqua" w:hAnsi="Book Antiqua"/>
          <w:i/>
        </w:rPr>
        <w:t xml:space="preserve">Re Names at Lloyd's for 1992 and prior years of account represented by </w:t>
      </w:r>
      <w:proofErr w:type="spellStart"/>
      <w:r w:rsidRPr="00775E33">
        <w:rPr>
          <w:rFonts w:ascii="Book Antiqua" w:hAnsi="Book Antiqua"/>
          <w:i/>
        </w:rPr>
        <w:t>Equitas</w:t>
      </w:r>
      <w:proofErr w:type="spellEnd"/>
      <w:r w:rsidRPr="00775E33">
        <w:rPr>
          <w:rFonts w:ascii="Book Antiqua" w:hAnsi="Book Antiqua"/>
        </w:rPr>
        <w:t xml:space="preserve"> [2009] EWHC 1595 (</w:t>
      </w:r>
      <w:proofErr w:type="spellStart"/>
      <w:r w:rsidRPr="00775E33">
        <w:rPr>
          <w:rFonts w:ascii="Book Antiqua" w:hAnsi="Book Antiqua"/>
        </w:rPr>
        <w:t>Ch</w:t>
      </w:r>
      <w:proofErr w:type="spellEnd"/>
      <w:r w:rsidRPr="00775E33">
        <w:rPr>
          <w:rFonts w:ascii="Book Antiqua" w:hAnsi="Book Antiqua"/>
        </w:rPr>
        <w:t>).</w:t>
      </w:r>
    </w:p>
  </w:footnote>
  <w:footnote w:id="87">
    <w:p w14:paraId="3F8B99E3" w14:textId="77777777" w:rsidR="00941425" w:rsidRPr="00B51667" w:rsidRDefault="00941425" w:rsidP="00E832D6">
      <w:pPr>
        <w:pStyle w:val="FootnoteText"/>
        <w:spacing w:after="60"/>
        <w:jc w:val="both"/>
        <w:rPr>
          <w:rFonts w:ascii="Book Antiqua" w:hAnsi="Book Antiqua"/>
        </w:rPr>
      </w:pPr>
      <w:r w:rsidRPr="00B51667">
        <w:rPr>
          <w:rStyle w:val="FootnoteReference"/>
          <w:rFonts w:ascii="Book Antiqua" w:hAnsi="Book Antiqua"/>
        </w:rPr>
        <w:footnoteRef/>
      </w:r>
      <w:r w:rsidRPr="00B51667">
        <w:rPr>
          <w:rFonts w:ascii="Book Antiqua" w:hAnsi="Book Antiqua"/>
        </w:rPr>
        <w:t xml:space="preserve"> </w:t>
      </w:r>
      <w:proofErr w:type="gramStart"/>
      <w:r w:rsidRPr="00B51667">
        <w:rPr>
          <w:rFonts w:ascii="Book Antiqua" w:hAnsi="Book Antiqua"/>
        </w:rPr>
        <w:t>Directive 2009/138/EC on the taking-up and pursuit of the business of Insurance and Reinsurance (Solvency II) (recast).</w:t>
      </w:r>
      <w:proofErr w:type="gramEnd"/>
    </w:p>
  </w:footnote>
  <w:footnote w:id="88">
    <w:p w14:paraId="699B6F08"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Which formalities underlie the certification requirements forming part of the pre-conditions for the sanction of an insurance business transfer scheme, set out in footnote </w:t>
      </w:r>
      <w:r w:rsidRPr="00775E33">
        <w:rPr>
          <w:rFonts w:ascii="Book Antiqua" w:hAnsi="Book Antiqua"/>
        </w:rPr>
        <w:fldChar w:fldCharType="begin"/>
      </w:r>
      <w:r w:rsidRPr="00775E33">
        <w:rPr>
          <w:rFonts w:ascii="Book Antiqua" w:hAnsi="Book Antiqua"/>
        </w:rPr>
        <w:instrText xml:space="preserve"> NOTEREF _Ref470778741 \h </w:instrText>
      </w:r>
      <w:r w:rsidRPr="00775E33">
        <w:rPr>
          <w:rFonts w:ascii="Book Antiqua" w:hAnsi="Book Antiqua"/>
        </w:rPr>
      </w:r>
      <w:r w:rsidRPr="00775E33">
        <w:rPr>
          <w:rFonts w:ascii="Book Antiqua" w:hAnsi="Book Antiqua"/>
        </w:rPr>
        <w:fldChar w:fldCharType="separate"/>
      </w:r>
      <w:r w:rsidRPr="00775E33">
        <w:rPr>
          <w:rFonts w:ascii="Book Antiqua" w:hAnsi="Book Antiqua"/>
        </w:rPr>
        <w:t>4</w:t>
      </w:r>
      <w:r w:rsidRPr="00775E33">
        <w:rPr>
          <w:rFonts w:ascii="Book Antiqua" w:hAnsi="Book Antiqua"/>
        </w:rPr>
        <w:fldChar w:fldCharType="end"/>
      </w:r>
      <w:r w:rsidRPr="00775E33">
        <w:rPr>
          <w:rFonts w:ascii="Book Antiqua" w:hAnsi="Book Antiqua"/>
        </w:rPr>
        <w:t xml:space="preserve"> above.</w:t>
      </w:r>
    </w:p>
  </w:footnote>
  <w:footnote w:id="89">
    <w:p w14:paraId="0AFF7062"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w:t>
      </w:r>
      <w:proofErr w:type="gramStart"/>
      <w:r w:rsidRPr="00775E33">
        <w:rPr>
          <w:rFonts w:ascii="Book Antiqua" w:hAnsi="Book Antiqua"/>
        </w:rPr>
        <w:t>Solvency II, Arts 39(4) and 164(4).</w:t>
      </w:r>
      <w:proofErr w:type="gramEnd"/>
    </w:p>
  </w:footnote>
  <w:footnote w:id="90">
    <w:p w14:paraId="0487175A"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w:t>
      </w:r>
      <w:proofErr w:type="gramStart"/>
      <w:r w:rsidRPr="00775E33">
        <w:rPr>
          <w:rFonts w:ascii="Book Antiqua" w:hAnsi="Book Antiqua"/>
        </w:rPr>
        <w:t>Solvency II, Arts 39(5) and 164(5).</w:t>
      </w:r>
      <w:proofErr w:type="gramEnd"/>
    </w:p>
  </w:footnote>
  <w:footnote w:id="91">
    <w:p w14:paraId="4D979091" w14:textId="768F87C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The switch from the Directive language of </w:t>
      </w:r>
      <w:r w:rsidR="00E30397" w:rsidRPr="00E30397">
        <w:rPr>
          <w:rFonts w:ascii="Book Antiqua" w:hAnsi="Book Antiqua"/>
          <w:i/>
        </w:rPr>
        <w:t>“</w:t>
      </w:r>
      <w:r w:rsidRPr="00E30397">
        <w:rPr>
          <w:rFonts w:ascii="Book Antiqua" w:hAnsi="Book Antiqua"/>
          <w:i/>
        </w:rPr>
        <w:t>Member State</w:t>
      </w:r>
      <w:r w:rsidR="00E30397" w:rsidRPr="00E30397">
        <w:rPr>
          <w:rFonts w:ascii="Book Antiqua" w:hAnsi="Book Antiqua"/>
          <w:i/>
        </w:rPr>
        <w:t>”</w:t>
      </w:r>
      <w:r w:rsidRPr="00775E33">
        <w:rPr>
          <w:rFonts w:ascii="Book Antiqua" w:hAnsi="Book Antiqua"/>
        </w:rPr>
        <w:t xml:space="preserve"> to the FSMA 2000 language of </w:t>
      </w:r>
      <w:r w:rsidR="00E30397" w:rsidRPr="00E30397">
        <w:rPr>
          <w:rFonts w:ascii="Book Antiqua" w:hAnsi="Book Antiqua"/>
          <w:i/>
        </w:rPr>
        <w:t>“</w:t>
      </w:r>
      <w:r w:rsidRPr="00E30397">
        <w:rPr>
          <w:rFonts w:ascii="Book Antiqua" w:hAnsi="Book Antiqua"/>
          <w:i/>
        </w:rPr>
        <w:t>EEA State</w:t>
      </w:r>
      <w:r w:rsidR="00E30397" w:rsidRPr="00E30397">
        <w:rPr>
          <w:rFonts w:ascii="Book Antiqua" w:hAnsi="Book Antiqua"/>
          <w:i/>
        </w:rPr>
        <w:t>”</w:t>
      </w:r>
      <w:r w:rsidRPr="00775E33">
        <w:rPr>
          <w:rFonts w:ascii="Book Antiqua" w:hAnsi="Book Antiqua"/>
        </w:rPr>
        <w:t xml:space="preserve"> reflects th</w:t>
      </w:r>
      <w:r w:rsidR="00E30397">
        <w:rPr>
          <w:rFonts w:ascii="Book Antiqua" w:hAnsi="Book Antiqua"/>
        </w:rPr>
        <w:t>e impact of the EEA Agreement (</w:t>
      </w:r>
      <w:r w:rsidRPr="00775E33">
        <w:rPr>
          <w:rFonts w:ascii="Book Antiqua" w:hAnsi="Book Antiqua"/>
        </w:rPr>
        <w:t>OJ No. L 1, 31 March 1993, p. 3 (as amended)</w:t>
      </w:r>
      <w:r w:rsidR="00135E5E">
        <w:rPr>
          <w:rFonts w:ascii="Book Antiqua" w:hAnsi="Book Antiqua"/>
        </w:rPr>
        <w:t>)</w:t>
      </w:r>
      <w:r w:rsidRPr="00775E33">
        <w:rPr>
          <w:rFonts w:ascii="Book Antiqua" w:hAnsi="Book Antiqua"/>
        </w:rPr>
        <w:t xml:space="preserve"> under which Solvency II is adopted as a relevant instrument (under Annex IX) and to which the provisions of Protocol 1 (on horizontal adaptation) apply, including paragraph 7: </w:t>
      </w:r>
      <w:r w:rsidR="00E30397" w:rsidRPr="00E30397">
        <w:rPr>
          <w:rFonts w:ascii="Book Antiqua" w:hAnsi="Book Antiqua"/>
          <w:i/>
        </w:rPr>
        <w:t>“</w:t>
      </w:r>
      <w:r w:rsidRPr="00E30397">
        <w:rPr>
          <w:rFonts w:ascii="Book Antiqua" w:hAnsi="Book Antiqua"/>
          <w:i/>
        </w:rPr>
        <w:t>Rights conferred and obligations imposed upon the EC Member States or their public entities, undertakings or individuals in relation to each other, shall be understood to be conferred or imposed upon Contracting Parties, the latter also being understood, as the case may be, as their competent authorities, public entities, undertakings or individuals</w:t>
      </w:r>
      <w:r w:rsidR="00E30397" w:rsidRPr="00E30397">
        <w:rPr>
          <w:rFonts w:ascii="Book Antiqua" w:hAnsi="Book Antiqua"/>
          <w:i/>
        </w:rPr>
        <w:t>”</w:t>
      </w:r>
      <w:r w:rsidRPr="00775E33">
        <w:rPr>
          <w:rFonts w:ascii="Book Antiqua" w:hAnsi="Book Antiqua"/>
        </w:rPr>
        <w:t>.</w:t>
      </w:r>
    </w:p>
  </w:footnote>
  <w:footnote w:id="92">
    <w:p w14:paraId="4A91DF58"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FSMA 2000, s. 116(6): any contract of insurance or reinsurance to which the applicable law is the law of part of the UK.</w:t>
      </w:r>
    </w:p>
  </w:footnote>
  <w:footnote w:id="93">
    <w:p w14:paraId="5932168C"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Defined in FSMA 2000, s. 116(7).</w:t>
      </w:r>
    </w:p>
  </w:footnote>
  <w:footnote w:id="94">
    <w:p w14:paraId="7197E20E"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In </w:t>
      </w:r>
      <w:proofErr w:type="spellStart"/>
      <w:r w:rsidRPr="00775E33">
        <w:rPr>
          <w:rFonts w:ascii="Book Antiqua" w:hAnsi="Book Antiqua"/>
          <w:i/>
        </w:rPr>
        <w:t>Sompo</w:t>
      </w:r>
      <w:proofErr w:type="spellEnd"/>
      <w:r w:rsidRPr="00775E33">
        <w:rPr>
          <w:rFonts w:ascii="Book Antiqua" w:hAnsi="Book Antiqua"/>
          <w:i/>
        </w:rPr>
        <w:t xml:space="preserve"> Japan Insurance </w:t>
      </w:r>
      <w:proofErr w:type="spellStart"/>
      <w:r w:rsidRPr="00775E33">
        <w:rPr>
          <w:rFonts w:ascii="Book Antiqua" w:hAnsi="Book Antiqua"/>
          <w:i/>
        </w:rPr>
        <w:t>Inc.v</w:t>
      </w:r>
      <w:proofErr w:type="spellEnd"/>
      <w:r w:rsidRPr="00775E33">
        <w:rPr>
          <w:rFonts w:ascii="Book Antiqua" w:hAnsi="Book Antiqua"/>
          <w:i/>
        </w:rPr>
        <w:t xml:space="preserve"> </w:t>
      </w:r>
      <w:proofErr w:type="spellStart"/>
      <w:r w:rsidRPr="00775E33">
        <w:rPr>
          <w:rFonts w:ascii="Book Antiqua" w:hAnsi="Book Antiqua"/>
          <w:i/>
        </w:rPr>
        <w:t>Transfercom</w:t>
      </w:r>
      <w:proofErr w:type="spellEnd"/>
      <w:r w:rsidRPr="00775E33">
        <w:rPr>
          <w:rFonts w:ascii="Book Antiqua" w:hAnsi="Book Antiqua"/>
          <w:i/>
        </w:rPr>
        <w:t xml:space="preserve"> Ltd</w:t>
      </w:r>
      <w:r w:rsidRPr="00775E33">
        <w:rPr>
          <w:rFonts w:ascii="Book Antiqua" w:hAnsi="Book Antiqua"/>
        </w:rPr>
        <w:t xml:space="preserve"> [2007] EWHC 146 (</w:t>
      </w:r>
      <w:proofErr w:type="spellStart"/>
      <w:r w:rsidRPr="00775E33">
        <w:rPr>
          <w:rFonts w:ascii="Book Antiqua" w:hAnsi="Book Antiqua"/>
        </w:rPr>
        <w:t>Ch</w:t>
      </w:r>
      <w:proofErr w:type="spellEnd"/>
      <w:r w:rsidRPr="00775E33">
        <w:rPr>
          <w:rFonts w:ascii="Book Antiqua" w:hAnsi="Book Antiqua"/>
        </w:rPr>
        <w:t>), at [23].</w:t>
      </w:r>
    </w:p>
  </w:footnote>
  <w:footnote w:id="95">
    <w:p w14:paraId="6AC8342F"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w:t>
      </w:r>
      <w:proofErr w:type="spellStart"/>
      <w:r w:rsidRPr="00775E33">
        <w:rPr>
          <w:rFonts w:ascii="Book Antiqua" w:hAnsi="Book Antiqua"/>
          <w:i/>
        </w:rPr>
        <w:t>Sompo</w:t>
      </w:r>
      <w:proofErr w:type="spellEnd"/>
      <w:r w:rsidRPr="00775E33">
        <w:rPr>
          <w:rFonts w:ascii="Book Antiqua" w:hAnsi="Book Antiqua"/>
          <w:i/>
        </w:rPr>
        <w:t xml:space="preserve"> Japan Insurance Inc. v </w:t>
      </w:r>
      <w:proofErr w:type="spellStart"/>
      <w:r w:rsidRPr="00775E33">
        <w:rPr>
          <w:rFonts w:ascii="Book Antiqua" w:hAnsi="Book Antiqua"/>
          <w:i/>
        </w:rPr>
        <w:t>Transfercom</w:t>
      </w:r>
      <w:proofErr w:type="spellEnd"/>
      <w:r w:rsidRPr="00775E33">
        <w:rPr>
          <w:rFonts w:ascii="Book Antiqua" w:hAnsi="Book Antiqua"/>
          <w:i/>
        </w:rPr>
        <w:t xml:space="preserve"> Ltd</w:t>
      </w:r>
      <w:r w:rsidRPr="00775E33">
        <w:rPr>
          <w:rFonts w:ascii="Book Antiqua" w:hAnsi="Book Antiqua"/>
        </w:rPr>
        <w:t xml:space="preserve"> [2007] EWHC 146 (</w:t>
      </w:r>
      <w:proofErr w:type="spellStart"/>
      <w:r w:rsidRPr="00775E33">
        <w:rPr>
          <w:rFonts w:ascii="Book Antiqua" w:hAnsi="Book Antiqua"/>
        </w:rPr>
        <w:t>Ch</w:t>
      </w:r>
      <w:proofErr w:type="spellEnd"/>
      <w:r w:rsidRPr="00775E33">
        <w:rPr>
          <w:rFonts w:ascii="Book Antiqua" w:hAnsi="Book Antiqua"/>
        </w:rPr>
        <w:t>).</w:t>
      </w:r>
    </w:p>
  </w:footnote>
  <w:footnote w:id="96">
    <w:p w14:paraId="1D86EE15"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w:t>
      </w:r>
      <w:r w:rsidRPr="00775E33">
        <w:rPr>
          <w:rFonts w:ascii="Book Antiqua" w:hAnsi="Book Antiqua"/>
          <w:i/>
        </w:rPr>
        <w:t>Ibid</w:t>
      </w:r>
      <w:proofErr w:type="gramStart"/>
      <w:r w:rsidRPr="00775E33">
        <w:rPr>
          <w:rFonts w:ascii="Book Antiqua" w:hAnsi="Book Antiqua"/>
          <w:i/>
        </w:rPr>
        <w:t>.</w:t>
      </w:r>
      <w:r w:rsidRPr="00775E33">
        <w:rPr>
          <w:rFonts w:ascii="Book Antiqua" w:hAnsi="Book Antiqua"/>
        </w:rPr>
        <w:t>,</w:t>
      </w:r>
      <w:proofErr w:type="gramEnd"/>
      <w:r w:rsidRPr="00775E33">
        <w:rPr>
          <w:rFonts w:ascii="Book Antiqua" w:hAnsi="Book Antiqua"/>
        </w:rPr>
        <w:t xml:space="preserve"> at [22].</w:t>
      </w:r>
    </w:p>
  </w:footnote>
  <w:footnote w:id="97">
    <w:p w14:paraId="5C684A9C"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w:t>
      </w:r>
      <w:r w:rsidRPr="00775E33">
        <w:rPr>
          <w:rFonts w:ascii="Book Antiqua" w:hAnsi="Book Antiqua"/>
          <w:i/>
        </w:rPr>
        <w:t>Ibid</w:t>
      </w:r>
      <w:proofErr w:type="gramStart"/>
      <w:r w:rsidRPr="00775E33">
        <w:rPr>
          <w:rFonts w:ascii="Book Antiqua" w:hAnsi="Book Antiqua"/>
        </w:rPr>
        <w:t>.,</w:t>
      </w:r>
      <w:proofErr w:type="gramEnd"/>
      <w:r w:rsidRPr="00775E33">
        <w:rPr>
          <w:rFonts w:ascii="Book Antiqua" w:hAnsi="Book Antiqua"/>
        </w:rPr>
        <w:t xml:space="preserve"> at [26].</w:t>
      </w:r>
    </w:p>
  </w:footnote>
  <w:footnote w:id="98">
    <w:p w14:paraId="2803183E" w14:textId="77777777" w:rsidR="00941425" w:rsidRPr="00775E33" w:rsidRDefault="00941425" w:rsidP="00E832D6">
      <w:pPr>
        <w:pStyle w:val="FootnoteText"/>
        <w:spacing w:after="60"/>
        <w:jc w:val="both"/>
        <w:rPr>
          <w:rFonts w:ascii="Book Antiqua" w:hAnsi="Book Antiqua"/>
        </w:rPr>
      </w:pPr>
      <w:r w:rsidRPr="00775E33">
        <w:rPr>
          <w:rStyle w:val="FootnoteReference"/>
          <w:rFonts w:ascii="Book Antiqua" w:hAnsi="Book Antiqua"/>
        </w:rPr>
        <w:footnoteRef/>
      </w:r>
      <w:r w:rsidRPr="00775E33">
        <w:rPr>
          <w:rFonts w:ascii="Book Antiqua" w:hAnsi="Book Antiqua"/>
        </w:rPr>
        <w:t xml:space="preserve"> See, for example, </w:t>
      </w:r>
      <w:r w:rsidRPr="00775E33">
        <w:rPr>
          <w:rFonts w:ascii="Book Antiqua" w:hAnsi="Book Antiqua"/>
          <w:i/>
        </w:rPr>
        <w:t>Re The Copenhagen Reinsurance Company Ltd</w:t>
      </w:r>
      <w:r w:rsidRPr="00775E33">
        <w:rPr>
          <w:rFonts w:ascii="Book Antiqua" w:hAnsi="Book Antiqua"/>
        </w:rPr>
        <w:t xml:space="preserve"> [2016] EWHC 944 (</w:t>
      </w:r>
      <w:proofErr w:type="spellStart"/>
      <w:r w:rsidRPr="00775E33">
        <w:rPr>
          <w:rFonts w:ascii="Book Antiqua" w:hAnsi="Book Antiqua"/>
        </w:rPr>
        <w:t>Ch</w:t>
      </w:r>
      <w:proofErr w:type="spellEnd"/>
      <w:r w:rsidRPr="00775E33">
        <w:rPr>
          <w:rFonts w:ascii="Book Antiqua" w:hAnsi="Book Antiqua"/>
        </w:rPr>
        <w:t>), per Snowden J at [45] and ff. and the authorities cited there.</w:t>
      </w:r>
    </w:p>
  </w:footnote>
  <w:footnote w:id="99">
    <w:p w14:paraId="202F5532"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Undertakings for Collective Investment in Transferable Securities (“</w:t>
      </w:r>
      <w:r w:rsidRPr="00CB0094">
        <w:rPr>
          <w:rFonts w:ascii="Book Antiqua" w:hAnsi="Book Antiqua" w:cs="Times New Roman"/>
          <w:b/>
        </w:rPr>
        <w:t>UCITS”</w:t>
      </w:r>
      <w:r w:rsidRPr="00CB0094">
        <w:rPr>
          <w:rFonts w:ascii="Book Antiqua" w:hAnsi="Book Antiqua" w:cs="Times New Roman"/>
        </w:rPr>
        <w:t xml:space="preserve">) funds are mutual investment funds regulated by the harmonised EU UCTIS framework (discussed in further detail in this section). UCITS funds are very popular investments, particularly with small investors seeking a diversified investment. According to the European Commission, as at April 2014, UCITS funds managed almost €6 trillion in assets and accounted for around 75% of all collective investments by small investors in Europe: http://europa.eu/rapid/press-release_STATEMENT-14-121_en.htm </w:t>
      </w:r>
    </w:p>
  </w:footnote>
  <w:footnote w:id="100">
    <w:p w14:paraId="52E41FD4"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The restriction on the sale of AIFs to professional investors is to be found at AIFMD, Article 32(9) (EU AIFs)</w:t>
      </w:r>
    </w:p>
  </w:footnote>
  <w:footnote w:id="101">
    <w:p w14:paraId="14A5D87E"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See AIFMD, Article 32. </w:t>
      </w:r>
    </w:p>
  </w:footnote>
  <w:footnote w:id="102">
    <w:p w14:paraId="396F1066"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Article 42 requires that: </w:t>
      </w:r>
    </w:p>
    <w:p w14:paraId="74D4DC7D" w14:textId="77777777" w:rsidR="00941425" w:rsidRPr="00CB0094" w:rsidRDefault="00941425" w:rsidP="008C1882">
      <w:pPr>
        <w:pStyle w:val="FootnoteText"/>
        <w:numPr>
          <w:ilvl w:val="0"/>
          <w:numId w:val="33"/>
        </w:numPr>
        <w:spacing w:after="60"/>
        <w:jc w:val="both"/>
        <w:rPr>
          <w:rFonts w:ascii="Book Antiqua" w:hAnsi="Book Antiqua" w:cs="Times New Roman"/>
        </w:rPr>
      </w:pPr>
      <w:r w:rsidRPr="00CB0094">
        <w:rPr>
          <w:rFonts w:ascii="Book Antiqua" w:hAnsi="Book Antiqua" w:cs="Times New Roman"/>
        </w:rPr>
        <w:t xml:space="preserve">The non-EU AIFM complies with Articles 22, 23 and 24 in respect of each AIF marketed by it pursuant to this Article and with Articles 26 to 30 where an AIF marketed by it pursuant to this Article falls within the scope of Article 26(1); </w:t>
      </w:r>
    </w:p>
    <w:p w14:paraId="251B9389" w14:textId="77777777" w:rsidR="00941425" w:rsidRPr="00CB0094" w:rsidRDefault="00941425" w:rsidP="008C1882">
      <w:pPr>
        <w:pStyle w:val="FootnoteText"/>
        <w:numPr>
          <w:ilvl w:val="0"/>
          <w:numId w:val="33"/>
        </w:numPr>
        <w:spacing w:after="60"/>
        <w:jc w:val="both"/>
        <w:rPr>
          <w:rFonts w:ascii="Book Antiqua" w:hAnsi="Book Antiqua" w:cs="Times New Roman"/>
        </w:rPr>
      </w:pPr>
      <w:r w:rsidRPr="00CB0094">
        <w:rPr>
          <w:rFonts w:ascii="Book Antiqua" w:hAnsi="Book Antiqua" w:cs="Times New Roman"/>
        </w:rPr>
        <w:t>Appropriate cooperation arrangements are in place between the regulatory authorities of the Member States where the AIFs are marketed and the authorities of the third country where the non-EU AIFM is established;</w:t>
      </w:r>
    </w:p>
    <w:p w14:paraId="2DF7A671" w14:textId="77777777" w:rsidR="00941425" w:rsidRPr="00CB0094" w:rsidRDefault="00941425" w:rsidP="008C1882">
      <w:pPr>
        <w:pStyle w:val="FootnoteText"/>
        <w:numPr>
          <w:ilvl w:val="0"/>
          <w:numId w:val="33"/>
        </w:numPr>
        <w:spacing w:after="60"/>
        <w:jc w:val="both"/>
        <w:rPr>
          <w:rFonts w:ascii="Book Antiqua" w:hAnsi="Book Antiqua" w:cs="Times New Roman"/>
        </w:rPr>
      </w:pPr>
      <w:proofErr w:type="gramStart"/>
      <w:r w:rsidRPr="00CB0094">
        <w:rPr>
          <w:rFonts w:ascii="Book Antiqua" w:hAnsi="Book Antiqua" w:cs="Times New Roman"/>
        </w:rPr>
        <w:t>The third country where the non-EU AIFM or the non-EU AIF is established is not listed as a Non-Cooperative Country and Territory by the Financial Action Task Force</w:t>
      </w:r>
      <w:proofErr w:type="gramEnd"/>
      <w:r w:rsidRPr="00CB0094">
        <w:rPr>
          <w:rFonts w:ascii="Book Antiqua" w:hAnsi="Book Antiqua" w:cs="Times New Roman"/>
        </w:rPr>
        <w:t xml:space="preserve"> (on Money Laundering) (“FATF”).</w:t>
      </w:r>
    </w:p>
  </w:footnote>
  <w:footnote w:id="103">
    <w:p w14:paraId="10B91552"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These conditions are as follows: </w:t>
      </w:r>
    </w:p>
    <w:p w14:paraId="27739D38" w14:textId="77777777" w:rsidR="00941425" w:rsidRPr="00CB0094" w:rsidRDefault="00941425" w:rsidP="008C1882">
      <w:pPr>
        <w:pStyle w:val="FootnoteText"/>
        <w:numPr>
          <w:ilvl w:val="0"/>
          <w:numId w:val="34"/>
        </w:numPr>
        <w:spacing w:after="60"/>
        <w:jc w:val="both"/>
        <w:rPr>
          <w:rFonts w:ascii="Book Antiqua" w:hAnsi="Book Antiqua" w:cs="Times New Roman"/>
        </w:rPr>
      </w:pPr>
      <w:r w:rsidRPr="00CB0094">
        <w:rPr>
          <w:rFonts w:ascii="Book Antiqua" w:hAnsi="Book Antiqua" w:cs="Times New Roman"/>
        </w:rPr>
        <w:t xml:space="preserve">That the AIFM complies with all the requirements established by AIFMD (other than Article 21, which sets out the depository requirements of EU AIFs); </w:t>
      </w:r>
    </w:p>
    <w:p w14:paraId="19632A30" w14:textId="77777777" w:rsidR="00941425" w:rsidRPr="00CB0094" w:rsidRDefault="00941425" w:rsidP="008C1882">
      <w:pPr>
        <w:pStyle w:val="FootnoteText"/>
        <w:numPr>
          <w:ilvl w:val="0"/>
          <w:numId w:val="34"/>
        </w:numPr>
        <w:spacing w:after="60"/>
        <w:jc w:val="both"/>
        <w:rPr>
          <w:rFonts w:ascii="Book Antiqua" w:hAnsi="Book Antiqua" w:cs="Times New Roman"/>
        </w:rPr>
      </w:pPr>
      <w:r w:rsidRPr="00CB0094">
        <w:rPr>
          <w:rFonts w:ascii="Book Antiqua" w:hAnsi="Book Antiqua" w:cs="Times New Roman"/>
        </w:rPr>
        <w:t>That appropriate cooperation arrangements are in place between the regulatory authorities of the Member States where the AIFs are marketed and the authorities of the third country where the non-EU AIFM is established;</w:t>
      </w:r>
    </w:p>
    <w:p w14:paraId="0C5639CC" w14:textId="77777777" w:rsidR="00941425" w:rsidRPr="00CB0094" w:rsidRDefault="00941425" w:rsidP="008C1882">
      <w:pPr>
        <w:pStyle w:val="FootnoteText"/>
        <w:numPr>
          <w:ilvl w:val="0"/>
          <w:numId w:val="34"/>
        </w:numPr>
        <w:spacing w:after="60"/>
        <w:jc w:val="both"/>
        <w:rPr>
          <w:rFonts w:ascii="Book Antiqua" w:hAnsi="Book Antiqua" w:cs="Times New Roman"/>
        </w:rPr>
      </w:pPr>
      <w:r w:rsidRPr="00CB0094">
        <w:rPr>
          <w:rFonts w:ascii="Book Antiqua" w:hAnsi="Book Antiqua" w:cs="Times New Roman"/>
        </w:rPr>
        <w:t>That the third country where the non-EU AIFM or the non-EU AIF is established is not listed as a Non-Cooperative Country and Territory by the FATF.</w:t>
      </w:r>
    </w:p>
  </w:footnote>
  <w:footnote w:id="104">
    <w:p w14:paraId="62F41016"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Instead, the procedure provided for in Articles 37 and 41 of AIFMD will apply. </w:t>
      </w:r>
    </w:p>
  </w:footnote>
  <w:footnote w:id="105">
    <w:p w14:paraId="481A190C"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AIFMD, Article 21(1) and (5).</w:t>
      </w:r>
    </w:p>
  </w:footnote>
  <w:footnote w:id="106">
    <w:p w14:paraId="2C3FC145"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For non EU AIFs, the depository may be domiciled in the third country in which the AIF is established, the home Member State of the AIFM, or the Member State of reference of the AIFM managing the AIF: AIFMD, Article 21(5)(b). However, certain Member State </w:t>
      </w:r>
      <w:proofErr w:type="gramStart"/>
      <w:r w:rsidRPr="00CB0094">
        <w:rPr>
          <w:rFonts w:ascii="Book Antiqua" w:hAnsi="Book Antiqua" w:cs="Times New Roman"/>
        </w:rPr>
        <w:t>require</w:t>
      </w:r>
      <w:proofErr w:type="gramEnd"/>
      <w:r w:rsidRPr="00CB0094">
        <w:rPr>
          <w:rFonts w:ascii="Book Antiqua" w:hAnsi="Book Antiqua" w:cs="Times New Roman"/>
        </w:rPr>
        <w:t xml:space="preserve"> compliance with the full depositary regime for non EU AIFs.</w:t>
      </w:r>
    </w:p>
  </w:footnote>
  <w:footnote w:id="107">
    <w:p w14:paraId="24E63ABA"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See UCTIS Directive, Articles 7 and 27.</w:t>
      </w:r>
    </w:p>
  </w:footnote>
  <w:footnote w:id="108">
    <w:p w14:paraId="2F67B010"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See UCTIS Directive, Chapter XI. </w:t>
      </w:r>
    </w:p>
  </w:footnote>
  <w:footnote w:id="109">
    <w:p w14:paraId="37DA1C05" w14:textId="77777777" w:rsidR="00941425" w:rsidRPr="00CB0094" w:rsidRDefault="00941425" w:rsidP="008C1882">
      <w:pPr>
        <w:pStyle w:val="FootnoteText"/>
        <w:spacing w:after="60"/>
        <w:jc w:val="both"/>
        <w:rPr>
          <w:rFonts w:ascii="Book Antiqua" w:hAnsi="Book Antiqua"/>
        </w:rPr>
      </w:pPr>
      <w:r w:rsidRPr="00CB0094">
        <w:rPr>
          <w:rStyle w:val="FootnoteReference"/>
          <w:rFonts w:ascii="Book Antiqua" w:hAnsi="Book Antiqua"/>
        </w:rPr>
        <w:footnoteRef/>
      </w:r>
      <w:r w:rsidRPr="00CB0094">
        <w:rPr>
          <w:rFonts w:ascii="Book Antiqua" w:hAnsi="Book Antiqua"/>
        </w:rPr>
        <w:t xml:space="preserve"> EC Consultation Document, CMU Action on Cross-Border Distribution of Funds (</w:t>
      </w:r>
      <w:proofErr w:type="spellStart"/>
      <w:r w:rsidRPr="00CB0094">
        <w:rPr>
          <w:rFonts w:ascii="Book Antiqua" w:hAnsi="Book Antiqua"/>
        </w:rPr>
        <w:t>Ucits</w:t>
      </w:r>
      <w:proofErr w:type="spellEnd"/>
      <w:r w:rsidRPr="00CB0094">
        <w:rPr>
          <w:rFonts w:ascii="Book Antiqua" w:hAnsi="Book Antiqua"/>
        </w:rPr>
        <w:t xml:space="preserve">, AIF, ELTIF, EUVECA and EUSEF) Across the EU (2016): </w:t>
      </w:r>
      <w:hyperlink r:id="rId8" w:history="1">
        <w:r w:rsidRPr="00CB0094">
          <w:rPr>
            <w:rStyle w:val="Hyperlink"/>
            <w:rFonts w:ascii="Book Antiqua" w:hAnsi="Book Antiqua"/>
          </w:rPr>
          <w:t>http://ec.europa.eu/finance/consultations/2016/cross-borders-investment-funds/docs/consultation-document_en.pdf</w:t>
        </w:r>
      </w:hyperlink>
      <w:r w:rsidRPr="00CB0094">
        <w:rPr>
          <w:rFonts w:ascii="Book Antiqua" w:hAnsi="Book Antiqua"/>
        </w:rPr>
        <w:t xml:space="preserve"> </w:t>
      </w:r>
    </w:p>
  </w:footnote>
  <w:footnote w:id="110">
    <w:p w14:paraId="4571CD39"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See generally, AIFMD, recital 69 and Article 67.</w:t>
      </w:r>
    </w:p>
  </w:footnote>
  <w:footnote w:id="111">
    <w:p w14:paraId="39DAE2A4"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The relevant provisions are set out in the Alternative Investment Fund Managers Regulations (2013/1773) and the Undertakings for Collective Investment in Transferable Securities Regulations (2011/161) (as amended) respectively. </w:t>
      </w:r>
    </w:p>
  </w:footnote>
  <w:footnote w:id="112">
    <w:p w14:paraId="1D358CBD"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w:t>
      </w:r>
      <w:proofErr w:type="gramStart"/>
      <w:r w:rsidRPr="00CB0094">
        <w:rPr>
          <w:rFonts w:ascii="Book Antiqua" w:hAnsi="Book Antiqua" w:cs="Times New Roman"/>
        </w:rPr>
        <w:t>Directive 2014/65/EU on markets in financial instruments, Chapter IV.</w:t>
      </w:r>
      <w:proofErr w:type="gramEnd"/>
      <w:r w:rsidRPr="00CB0094">
        <w:rPr>
          <w:rFonts w:ascii="Book Antiqua" w:hAnsi="Book Antiqua" w:cs="Times New Roman"/>
        </w:rPr>
        <w:t xml:space="preserve"> </w:t>
      </w:r>
      <w:r w:rsidRPr="005C442E">
        <w:rPr>
          <w:rFonts w:ascii="Book Antiqua" w:hAnsi="Book Antiqua" w:cs="Times New Roman"/>
        </w:rPr>
        <w:t>It is intended that this harmonised regime will ultimately replace existing NPPRs in Member States: AIFMD, recital 4</w:t>
      </w:r>
      <w:proofErr w:type="gramStart"/>
      <w:r w:rsidRPr="005C442E">
        <w:rPr>
          <w:rFonts w:ascii="Book Antiqua" w:hAnsi="Book Antiqua" w:cs="Times New Roman"/>
        </w:rPr>
        <w:t>;</w:t>
      </w:r>
      <w:proofErr w:type="gramEnd"/>
      <w:r w:rsidRPr="005C442E">
        <w:rPr>
          <w:rFonts w:ascii="Book Antiqua" w:hAnsi="Book Antiqua" w:cs="Times New Roman"/>
        </w:rPr>
        <w:t xml:space="preserve"> Article 68.</w:t>
      </w:r>
    </w:p>
  </w:footnote>
  <w:footnote w:id="113">
    <w:p w14:paraId="2A64FC5D" w14:textId="77777777" w:rsidR="00941425" w:rsidRPr="00CB0094" w:rsidRDefault="00941425" w:rsidP="008C1882">
      <w:pPr>
        <w:pStyle w:val="FootnoteText"/>
        <w:spacing w:after="60"/>
        <w:jc w:val="both"/>
        <w:rPr>
          <w:rFonts w:ascii="Book Antiqua" w:hAnsi="Book Antiqua" w:cs="Times New Roman"/>
        </w:rPr>
      </w:pPr>
      <w:r w:rsidRPr="00CB0094">
        <w:rPr>
          <w:rStyle w:val="FootnoteReference"/>
          <w:rFonts w:ascii="Book Antiqua" w:hAnsi="Book Antiqua" w:cs="Times New Roman"/>
        </w:rPr>
        <w:footnoteRef/>
      </w:r>
      <w:r w:rsidRPr="00CB0094">
        <w:rPr>
          <w:rFonts w:ascii="Book Antiqua" w:hAnsi="Book Antiqua" w:cs="Times New Roman"/>
        </w:rPr>
        <w:t xml:space="preserve"> https://www.esma.europa.eu/press-news/esma-news/esma-advises-extension-funds-passport-12-non-eu-countries</w:t>
      </w:r>
    </w:p>
  </w:footnote>
  <w:footnote w:id="114">
    <w:p w14:paraId="1C460034" w14:textId="77777777" w:rsidR="00941425" w:rsidRPr="005B7ACE" w:rsidRDefault="00941425" w:rsidP="00390F62">
      <w:pPr>
        <w:pStyle w:val="FootnoteText"/>
        <w:spacing w:after="60"/>
        <w:jc w:val="both"/>
        <w:rPr>
          <w:rFonts w:ascii="Book Antiqua" w:hAnsi="Book Antiqua" w:cs="Times New Roman"/>
        </w:rPr>
      </w:pPr>
      <w:r w:rsidRPr="005B7ACE">
        <w:rPr>
          <w:rStyle w:val="FootnoteReference"/>
          <w:rFonts w:ascii="Book Antiqua" w:hAnsi="Book Antiqua" w:cs="Times New Roman"/>
        </w:rPr>
        <w:footnoteRef/>
      </w:r>
      <w:r w:rsidRPr="005B7ACE">
        <w:rPr>
          <w:rFonts w:ascii="Book Antiqua" w:hAnsi="Book Antiqua" w:cs="Times New Roman"/>
        </w:rPr>
        <w:t xml:space="preserve"> Which the UK will be obliged to comply with, even upon an exit from the EU.  </w:t>
      </w:r>
    </w:p>
  </w:footnote>
  <w:footnote w:id="115">
    <w:p w14:paraId="44829E5C" w14:textId="77777777" w:rsidR="00941425" w:rsidRPr="005B7ACE" w:rsidRDefault="00941425" w:rsidP="00390F62">
      <w:pPr>
        <w:pStyle w:val="FootnoteText"/>
        <w:spacing w:after="60"/>
        <w:jc w:val="both"/>
        <w:rPr>
          <w:rFonts w:ascii="Book Antiqua" w:hAnsi="Book Antiqua" w:cs="Times New Roman"/>
        </w:rPr>
      </w:pPr>
      <w:r w:rsidRPr="005B7ACE">
        <w:rPr>
          <w:rStyle w:val="FootnoteReference"/>
          <w:rFonts w:ascii="Book Antiqua" w:hAnsi="Book Antiqua" w:cs="Times New Roman"/>
        </w:rPr>
        <w:footnoteRef/>
      </w:r>
      <w:r w:rsidRPr="005B7ACE">
        <w:rPr>
          <w:rFonts w:ascii="Book Antiqua" w:hAnsi="Book Antiqua" w:cs="Times New Roman"/>
        </w:rPr>
        <w:t xml:space="preserve"> For the sake of completeness it should be noted that credit institutions also have </w:t>
      </w:r>
      <w:proofErr w:type="spellStart"/>
      <w:r w:rsidRPr="005B7ACE">
        <w:rPr>
          <w:rFonts w:ascii="Book Antiqua" w:hAnsi="Book Antiqua" w:cs="Times New Roman"/>
        </w:rPr>
        <w:t>passporting</w:t>
      </w:r>
      <w:proofErr w:type="spellEnd"/>
      <w:r w:rsidRPr="005B7ACE">
        <w:rPr>
          <w:rFonts w:ascii="Book Antiqua" w:hAnsi="Book Antiqua" w:cs="Times New Roman"/>
        </w:rPr>
        <w:t xml:space="preserve"> rights under </w:t>
      </w:r>
      <w:proofErr w:type="spellStart"/>
      <w:r w:rsidRPr="005B7ACE">
        <w:rPr>
          <w:rFonts w:ascii="Book Antiqua" w:hAnsi="Book Antiqua" w:cs="Times New Roman"/>
        </w:rPr>
        <w:t>MiFID</w:t>
      </w:r>
      <w:proofErr w:type="spellEnd"/>
      <w:r w:rsidRPr="005B7ACE">
        <w:rPr>
          <w:rFonts w:ascii="Book Antiqua" w:hAnsi="Book Antiqua" w:cs="Times New Roman"/>
        </w:rPr>
        <w:t xml:space="preserve"> to provide investment services – addressed in </w:t>
      </w:r>
      <w:r>
        <w:rPr>
          <w:rFonts w:ascii="Book Antiqua" w:hAnsi="Book Antiqua" w:cs="Times New Roman"/>
        </w:rPr>
        <w:t>Chapter 2 of this Report</w:t>
      </w:r>
      <w:r w:rsidRPr="005B7ACE">
        <w:rPr>
          <w:rFonts w:ascii="Book Antiqua" w:hAnsi="Book Antiqua" w:cs="Times New Roman"/>
        </w:rPr>
        <w:t>.  This section is concerned solely with banking activities that are authorised under CRD IV.</w:t>
      </w:r>
    </w:p>
  </w:footnote>
  <w:footnote w:id="116">
    <w:p w14:paraId="62021699" w14:textId="77777777" w:rsidR="00941425" w:rsidRPr="005B7ACE" w:rsidRDefault="00941425" w:rsidP="00390F62">
      <w:pPr>
        <w:pStyle w:val="FootnoteText"/>
        <w:spacing w:after="60"/>
        <w:jc w:val="both"/>
        <w:rPr>
          <w:rFonts w:ascii="Book Antiqua" w:hAnsi="Book Antiqua" w:cs="Times New Roman"/>
        </w:rPr>
      </w:pPr>
      <w:r w:rsidRPr="005B7ACE">
        <w:rPr>
          <w:rStyle w:val="FootnoteReference"/>
          <w:rFonts w:ascii="Book Antiqua" w:hAnsi="Book Antiqua" w:cs="Times New Roman"/>
        </w:rPr>
        <w:footnoteRef/>
      </w:r>
      <w:r w:rsidRPr="005B7ACE">
        <w:rPr>
          <w:rFonts w:ascii="Book Antiqua" w:hAnsi="Book Antiqua" w:cs="Times New Roman"/>
        </w:rPr>
        <w:t xml:space="preserve"> Articles 8 – 21.  Credit institutions are essentially banks and building societies.</w:t>
      </w:r>
    </w:p>
  </w:footnote>
  <w:footnote w:id="117">
    <w:p w14:paraId="0529C9FF" w14:textId="77777777" w:rsidR="00941425" w:rsidRPr="005B7ACE" w:rsidRDefault="00941425" w:rsidP="00390F62">
      <w:pPr>
        <w:pStyle w:val="FootnoteText"/>
        <w:spacing w:after="60"/>
        <w:jc w:val="both"/>
        <w:rPr>
          <w:rFonts w:ascii="Book Antiqua" w:hAnsi="Book Antiqua"/>
        </w:rPr>
      </w:pPr>
      <w:r w:rsidRPr="005B7ACE">
        <w:rPr>
          <w:rStyle w:val="FootnoteReference"/>
          <w:rFonts w:ascii="Book Antiqua" w:hAnsi="Book Antiqua" w:cs="Times New Roman"/>
        </w:rPr>
        <w:footnoteRef/>
      </w:r>
      <w:r w:rsidRPr="005B7ACE">
        <w:rPr>
          <w:rFonts w:ascii="Book Antiqua" w:hAnsi="Book Antiqua" w:cs="Times New Roman"/>
        </w:rPr>
        <w:t xml:space="preserve"> Articles 33 – 39.</w:t>
      </w:r>
    </w:p>
  </w:footnote>
  <w:footnote w:id="118">
    <w:p w14:paraId="2F36EA05" w14:textId="77777777" w:rsidR="00941425" w:rsidRPr="005B7ACE" w:rsidRDefault="00941425" w:rsidP="00390F62">
      <w:pPr>
        <w:pStyle w:val="FootnoteText"/>
        <w:spacing w:after="60"/>
        <w:jc w:val="both"/>
        <w:rPr>
          <w:rFonts w:ascii="Book Antiqua" w:hAnsi="Book Antiqua" w:cs="Times New Roman"/>
        </w:rPr>
      </w:pPr>
      <w:r w:rsidRPr="005B7ACE">
        <w:rPr>
          <w:rStyle w:val="FootnoteReference"/>
          <w:rFonts w:ascii="Book Antiqua" w:hAnsi="Book Antiqua" w:cs="Times New Roman"/>
        </w:rPr>
        <w:footnoteRef/>
      </w:r>
      <w:r w:rsidRPr="005B7ACE">
        <w:rPr>
          <w:rFonts w:ascii="Book Antiqua" w:hAnsi="Book Antiqua" w:cs="Times New Roman"/>
        </w:rPr>
        <w:t xml:space="preserve"> The requirements of notification are contained in articles 35 and 39.</w:t>
      </w:r>
    </w:p>
  </w:footnote>
  <w:footnote w:id="119">
    <w:p w14:paraId="68BC8600" w14:textId="77777777" w:rsidR="00941425" w:rsidRPr="005B7ACE" w:rsidRDefault="00941425" w:rsidP="00390F62">
      <w:pPr>
        <w:spacing w:after="60" w:line="240" w:lineRule="auto"/>
        <w:jc w:val="both"/>
        <w:rPr>
          <w:rFonts w:ascii="Book Antiqua" w:eastAsia="Times New Roman" w:hAnsi="Book Antiqua" w:cs="Times New Roman"/>
          <w:sz w:val="20"/>
          <w:szCs w:val="20"/>
        </w:rPr>
      </w:pPr>
      <w:r w:rsidRPr="005B7ACE">
        <w:rPr>
          <w:rStyle w:val="FootnoteReference"/>
          <w:rFonts w:ascii="Book Antiqua" w:hAnsi="Book Antiqua" w:cs="Times New Roman"/>
          <w:sz w:val="20"/>
          <w:szCs w:val="20"/>
        </w:rPr>
        <w:footnoteRef/>
      </w:r>
      <w:r w:rsidRPr="005B7ACE">
        <w:rPr>
          <w:rFonts w:ascii="Book Antiqua" w:hAnsi="Book Antiqua" w:cs="Times New Roman"/>
          <w:sz w:val="20"/>
          <w:szCs w:val="20"/>
        </w:rPr>
        <w:t xml:space="preserve"> </w:t>
      </w:r>
      <w:r w:rsidRPr="005B7ACE">
        <w:rPr>
          <w:rFonts w:ascii="Book Antiqua" w:hAnsi="Book Antiqua" w:cs="Times New Roman"/>
          <w:sz w:val="20"/>
          <w:szCs w:val="20"/>
          <w:lang w:val="en-US"/>
        </w:rPr>
        <w:t xml:space="preserve">There is a similar provision as regards to exposure </w:t>
      </w:r>
      <w:r w:rsidRPr="005B7ACE">
        <w:rPr>
          <w:rFonts w:ascii="Book Antiqua" w:eastAsia="Times New Roman" w:hAnsi="Book Antiqua" w:cs="Times New Roman"/>
          <w:sz w:val="20"/>
          <w:szCs w:val="20"/>
        </w:rPr>
        <w:t>to central governments, central banks, regional governments, local authorities and public sector entities (arts 114 – 116 of the CRR).</w:t>
      </w:r>
    </w:p>
  </w:footnote>
  <w:footnote w:id="120">
    <w:p w14:paraId="236D9315" w14:textId="77777777" w:rsidR="00941425" w:rsidRPr="005B7ACE" w:rsidRDefault="00941425" w:rsidP="00390F62">
      <w:pPr>
        <w:pStyle w:val="FootnoteText"/>
        <w:spacing w:after="60"/>
        <w:jc w:val="both"/>
        <w:rPr>
          <w:rFonts w:ascii="Book Antiqua" w:hAnsi="Book Antiqua" w:cs="Times New Roman"/>
        </w:rPr>
      </w:pPr>
      <w:r w:rsidRPr="005B7ACE">
        <w:rPr>
          <w:rStyle w:val="FootnoteReference"/>
          <w:rFonts w:ascii="Book Antiqua" w:hAnsi="Book Antiqua" w:cs="Times New Roman"/>
        </w:rPr>
        <w:footnoteRef/>
      </w:r>
      <w:r w:rsidRPr="005B7ACE">
        <w:rPr>
          <w:rFonts w:ascii="Book Antiqua" w:hAnsi="Book Antiqua" w:cs="Times New Roman"/>
        </w:rPr>
        <w:t xml:space="preserve">  A memorandum on </w:t>
      </w:r>
      <w:proofErr w:type="spellStart"/>
      <w:r w:rsidRPr="005B7ACE">
        <w:rPr>
          <w:rFonts w:ascii="Book Antiqua" w:hAnsi="Book Antiqua" w:cs="Times New Roman"/>
        </w:rPr>
        <w:t>Brexit</w:t>
      </w:r>
      <w:proofErr w:type="spellEnd"/>
      <w:r w:rsidRPr="005B7ACE">
        <w:rPr>
          <w:rFonts w:ascii="Book Antiqua" w:hAnsi="Book Antiqua" w:cs="Times New Roman"/>
        </w:rPr>
        <w:t xml:space="preserve"> published by the Japanese Government in September 2016, stated as material </w:t>
      </w:r>
      <w:r w:rsidRPr="005B7ACE">
        <w:rPr>
          <w:rFonts w:ascii="Book Antiqua" w:hAnsi="Book Antiqua" w:cs="Times New Roman"/>
          <w:i/>
        </w:rPr>
        <w:t>“…If Japanese financial institutions are unable to maintain the single passport obtained in the UK, they would face difficulties in their business operations in the EU and might have to acquire corporate status within the EU anew and obtain the passport again, or to relocate their operations from the UK to existing establishments in the EU…”</w:t>
      </w:r>
    </w:p>
  </w:footnote>
  <w:footnote w:id="121">
    <w:p w14:paraId="1E72AD98" w14:textId="77777777" w:rsidR="00941425" w:rsidRPr="004772E9" w:rsidRDefault="00941425" w:rsidP="009024BF">
      <w:pPr>
        <w:pStyle w:val="FootnoteText"/>
        <w:jc w:val="both"/>
        <w:rPr>
          <w:rFonts w:ascii="Times New Roman" w:hAnsi="Times New Roman" w:cs="Times New Roman"/>
        </w:rPr>
      </w:pPr>
      <w:r w:rsidRPr="004772E9">
        <w:rPr>
          <w:rStyle w:val="FootnoteReference"/>
          <w:rFonts w:ascii="Times New Roman" w:hAnsi="Times New Roman" w:cs="Times New Roman"/>
        </w:rPr>
        <w:footnoteRef/>
      </w:r>
      <w:r w:rsidRPr="004772E9">
        <w:rPr>
          <w:rFonts w:ascii="Times New Roman" w:hAnsi="Times New Roman" w:cs="Times New Roman"/>
        </w:rPr>
        <w:t xml:space="preserve"> </w:t>
      </w:r>
      <w:r w:rsidRPr="004772E9">
        <w:rPr>
          <w:rFonts w:ascii="Times New Roman" w:hAnsi="Times New Roman" w:cs="Times New Roman"/>
        </w:rPr>
        <w:tab/>
      </w:r>
      <w:proofErr w:type="gramStart"/>
      <w:r w:rsidRPr="002B487F">
        <w:rPr>
          <w:rFonts w:ascii="Book Antiqua" w:hAnsi="Book Antiqua" w:cs="Times New Roman"/>
        </w:rPr>
        <w:t>Regulation</w:t>
      </w:r>
      <w:r w:rsidRPr="004772E9">
        <w:rPr>
          <w:rFonts w:ascii="Times New Roman" w:hAnsi="Times New Roman" w:cs="Times New Roman"/>
        </w:rPr>
        <w:t xml:space="preserve"> No 648/2012.</w:t>
      </w:r>
      <w:proofErr w:type="gramEnd"/>
    </w:p>
  </w:footnote>
  <w:footnote w:id="122">
    <w:p w14:paraId="00E68577" w14:textId="77777777" w:rsidR="00941425" w:rsidRPr="00F636BA" w:rsidRDefault="00941425" w:rsidP="009024BF">
      <w:pPr>
        <w:pStyle w:val="FootnoteText"/>
        <w:jc w:val="both"/>
        <w:rPr>
          <w:rFonts w:ascii="Times New Roman" w:hAnsi="Times New Roman" w:cs="Times New Roman"/>
          <w:lang w:val="en-US"/>
        </w:rPr>
      </w:pPr>
      <w:r w:rsidRPr="00F636BA">
        <w:rPr>
          <w:rStyle w:val="FootnoteReference"/>
          <w:rFonts w:ascii="Times New Roman" w:hAnsi="Times New Roman" w:cs="Times New Roman"/>
        </w:rPr>
        <w:footnoteRef/>
      </w:r>
      <w:r w:rsidRPr="00F636BA">
        <w:rPr>
          <w:rFonts w:ascii="Times New Roman" w:hAnsi="Times New Roman" w:cs="Times New Roman"/>
        </w:rPr>
        <w:t xml:space="preserve"> </w:t>
      </w:r>
      <w:r w:rsidRPr="00F636BA">
        <w:rPr>
          <w:rFonts w:ascii="Times New Roman" w:eastAsiaTheme="minorEastAsia" w:hAnsi="Times New Roman" w:cs="Times New Roman"/>
          <w:color w:val="343434"/>
          <w:lang w:val="en-US"/>
        </w:rPr>
        <w:t xml:space="preserve">Directive 2007/64/EC of the European Parliament and of the Council of 13 November 2007 on payment services in the internal market amending Directives 97/7/EC, 2002/65/EC, 2005/60/EC and 2006/48/EC and repealing Directive 97/5/EC. Full text version at: </w:t>
      </w:r>
      <w:hyperlink r:id="rId9" w:history="1">
        <w:r w:rsidRPr="00F636BA">
          <w:rPr>
            <w:rFonts w:ascii="Times New Roman" w:eastAsiaTheme="minorEastAsia" w:hAnsi="Times New Roman" w:cs="Times New Roman"/>
            <w:color w:val="4583FF"/>
            <w:u w:val="single" w:color="4583FF"/>
            <w:lang w:val="en-US"/>
          </w:rPr>
          <w:t>http://data.europa.eu/eli/dir/2007/64/oj</w:t>
        </w:r>
      </w:hyperlink>
      <w:r w:rsidRPr="00F636BA">
        <w:rPr>
          <w:rFonts w:ascii="Times New Roman" w:eastAsiaTheme="minorEastAsia" w:hAnsi="Times New Roman" w:cs="Times New Roman"/>
          <w:lang w:val="en-US"/>
        </w:rPr>
        <w:t xml:space="preserve"> </w:t>
      </w:r>
    </w:p>
  </w:footnote>
  <w:footnote w:id="123">
    <w:p w14:paraId="269AC58D" w14:textId="77777777" w:rsidR="00941425" w:rsidRPr="00F636BA" w:rsidRDefault="00941425" w:rsidP="009024BF">
      <w:pPr>
        <w:pStyle w:val="FootnoteText"/>
        <w:rPr>
          <w:rFonts w:ascii="Times New Roman" w:hAnsi="Times New Roman" w:cs="Times New Roman"/>
          <w:lang w:val="en-US"/>
        </w:rPr>
      </w:pPr>
      <w:r w:rsidRPr="00F636BA">
        <w:rPr>
          <w:rStyle w:val="FootnoteReference"/>
          <w:rFonts w:ascii="Times New Roman" w:hAnsi="Times New Roman" w:cs="Times New Roman"/>
        </w:rPr>
        <w:footnoteRef/>
      </w:r>
      <w:r w:rsidRPr="00F636BA">
        <w:rPr>
          <w:rFonts w:ascii="Times New Roman" w:hAnsi="Times New Roman" w:cs="Times New Roman"/>
        </w:rPr>
        <w:t xml:space="preserve"> http://europa.eu/rapid/press-release_MEMO-15-5793_en.htm</w:t>
      </w:r>
      <w:proofErr w:type="gramStart"/>
      <w:r w:rsidRPr="00F636BA">
        <w:rPr>
          <w:rFonts w:ascii="Times New Roman" w:hAnsi="Times New Roman" w:cs="Times New Roman"/>
        </w:rPr>
        <w:t>?locale</w:t>
      </w:r>
      <w:proofErr w:type="gramEnd"/>
      <w:r w:rsidRPr="00F636BA">
        <w:rPr>
          <w:rFonts w:ascii="Times New Roman" w:hAnsi="Times New Roman" w:cs="Times New Roman"/>
        </w:rPr>
        <w:t>=en</w:t>
      </w:r>
    </w:p>
  </w:footnote>
  <w:footnote w:id="124">
    <w:p w14:paraId="1A998938" w14:textId="77777777" w:rsidR="00941425" w:rsidRPr="00F636BA" w:rsidRDefault="00941425" w:rsidP="009024BF">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36BA">
        <w:rPr>
          <w:rStyle w:val="FootnoteReference"/>
          <w:rFonts w:ascii="Times New Roman" w:hAnsi="Times New Roman" w:cs="Times New Roman"/>
          <w:sz w:val="20"/>
          <w:szCs w:val="20"/>
        </w:rPr>
        <w:footnoteRef/>
      </w:r>
      <w:r w:rsidRPr="00F636BA">
        <w:rPr>
          <w:rFonts w:ascii="Times New Roman" w:hAnsi="Times New Roman" w:cs="Times New Roman"/>
          <w:sz w:val="20"/>
          <w:szCs w:val="20"/>
        </w:rPr>
        <w:t xml:space="preserve"> </w:t>
      </w:r>
      <w:hyperlink r:id="rId10" w:history="1">
        <w:r w:rsidRPr="00F636BA">
          <w:rPr>
            <w:rStyle w:val="Hyperlink"/>
            <w:rFonts w:ascii="Times New Roman" w:eastAsiaTheme="minorEastAsia" w:hAnsi="Times New Roman" w:cs="Times New Roman"/>
            <w:sz w:val="20"/>
            <w:szCs w:val="20"/>
            <w:lang w:val="en-US"/>
          </w:rPr>
          <w:t>http://www.legislation.gov.uk/uksi/2009/209/contents/made</w:t>
        </w:r>
      </w:hyperlink>
      <w:r w:rsidRPr="00F636BA">
        <w:rPr>
          <w:rFonts w:ascii="Times New Roman" w:eastAsiaTheme="minorEastAsia" w:hAnsi="Times New Roman" w:cs="Times New Roman"/>
          <w:color w:val="0000FF"/>
          <w:sz w:val="20"/>
          <w:szCs w:val="20"/>
          <w:lang w:val="en-US"/>
        </w:rPr>
        <w:t xml:space="preserve"> </w:t>
      </w:r>
    </w:p>
  </w:footnote>
  <w:footnote w:id="125">
    <w:p w14:paraId="0F31E3E7" w14:textId="77777777" w:rsidR="00941425" w:rsidRPr="00F636BA" w:rsidRDefault="00941425" w:rsidP="009024BF">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36BA">
        <w:rPr>
          <w:rStyle w:val="FootnoteReference"/>
          <w:rFonts w:ascii="Times New Roman" w:hAnsi="Times New Roman" w:cs="Times New Roman"/>
          <w:sz w:val="20"/>
          <w:szCs w:val="20"/>
        </w:rPr>
        <w:footnoteRef/>
      </w:r>
      <w:r w:rsidRPr="00F636BA">
        <w:rPr>
          <w:rFonts w:ascii="Times New Roman" w:hAnsi="Times New Roman" w:cs="Times New Roman"/>
          <w:sz w:val="20"/>
          <w:szCs w:val="20"/>
        </w:rPr>
        <w:t xml:space="preserve"> </w:t>
      </w:r>
      <w:hyperlink r:id="rId11" w:history="1">
        <w:r w:rsidRPr="00F636BA">
          <w:rPr>
            <w:rStyle w:val="Hyperlink"/>
            <w:rFonts w:ascii="Times New Roman" w:eastAsiaTheme="minorEastAsia" w:hAnsi="Times New Roman" w:cs="Times New Roman"/>
            <w:sz w:val="20"/>
            <w:szCs w:val="20"/>
            <w:lang w:val="en-US"/>
          </w:rPr>
          <w:t>http://www.legislation.gov.uk/uksi/2009/2475/contents/made</w:t>
        </w:r>
      </w:hyperlink>
      <w:r w:rsidRPr="00F636BA">
        <w:rPr>
          <w:rFonts w:ascii="Times New Roman" w:eastAsiaTheme="minorEastAsia" w:hAnsi="Times New Roman" w:cs="Times New Roman"/>
          <w:color w:val="0000FF"/>
          <w:sz w:val="20"/>
          <w:szCs w:val="20"/>
          <w:lang w:val="en-US"/>
        </w:rPr>
        <w:t xml:space="preserve"> </w:t>
      </w:r>
    </w:p>
  </w:footnote>
  <w:footnote w:id="126">
    <w:p w14:paraId="0800D9BE" w14:textId="77777777" w:rsidR="00941425" w:rsidRPr="00F636BA" w:rsidRDefault="00941425" w:rsidP="009024BF">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36BA">
        <w:rPr>
          <w:rStyle w:val="FootnoteReference"/>
          <w:rFonts w:ascii="Times New Roman" w:hAnsi="Times New Roman" w:cs="Times New Roman"/>
          <w:sz w:val="20"/>
          <w:szCs w:val="20"/>
        </w:rPr>
        <w:footnoteRef/>
      </w:r>
      <w:r w:rsidRPr="00F636BA">
        <w:rPr>
          <w:rFonts w:ascii="Times New Roman" w:hAnsi="Times New Roman" w:cs="Times New Roman"/>
          <w:sz w:val="20"/>
          <w:szCs w:val="20"/>
        </w:rPr>
        <w:t xml:space="preserve"> </w:t>
      </w:r>
      <w:hyperlink r:id="rId12" w:history="1">
        <w:r w:rsidRPr="00F636BA">
          <w:rPr>
            <w:rStyle w:val="Hyperlink"/>
            <w:rFonts w:ascii="Times New Roman" w:eastAsiaTheme="minorEastAsia" w:hAnsi="Times New Roman" w:cs="Times New Roman"/>
            <w:sz w:val="20"/>
            <w:szCs w:val="20"/>
            <w:lang w:val="en-US"/>
          </w:rPr>
          <w:t>http://www.legislation.gov.uk/uksi/2012/1791/contents/made</w:t>
        </w:r>
      </w:hyperlink>
      <w:r w:rsidRPr="00F636BA">
        <w:rPr>
          <w:rFonts w:ascii="Times New Roman" w:eastAsiaTheme="minorEastAsia" w:hAnsi="Times New Roman" w:cs="Times New Roman"/>
          <w:color w:val="0000FF"/>
          <w:sz w:val="20"/>
          <w:szCs w:val="20"/>
          <w:lang w:val="en-US"/>
        </w:rPr>
        <w:t xml:space="preserve"> </w:t>
      </w:r>
    </w:p>
  </w:footnote>
  <w:footnote w:id="127">
    <w:p w14:paraId="23AE0E6D" w14:textId="77777777" w:rsidR="00941425" w:rsidRPr="00F636BA" w:rsidRDefault="00941425" w:rsidP="009024BF">
      <w:pPr>
        <w:spacing w:after="0"/>
        <w:jc w:val="both"/>
        <w:rPr>
          <w:rFonts w:ascii="Times New Roman" w:hAnsi="Times New Roman" w:cs="Times New Roman"/>
          <w:sz w:val="20"/>
          <w:szCs w:val="20"/>
        </w:rPr>
      </w:pPr>
      <w:r w:rsidRPr="00F636BA">
        <w:rPr>
          <w:rStyle w:val="FootnoteReference"/>
          <w:rFonts w:ascii="Times New Roman" w:hAnsi="Times New Roman" w:cs="Times New Roman"/>
          <w:sz w:val="20"/>
          <w:szCs w:val="20"/>
        </w:rPr>
        <w:footnoteRef/>
      </w:r>
      <w:r w:rsidRPr="00F636BA">
        <w:rPr>
          <w:rFonts w:ascii="Times New Roman" w:hAnsi="Times New Roman" w:cs="Times New Roman"/>
          <w:sz w:val="20"/>
          <w:szCs w:val="20"/>
        </w:rPr>
        <w:t xml:space="preserve"> See in particular </w:t>
      </w:r>
      <w:r w:rsidRPr="00F636BA">
        <w:rPr>
          <w:rFonts w:ascii="Times New Roman" w:eastAsiaTheme="minorEastAsia" w:hAnsi="Times New Roman" w:cs="Times New Roman"/>
          <w:iCs/>
          <w:sz w:val="20"/>
          <w:szCs w:val="20"/>
          <w:lang w:val="en-US"/>
        </w:rPr>
        <w:t xml:space="preserve">Chapter 3 – </w:t>
      </w:r>
      <w:proofErr w:type="spellStart"/>
      <w:r w:rsidRPr="00F636BA">
        <w:rPr>
          <w:rFonts w:ascii="Times New Roman" w:eastAsiaTheme="minorEastAsia" w:hAnsi="Times New Roman" w:cs="Times New Roman"/>
          <w:iCs/>
          <w:sz w:val="20"/>
          <w:szCs w:val="20"/>
          <w:lang w:val="en-US"/>
        </w:rPr>
        <w:t>Authorisation</w:t>
      </w:r>
      <w:proofErr w:type="spellEnd"/>
      <w:r w:rsidRPr="00F636BA">
        <w:rPr>
          <w:rFonts w:ascii="Times New Roman" w:eastAsiaTheme="minorEastAsia" w:hAnsi="Times New Roman" w:cs="Times New Roman"/>
          <w:iCs/>
          <w:sz w:val="20"/>
          <w:szCs w:val="20"/>
          <w:lang w:val="en-US"/>
        </w:rPr>
        <w:t xml:space="preserve"> and registration</w:t>
      </w:r>
      <w:r w:rsidRPr="00F636BA">
        <w:rPr>
          <w:rFonts w:ascii="Times New Roman" w:eastAsiaTheme="minorEastAsia" w:hAnsi="Times New Roman" w:cs="Times New Roman"/>
          <w:sz w:val="20"/>
          <w:szCs w:val="20"/>
          <w:lang w:val="en-US"/>
        </w:rPr>
        <w:t xml:space="preserve">, Chapter </w:t>
      </w:r>
      <w:r w:rsidRPr="00F636BA">
        <w:rPr>
          <w:rFonts w:ascii="Times New Roman" w:eastAsiaTheme="minorEastAsia" w:hAnsi="Times New Roman" w:cs="Times New Roman"/>
          <w:iCs/>
          <w:sz w:val="20"/>
          <w:szCs w:val="20"/>
          <w:lang w:val="en-US"/>
        </w:rPr>
        <w:t xml:space="preserve">6 – </w:t>
      </w:r>
      <w:proofErr w:type="spellStart"/>
      <w:r w:rsidRPr="00F636BA">
        <w:rPr>
          <w:rFonts w:ascii="Times New Roman" w:eastAsiaTheme="minorEastAsia" w:hAnsi="Times New Roman" w:cs="Times New Roman"/>
          <w:iCs/>
          <w:sz w:val="20"/>
          <w:szCs w:val="20"/>
          <w:lang w:val="en-US"/>
        </w:rPr>
        <w:t>Passporting</w:t>
      </w:r>
      <w:proofErr w:type="spellEnd"/>
      <w:r w:rsidRPr="00F636BA">
        <w:rPr>
          <w:rFonts w:ascii="Times New Roman" w:eastAsiaTheme="minorEastAsia" w:hAnsi="Times New Roman" w:cs="Times New Roman"/>
          <w:iCs/>
          <w:sz w:val="20"/>
          <w:szCs w:val="20"/>
          <w:lang w:val="en-US"/>
        </w:rPr>
        <w:t xml:space="preserve"> and Chapter 9 – Capital resources and requirements within the document on “The FCA’s role under the Payment Services Regulations 2009” available at: </w:t>
      </w:r>
      <w:hyperlink r:id="rId13" w:history="1">
        <w:r w:rsidRPr="00F636BA">
          <w:rPr>
            <w:rStyle w:val="Hyperlink"/>
            <w:rFonts w:ascii="Times New Roman" w:eastAsiaTheme="minorEastAsia" w:hAnsi="Times New Roman" w:cs="Times New Roman"/>
            <w:iCs/>
            <w:sz w:val="20"/>
            <w:szCs w:val="20"/>
            <w:lang w:val="en-US"/>
          </w:rPr>
          <w:t>https://www.fca.org.uk/publication/archive/payment-services-approach.pdf</w:t>
        </w:r>
      </w:hyperlink>
      <w:r w:rsidRPr="00F636BA">
        <w:rPr>
          <w:rFonts w:ascii="Times New Roman" w:eastAsiaTheme="minorEastAsia" w:hAnsi="Times New Roman" w:cs="Times New Roman"/>
          <w:iCs/>
          <w:sz w:val="20"/>
          <w:szCs w:val="20"/>
          <w:lang w:val="en-US"/>
        </w:rPr>
        <w:t xml:space="preserve"> </w:t>
      </w:r>
    </w:p>
  </w:footnote>
  <w:footnote w:id="128">
    <w:p w14:paraId="676C36DC" w14:textId="77777777" w:rsidR="00941425" w:rsidRPr="00F636BA" w:rsidRDefault="00941425" w:rsidP="009024BF">
      <w:pPr>
        <w:pStyle w:val="FootnoteText"/>
        <w:jc w:val="both"/>
        <w:rPr>
          <w:rFonts w:ascii="Times New Roman" w:hAnsi="Times New Roman" w:cs="Times New Roman"/>
          <w:lang w:val="en-US"/>
        </w:rPr>
      </w:pPr>
      <w:r w:rsidRPr="00F636BA">
        <w:rPr>
          <w:rStyle w:val="FootnoteReference"/>
          <w:rFonts w:ascii="Times New Roman" w:hAnsi="Times New Roman" w:cs="Times New Roman"/>
        </w:rPr>
        <w:footnoteRef/>
      </w:r>
      <w:r w:rsidRPr="00F636BA">
        <w:rPr>
          <w:rFonts w:ascii="Times New Roman" w:hAnsi="Times New Roman" w:cs="Times New Roman"/>
        </w:rPr>
        <w:t xml:space="preserve"> </w:t>
      </w:r>
      <w:r w:rsidRPr="00F636BA">
        <w:rPr>
          <w:rFonts w:ascii="Times New Roman" w:hAnsi="Times New Roman" w:cs="Times New Roman"/>
          <w:lang w:val="en-US"/>
        </w:rPr>
        <w:t>SPI are exempt if they have an average monthly payment value of no more than €3 million and do not intend to provide payment services on a cross-border basis.</w:t>
      </w:r>
    </w:p>
  </w:footnote>
  <w:footnote w:id="129">
    <w:p w14:paraId="3D819484" w14:textId="77777777" w:rsidR="00941425" w:rsidRPr="00F636BA" w:rsidRDefault="00941425" w:rsidP="009024BF">
      <w:pPr>
        <w:spacing w:after="0"/>
        <w:jc w:val="both"/>
        <w:rPr>
          <w:rFonts w:ascii="Times New Roman" w:hAnsi="Times New Roman" w:cs="Times New Roman"/>
          <w:sz w:val="20"/>
          <w:szCs w:val="20"/>
        </w:rPr>
      </w:pPr>
      <w:r w:rsidRPr="00F636BA">
        <w:rPr>
          <w:rStyle w:val="FootnoteReference"/>
          <w:rFonts w:ascii="Times New Roman" w:hAnsi="Times New Roman" w:cs="Times New Roman"/>
          <w:sz w:val="20"/>
          <w:szCs w:val="20"/>
        </w:rPr>
        <w:footnoteRef/>
      </w:r>
      <w:r w:rsidRPr="00F636BA">
        <w:rPr>
          <w:rFonts w:ascii="Times New Roman" w:hAnsi="Times New Roman" w:cs="Times New Roman"/>
          <w:sz w:val="20"/>
          <w:szCs w:val="20"/>
        </w:rPr>
        <w:t xml:space="preserve"> See in particular Chapter </w:t>
      </w:r>
      <w:r w:rsidRPr="00F636BA">
        <w:rPr>
          <w:rFonts w:ascii="Times New Roman" w:eastAsiaTheme="minorEastAsia" w:hAnsi="Times New Roman" w:cs="Times New Roman"/>
          <w:iCs/>
          <w:sz w:val="20"/>
          <w:szCs w:val="20"/>
          <w:lang w:val="en-US"/>
        </w:rPr>
        <w:t xml:space="preserve">3 – </w:t>
      </w:r>
      <w:proofErr w:type="spellStart"/>
      <w:r w:rsidRPr="00F636BA">
        <w:rPr>
          <w:rFonts w:ascii="Times New Roman" w:eastAsiaTheme="minorEastAsia" w:hAnsi="Times New Roman" w:cs="Times New Roman"/>
          <w:iCs/>
          <w:sz w:val="20"/>
          <w:szCs w:val="20"/>
          <w:lang w:val="en-US"/>
        </w:rPr>
        <w:t>Authorisation</w:t>
      </w:r>
      <w:proofErr w:type="spellEnd"/>
      <w:r w:rsidRPr="00F636BA">
        <w:rPr>
          <w:rFonts w:ascii="Times New Roman" w:eastAsiaTheme="minorEastAsia" w:hAnsi="Times New Roman" w:cs="Times New Roman"/>
          <w:iCs/>
          <w:sz w:val="20"/>
          <w:szCs w:val="20"/>
          <w:lang w:val="en-US"/>
        </w:rPr>
        <w:t xml:space="preserve"> and registration of document on “The FCA’s role under the Payment Services Regulations 2009” available at: </w:t>
      </w:r>
      <w:hyperlink r:id="rId14" w:history="1">
        <w:r w:rsidRPr="00F636BA">
          <w:rPr>
            <w:rStyle w:val="Hyperlink"/>
            <w:rFonts w:ascii="Times New Roman" w:eastAsiaTheme="minorEastAsia" w:hAnsi="Times New Roman" w:cs="Times New Roman"/>
            <w:iCs/>
            <w:sz w:val="20"/>
            <w:szCs w:val="20"/>
            <w:lang w:val="en-US"/>
          </w:rPr>
          <w:t>https://www.fca.org.uk/publication/archive/payment-services-approach.pdf</w:t>
        </w:r>
      </w:hyperlink>
      <w:r w:rsidRPr="00F636BA">
        <w:rPr>
          <w:rFonts w:ascii="Times New Roman" w:eastAsiaTheme="minorEastAsia" w:hAnsi="Times New Roman" w:cs="Times New Roman"/>
          <w:iCs/>
          <w:sz w:val="20"/>
          <w:szCs w:val="20"/>
          <w:lang w:val="en-US"/>
        </w:rPr>
        <w:t xml:space="preserve"> </w:t>
      </w:r>
    </w:p>
  </w:footnote>
  <w:footnote w:id="130">
    <w:p w14:paraId="2F2B4E0B" w14:textId="77777777" w:rsidR="00941425" w:rsidRPr="00F636BA" w:rsidRDefault="00941425" w:rsidP="009024BF">
      <w:pPr>
        <w:spacing w:after="0"/>
        <w:jc w:val="both"/>
        <w:rPr>
          <w:rFonts w:ascii="Times New Roman" w:hAnsi="Times New Roman" w:cs="Times New Roman"/>
          <w:sz w:val="20"/>
          <w:szCs w:val="20"/>
        </w:rPr>
      </w:pPr>
      <w:r w:rsidRPr="00F636BA">
        <w:rPr>
          <w:rStyle w:val="FootnoteReference"/>
          <w:rFonts w:ascii="Times New Roman" w:hAnsi="Times New Roman" w:cs="Times New Roman"/>
          <w:sz w:val="20"/>
          <w:szCs w:val="20"/>
        </w:rPr>
        <w:footnoteRef/>
      </w:r>
      <w:r w:rsidRPr="00F636BA">
        <w:rPr>
          <w:rFonts w:ascii="Times New Roman" w:hAnsi="Times New Roman" w:cs="Times New Roman"/>
          <w:sz w:val="20"/>
          <w:szCs w:val="20"/>
        </w:rPr>
        <w:t xml:space="preserve"> In a letter from Mr Andrew Bailey, head of the FCA to Mr Andrew </w:t>
      </w:r>
      <w:proofErr w:type="spellStart"/>
      <w:r w:rsidRPr="00F636BA">
        <w:rPr>
          <w:rFonts w:ascii="Times New Roman" w:hAnsi="Times New Roman" w:cs="Times New Roman"/>
          <w:sz w:val="20"/>
          <w:szCs w:val="20"/>
        </w:rPr>
        <w:t>Tyrie</w:t>
      </w:r>
      <w:proofErr w:type="spellEnd"/>
      <w:r w:rsidRPr="00F636BA">
        <w:rPr>
          <w:rFonts w:ascii="Times New Roman" w:hAnsi="Times New Roman" w:cs="Times New Roman"/>
          <w:sz w:val="20"/>
          <w:szCs w:val="20"/>
        </w:rPr>
        <w:t>, head of the Treasury Committee it was revealed that 284 UK firms currently hold at least one passport under the PSD to trade elsewhere in EU, compared with 115 companies in other EEA states using at least one passport to trade in the UK. See:</w:t>
      </w:r>
      <w:r w:rsidRPr="00F636BA">
        <w:rPr>
          <w:rFonts w:ascii="Times New Roman" w:eastAsiaTheme="minorEastAsia" w:hAnsi="Times New Roman" w:cs="Times New Roman"/>
          <w:iCs/>
          <w:sz w:val="20"/>
          <w:szCs w:val="20"/>
          <w:lang w:val="en-US"/>
        </w:rPr>
        <w:t xml:space="preserve"> </w:t>
      </w:r>
      <w:hyperlink r:id="rId15" w:history="1">
        <w:r w:rsidRPr="00F636BA">
          <w:rPr>
            <w:rStyle w:val="Hyperlink"/>
            <w:rFonts w:ascii="Times New Roman" w:eastAsiaTheme="minorEastAsia" w:hAnsi="Times New Roman" w:cs="Times New Roman"/>
            <w:iCs/>
            <w:sz w:val="20"/>
            <w:szCs w:val="20"/>
            <w:lang w:val="en-US"/>
          </w:rPr>
          <w:t>https://www.parliament.uk/documents/commons-committees/treasury/Correspondence/AJB-to-Andrew-Tyrie-Passporting.PDF</w:t>
        </w:r>
      </w:hyperlink>
      <w:r w:rsidRPr="00F636BA">
        <w:rPr>
          <w:rFonts w:ascii="Times New Roman" w:eastAsiaTheme="minorEastAsia" w:hAnsi="Times New Roman" w:cs="Times New Roman"/>
          <w:iCs/>
          <w:sz w:val="20"/>
          <w:szCs w:val="20"/>
          <w:lang w:val="en-US"/>
        </w:rPr>
        <w:t>.</w:t>
      </w:r>
    </w:p>
  </w:footnote>
  <w:footnote w:id="131">
    <w:p w14:paraId="2B5DB76A" w14:textId="77777777" w:rsidR="00941425" w:rsidRPr="00F636BA" w:rsidRDefault="00941425" w:rsidP="009024BF">
      <w:pPr>
        <w:pStyle w:val="FootnoteText"/>
        <w:rPr>
          <w:rFonts w:ascii="Times New Roman" w:hAnsi="Times New Roman" w:cs="Times New Roman"/>
          <w:lang w:val="en-US"/>
        </w:rPr>
      </w:pPr>
      <w:r w:rsidRPr="00F636BA">
        <w:rPr>
          <w:rStyle w:val="FootnoteReference"/>
          <w:rFonts w:ascii="Times New Roman" w:hAnsi="Times New Roman" w:cs="Times New Roman"/>
        </w:rPr>
        <w:footnoteRef/>
      </w:r>
      <w:r w:rsidRPr="00F636BA">
        <w:rPr>
          <w:rFonts w:ascii="Times New Roman" w:hAnsi="Times New Roman" w:cs="Times New Roman"/>
        </w:rPr>
        <w:t xml:space="preserve"> </w:t>
      </w:r>
      <w:hyperlink r:id="rId16" w:history="1">
        <w:r w:rsidRPr="00F636BA">
          <w:rPr>
            <w:rStyle w:val="Hyperlink"/>
            <w:rFonts w:ascii="Times New Roman" w:hAnsi="Times New Roman" w:cs="Times New Roman"/>
          </w:rPr>
          <w:t>http://news.sky.com/story/brexit-jobs-threat-at-credit-card-giant-visa-10327664</w:t>
        </w:r>
      </w:hyperlink>
      <w:r w:rsidRPr="00F636BA">
        <w:rPr>
          <w:rFonts w:ascii="Times New Roman" w:hAnsi="Times New Roman" w:cs="Times New Roman"/>
        </w:rPr>
        <w:t xml:space="preserve"> (accessed 20 December 2016).</w:t>
      </w:r>
    </w:p>
  </w:footnote>
  <w:footnote w:id="132">
    <w:p w14:paraId="455238EC" w14:textId="77777777" w:rsidR="00941425" w:rsidRPr="00F636BA" w:rsidRDefault="00941425" w:rsidP="009024BF">
      <w:pPr>
        <w:pStyle w:val="FootnoteText"/>
        <w:rPr>
          <w:rFonts w:ascii="Times New Roman" w:hAnsi="Times New Roman" w:cs="Times New Roman"/>
          <w:lang w:val="en-US"/>
        </w:rPr>
      </w:pPr>
      <w:r w:rsidRPr="00F636BA">
        <w:rPr>
          <w:rStyle w:val="FootnoteReference"/>
          <w:rFonts w:ascii="Times New Roman" w:hAnsi="Times New Roman" w:cs="Times New Roman"/>
        </w:rPr>
        <w:footnoteRef/>
      </w:r>
      <w:r w:rsidRPr="00F636BA">
        <w:rPr>
          <w:rFonts w:ascii="Times New Roman" w:hAnsi="Times New Roman" w:cs="Times New Roman"/>
        </w:rPr>
        <w:t xml:space="preserve"> http://ec.europa.eu/competition/publications/cpn/2002_3_33.pdf</w:t>
      </w:r>
    </w:p>
  </w:footnote>
  <w:footnote w:id="133">
    <w:p w14:paraId="7E5E8049" w14:textId="77777777" w:rsidR="00941425" w:rsidRPr="00F636BA" w:rsidRDefault="00941425" w:rsidP="009024BF">
      <w:pPr>
        <w:pStyle w:val="FootnoteText"/>
        <w:rPr>
          <w:rFonts w:ascii="Times New Roman" w:hAnsi="Times New Roman" w:cs="Times New Roman"/>
          <w:lang w:val="en-US"/>
        </w:rPr>
      </w:pPr>
      <w:r w:rsidRPr="00F636BA">
        <w:rPr>
          <w:rStyle w:val="FootnoteReference"/>
          <w:rFonts w:ascii="Times New Roman" w:hAnsi="Times New Roman" w:cs="Times New Roman"/>
        </w:rPr>
        <w:footnoteRef/>
      </w:r>
      <w:r w:rsidRPr="00F636BA">
        <w:rPr>
          <w:rFonts w:ascii="Times New Roman" w:hAnsi="Times New Roman" w:cs="Times New Roman"/>
        </w:rPr>
        <w:t xml:space="preserve"> </w:t>
      </w:r>
      <w:hyperlink r:id="rId17" w:history="1">
        <w:r w:rsidRPr="00F636BA">
          <w:rPr>
            <w:rStyle w:val="Hyperlink"/>
            <w:rFonts w:ascii="Times New Roman" w:hAnsi="Times New Roman" w:cs="Times New Roman"/>
          </w:rPr>
          <w:t>http://www.bankofengland.co.uk/publications/Documents/fsr/2016/fsrjul16.pdf</w:t>
        </w:r>
      </w:hyperlink>
      <w:r w:rsidRPr="00F636BA">
        <w:rPr>
          <w:rFonts w:ascii="Times New Roman" w:hAnsi="Times New Roman" w:cs="Times New Roman"/>
        </w:rPr>
        <w:t xml:space="preserve"> </w:t>
      </w:r>
    </w:p>
  </w:footnote>
  <w:footnote w:id="134">
    <w:p w14:paraId="0A6C6676" w14:textId="77777777" w:rsidR="00941425" w:rsidRPr="00F636BA" w:rsidRDefault="00941425" w:rsidP="009024BF">
      <w:pPr>
        <w:pStyle w:val="FootnoteText"/>
        <w:rPr>
          <w:rFonts w:ascii="Times New Roman" w:hAnsi="Times New Roman" w:cs="Times New Roman"/>
          <w:lang w:val="en-US"/>
        </w:rPr>
      </w:pPr>
      <w:r w:rsidRPr="00F636BA">
        <w:rPr>
          <w:rStyle w:val="FootnoteReference"/>
          <w:rFonts w:ascii="Times New Roman" w:hAnsi="Times New Roman" w:cs="Times New Roman"/>
        </w:rPr>
        <w:footnoteRef/>
      </w:r>
      <w:r w:rsidRPr="00F636BA">
        <w:rPr>
          <w:rFonts w:ascii="Times New Roman" w:hAnsi="Times New Roman" w:cs="Times New Roman"/>
        </w:rPr>
        <w:t xml:space="preserve"> </w:t>
      </w:r>
      <w:r w:rsidRPr="00F636BA">
        <w:rPr>
          <w:rFonts w:ascii="Times New Roman" w:hAnsi="Times New Roman" w:cs="Times New Roman"/>
          <w:lang w:val="en-US"/>
        </w:rPr>
        <w:t>A helpful summary is available at:</w:t>
      </w:r>
      <w:r w:rsidRPr="00F636BA">
        <w:rPr>
          <w:rFonts w:ascii="Times New Roman" w:hAnsi="Times New Roman" w:cs="Times New Roman"/>
        </w:rPr>
        <w:t xml:space="preserve"> </w:t>
      </w:r>
      <w:hyperlink r:id="rId18" w:history="1">
        <w:r w:rsidRPr="00F636BA">
          <w:rPr>
            <w:rStyle w:val="Hyperlink"/>
            <w:rFonts w:ascii="Times New Roman" w:hAnsi="Times New Roman" w:cs="Times New Roman"/>
            <w:lang w:val="en-US"/>
          </w:rPr>
          <w:t>http://www.paymentsuk.org.uk/sites/default/files/PSD2%20report%20June%202016.pdf</w:t>
        </w:r>
      </w:hyperlink>
      <w:r w:rsidRPr="00F636BA">
        <w:rPr>
          <w:rFonts w:ascii="Times New Roman" w:hAnsi="Times New Roman" w:cs="Times New Roman"/>
          <w:lang w:val="en-US"/>
        </w:rPr>
        <w:t xml:space="preserve"> </w:t>
      </w:r>
    </w:p>
    <w:p w14:paraId="7BA36CBE" w14:textId="77777777" w:rsidR="00941425" w:rsidRPr="00F636BA" w:rsidRDefault="00941425" w:rsidP="009024BF">
      <w:pPr>
        <w:pStyle w:val="FootnoteText"/>
        <w:rPr>
          <w:rFonts w:ascii="Times New Roman" w:hAnsi="Times New Roman" w:cs="Times New Roman"/>
          <w:lang w:val="en-US"/>
        </w:rPr>
      </w:pPr>
    </w:p>
  </w:footnote>
  <w:footnote w:id="135">
    <w:p w14:paraId="112B11E2" w14:textId="77777777" w:rsidR="00941425" w:rsidRPr="002411C4" w:rsidRDefault="00941425" w:rsidP="00A27D92">
      <w:pPr>
        <w:pStyle w:val="FootnoteText"/>
        <w:jc w:val="both"/>
        <w:rPr>
          <w:rFonts w:ascii="Times New Roman" w:hAnsi="Times New Roman" w:cs="Times New Roman"/>
        </w:rPr>
      </w:pPr>
      <w:r w:rsidRPr="00241E63">
        <w:rPr>
          <w:rStyle w:val="FootnoteReference"/>
          <w:rFonts w:ascii="Times New Roman" w:hAnsi="Times New Roman" w:cs="Times New Roman"/>
        </w:rPr>
        <w:footnoteRef/>
      </w:r>
      <w:r w:rsidRPr="00241E63">
        <w:rPr>
          <w:rFonts w:ascii="Times New Roman" w:hAnsi="Times New Roman" w:cs="Times New Roman"/>
        </w:rPr>
        <w:t xml:space="preserve"> </w:t>
      </w:r>
      <w:r>
        <w:rPr>
          <w:rFonts w:ascii="Times New Roman" w:hAnsi="Times New Roman" w:cs="Times New Roman"/>
        </w:rPr>
        <w:t>A</w:t>
      </w:r>
      <w:r w:rsidRPr="002411C4">
        <w:rPr>
          <w:rFonts w:ascii="Times New Roman" w:hAnsi="Times New Roman" w:cs="Times New Roman"/>
        </w:rPr>
        <w:t>rticle</w:t>
      </w:r>
      <w:r>
        <w:rPr>
          <w:rFonts w:ascii="Times New Roman" w:hAnsi="Times New Roman" w:cs="Times New Roman"/>
        </w:rPr>
        <w:t>s</w:t>
      </w:r>
      <w:r w:rsidRPr="002411C4">
        <w:rPr>
          <w:rFonts w:ascii="Times New Roman" w:hAnsi="Times New Roman" w:cs="Times New Roman"/>
        </w:rPr>
        <w:t xml:space="preserve"> 25A(1) and (2A) (Arranging regulated mortgage contracts</w:t>
      </w:r>
      <w:r>
        <w:rPr>
          <w:rFonts w:ascii="Times New Roman" w:hAnsi="Times New Roman" w:cs="Times New Roman"/>
        </w:rPr>
        <w:t>).</w:t>
      </w:r>
    </w:p>
  </w:footnote>
  <w:footnote w:id="136">
    <w:p w14:paraId="3C59D368"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r>
        <w:rPr>
          <w:rFonts w:ascii="Times New Roman" w:hAnsi="Times New Roman" w:cs="Times New Roman"/>
        </w:rPr>
        <w:t>A</w:t>
      </w:r>
      <w:r w:rsidRPr="002411C4">
        <w:rPr>
          <w:rFonts w:ascii="Times New Roman" w:hAnsi="Times New Roman" w:cs="Times New Roman"/>
        </w:rPr>
        <w:t>rticle 25A(2) (Arranging regulated mortgage contracts)</w:t>
      </w:r>
      <w:r>
        <w:rPr>
          <w:rFonts w:ascii="Times New Roman" w:hAnsi="Times New Roman" w:cs="Times New Roman"/>
        </w:rPr>
        <w:t>.</w:t>
      </w:r>
    </w:p>
  </w:footnote>
  <w:footnote w:id="137">
    <w:p w14:paraId="5D10217C"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r>
        <w:rPr>
          <w:rFonts w:ascii="Times New Roman" w:hAnsi="Times New Roman" w:cs="Times New Roman"/>
        </w:rPr>
        <w:t>A</w:t>
      </w:r>
      <w:r w:rsidRPr="002411C4">
        <w:rPr>
          <w:rFonts w:ascii="Times New Roman" w:hAnsi="Times New Roman" w:cs="Times New Roman"/>
        </w:rPr>
        <w:t>rticle 53A (Advising on regulated mortgage contracts)</w:t>
      </w:r>
      <w:r>
        <w:rPr>
          <w:rFonts w:ascii="Times New Roman" w:hAnsi="Times New Roman" w:cs="Times New Roman"/>
        </w:rPr>
        <w:t>.</w:t>
      </w:r>
    </w:p>
  </w:footnote>
  <w:footnote w:id="138">
    <w:p w14:paraId="4EE170AE"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proofErr w:type="gramStart"/>
      <w:r>
        <w:rPr>
          <w:rFonts w:ascii="Times New Roman" w:hAnsi="Times New Roman" w:cs="Times New Roman"/>
        </w:rPr>
        <w:t>A</w:t>
      </w:r>
      <w:r w:rsidRPr="002411C4">
        <w:rPr>
          <w:rFonts w:ascii="Times New Roman" w:hAnsi="Times New Roman" w:cs="Times New Roman"/>
        </w:rPr>
        <w:t>rticle 61(1) (Regulated mortgage contracts)</w:t>
      </w:r>
      <w:r>
        <w:rPr>
          <w:rFonts w:ascii="Times New Roman" w:hAnsi="Times New Roman" w:cs="Times New Roman"/>
        </w:rPr>
        <w:t>.</w:t>
      </w:r>
      <w:proofErr w:type="gramEnd"/>
    </w:p>
  </w:footnote>
  <w:footnote w:id="139">
    <w:p w14:paraId="39ACACDC"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proofErr w:type="gramStart"/>
      <w:r>
        <w:rPr>
          <w:rFonts w:ascii="Times New Roman" w:hAnsi="Times New Roman" w:cs="Times New Roman"/>
        </w:rPr>
        <w:t>A</w:t>
      </w:r>
      <w:r w:rsidRPr="002411C4">
        <w:rPr>
          <w:rFonts w:ascii="Times New Roman" w:hAnsi="Times New Roman" w:cs="Times New Roman"/>
        </w:rPr>
        <w:t>rticle 61(2) (Regulated mortgage contracts)</w:t>
      </w:r>
      <w:r>
        <w:rPr>
          <w:rFonts w:ascii="Times New Roman" w:hAnsi="Times New Roman" w:cs="Times New Roman"/>
        </w:rPr>
        <w:t>.</w:t>
      </w:r>
      <w:proofErr w:type="gramEnd"/>
    </w:p>
  </w:footnote>
  <w:footnote w:id="140">
    <w:p w14:paraId="3070521C"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proofErr w:type="gramStart"/>
      <w:r>
        <w:rPr>
          <w:rFonts w:ascii="Times New Roman" w:hAnsi="Times New Roman" w:cs="Times New Roman"/>
        </w:rPr>
        <w:t>A</w:t>
      </w:r>
      <w:r w:rsidRPr="002411C4">
        <w:rPr>
          <w:rFonts w:ascii="Times New Roman" w:hAnsi="Times New Roman" w:cs="Times New Roman"/>
        </w:rPr>
        <w:t>rticle 64 (Agreeing to carry on specific kinds of activity)</w:t>
      </w:r>
      <w:r>
        <w:rPr>
          <w:rFonts w:ascii="Times New Roman" w:hAnsi="Times New Roman" w:cs="Times New Roman"/>
        </w:rPr>
        <w:t>.</w:t>
      </w:r>
      <w:proofErr w:type="gramEnd"/>
    </w:p>
  </w:footnote>
  <w:footnote w:id="141">
    <w:p w14:paraId="600ABC02"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Strictly, activities are regulated not by the Mortgage Credit Directive itself but by the national law into which its provisions have been transposed.</w:t>
      </w:r>
    </w:p>
  </w:footnote>
  <w:footnote w:id="142">
    <w:p w14:paraId="16DB8FA4"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r w:rsidRPr="002411C4">
        <w:rPr>
          <w:rFonts w:ascii="Times New Roman" w:hAnsi="Times New Roman" w:cs="Times New Roman"/>
          <w:color w:val="333333"/>
          <w:shd w:val="clear" w:color="auto" w:fill="FFFFFF"/>
        </w:rPr>
        <w:t>Directive 2014/17/EU on credit agreements for consumers relating to residential immovable property.</w:t>
      </w:r>
    </w:p>
  </w:footnote>
  <w:footnote w:id="143">
    <w:p w14:paraId="0022442C" w14:textId="77777777" w:rsidR="00941425" w:rsidRPr="00B460E3" w:rsidRDefault="00941425" w:rsidP="00A27D92">
      <w:pPr>
        <w:pStyle w:val="FootnoteText"/>
        <w:jc w:val="both"/>
        <w:rPr>
          <w:rFonts w:ascii="Times New Roman" w:hAnsi="Times New Roman" w:cs="Times New Roman"/>
        </w:rPr>
      </w:pPr>
      <w:r>
        <w:rPr>
          <w:rStyle w:val="FootnoteReference"/>
        </w:rPr>
        <w:footnoteRef/>
      </w:r>
      <w:r w:rsidRPr="00B460E3">
        <w:rPr>
          <w:rFonts w:ascii="Times New Roman" w:hAnsi="Times New Roman" w:cs="Times New Roman"/>
        </w:rPr>
        <w:t xml:space="preserve"> The regulated activity of credit broking is specified in art</w:t>
      </w:r>
      <w:r>
        <w:rPr>
          <w:rFonts w:ascii="Times New Roman" w:hAnsi="Times New Roman" w:cs="Times New Roman"/>
        </w:rPr>
        <w:t xml:space="preserve">icle </w:t>
      </w:r>
      <w:r w:rsidRPr="00B460E3">
        <w:rPr>
          <w:rFonts w:ascii="Times New Roman" w:hAnsi="Times New Roman" w:cs="Times New Roman"/>
        </w:rPr>
        <w:t>36A of the R</w:t>
      </w:r>
      <w:r>
        <w:rPr>
          <w:rFonts w:ascii="Times New Roman" w:hAnsi="Times New Roman" w:cs="Times New Roman"/>
        </w:rPr>
        <w:t xml:space="preserve">egulated </w:t>
      </w:r>
      <w:r w:rsidRPr="00B460E3">
        <w:rPr>
          <w:rFonts w:ascii="Times New Roman" w:hAnsi="Times New Roman" w:cs="Times New Roman"/>
        </w:rPr>
        <w:t>A</w:t>
      </w:r>
      <w:r>
        <w:rPr>
          <w:rFonts w:ascii="Times New Roman" w:hAnsi="Times New Roman" w:cs="Times New Roman"/>
        </w:rPr>
        <w:t xml:space="preserve">ctivities </w:t>
      </w:r>
      <w:r w:rsidRPr="00B460E3">
        <w:rPr>
          <w:rFonts w:ascii="Times New Roman" w:hAnsi="Times New Roman" w:cs="Times New Roman"/>
        </w:rPr>
        <w:t>O</w:t>
      </w:r>
      <w:r>
        <w:rPr>
          <w:rFonts w:ascii="Times New Roman" w:hAnsi="Times New Roman" w:cs="Times New Roman"/>
        </w:rPr>
        <w:t>rder although</w:t>
      </w:r>
      <w:r w:rsidRPr="00B460E3">
        <w:rPr>
          <w:rFonts w:ascii="Times New Roman" w:hAnsi="Times New Roman" w:cs="Times New Roman"/>
        </w:rPr>
        <w:t xml:space="preserve"> broking activities in relation to RMCs will generally be excluded from art</w:t>
      </w:r>
      <w:r>
        <w:rPr>
          <w:rFonts w:ascii="Times New Roman" w:hAnsi="Times New Roman" w:cs="Times New Roman"/>
        </w:rPr>
        <w:t xml:space="preserve">icle </w:t>
      </w:r>
      <w:r w:rsidRPr="00B460E3">
        <w:rPr>
          <w:rFonts w:ascii="Times New Roman" w:hAnsi="Times New Roman" w:cs="Times New Roman"/>
        </w:rPr>
        <w:t>36A by art</w:t>
      </w:r>
      <w:r>
        <w:rPr>
          <w:rFonts w:ascii="Times New Roman" w:hAnsi="Times New Roman" w:cs="Times New Roman"/>
        </w:rPr>
        <w:t xml:space="preserve">icle </w:t>
      </w:r>
      <w:r w:rsidRPr="00B460E3">
        <w:rPr>
          <w:rFonts w:ascii="Times New Roman" w:hAnsi="Times New Roman" w:cs="Times New Roman"/>
        </w:rPr>
        <w:t>36E(2)-(4).</w:t>
      </w:r>
    </w:p>
  </w:footnote>
  <w:footnote w:id="144">
    <w:p w14:paraId="3D9E0B4D" w14:textId="77777777" w:rsidR="00941425" w:rsidRPr="00CF3FA8" w:rsidRDefault="00941425" w:rsidP="00A27D92">
      <w:pPr>
        <w:pStyle w:val="FootnoteText"/>
      </w:pPr>
      <w:r>
        <w:rPr>
          <w:rStyle w:val="FootnoteReference"/>
        </w:rPr>
        <w:footnoteRef/>
      </w:r>
      <w:r w:rsidRPr="00CF3FA8">
        <w:t xml:space="preserve"> </w:t>
      </w:r>
      <w:proofErr w:type="gramStart"/>
      <w:r w:rsidRPr="00CF3FA8">
        <w:rPr>
          <w:rFonts w:ascii="Times New Roman" w:eastAsia="Times New Roman" w:hAnsi="Times New Roman" w:cs="Times New Roman"/>
          <w:iCs/>
          <w:bdr w:val="none" w:sz="0" w:space="0" w:color="auto" w:frame="1"/>
          <w:lang w:eastAsia="en-GB"/>
        </w:rPr>
        <w:t>PERG 4.10A.2G (1)(b).</w:t>
      </w:r>
      <w:proofErr w:type="gramEnd"/>
    </w:p>
  </w:footnote>
  <w:footnote w:id="145">
    <w:p w14:paraId="73244F1B" w14:textId="77777777" w:rsidR="00941425" w:rsidRPr="00CF3FA8" w:rsidRDefault="00941425" w:rsidP="00A27D92">
      <w:pPr>
        <w:pStyle w:val="FootnoteText"/>
      </w:pPr>
      <w:r>
        <w:rPr>
          <w:rStyle w:val="FootnoteReference"/>
        </w:rPr>
        <w:footnoteRef/>
      </w:r>
      <w:r>
        <w:t xml:space="preserve"> </w:t>
      </w:r>
      <w:proofErr w:type="gramStart"/>
      <w:r w:rsidRPr="00CF3FA8">
        <w:rPr>
          <w:rFonts w:ascii="Times New Roman" w:eastAsia="Times New Roman" w:hAnsi="Times New Roman" w:cs="Times New Roman"/>
          <w:iCs/>
          <w:bdr w:val="none" w:sz="0" w:space="0" w:color="auto" w:frame="1"/>
          <w:lang w:eastAsia="en-GB"/>
        </w:rPr>
        <w:t>PERG 4.10A.2G (1)(c)</w:t>
      </w:r>
      <w:r>
        <w:rPr>
          <w:rFonts w:ascii="Times New Roman" w:eastAsia="Times New Roman" w:hAnsi="Times New Roman" w:cs="Times New Roman"/>
          <w:iCs/>
          <w:bdr w:val="none" w:sz="0" w:space="0" w:color="auto" w:frame="1"/>
          <w:lang w:eastAsia="en-GB"/>
        </w:rPr>
        <w:t>.</w:t>
      </w:r>
      <w:proofErr w:type="gramEnd"/>
    </w:p>
  </w:footnote>
  <w:footnote w:id="146">
    <w:p w14:paraId="52FBA7A2"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PERG 4.10A.3. The meaning of “credit intermediary” is defined in article 5 of The Mortgage Credit Directive Order 2015 (SI 2015/910).</w:t>
      </w:r>
    </w:p>
  </w:footnote>
  <w:footnote w:id="147">
    <w:p w14:paraId="1B5AD030"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r>
        <w:rPr>
          <w:rFonts w:ascii="Times New Roman" w:hAnsi="Times New Roman" w:cs="Times New Roman"/>
        </w:rPr>
        <w:t>D</w:t>
      </w:r>
      <w:r w:rsidRPr="002411C4">
        <w:rPr>
          <w:rFonts w:ascii="Times New Roman" w:hAnsi="Times New Roman" w:cs="Times New Roman"/>
        </w:rPr>
        <w:t>escribed in more detail at PERG 4.5</w:t>
      </w:r>
      <w:r>
        <w:rPr>
          <w:rFonts w:ascii="Times New Roman" w:hAnsi="Times New Roman" w:cs="Times New Roman"/>
        </w:rPr>
        <w:t>.</w:t>
      </w:r>
    </w:p>
  </w:footnote>
  <w:footnote w:id="148">
    <w:p w14:paraId="05F18F38"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r>
        <w:rPr>
          <w:rFonts w:ascii="Times New Roman" w:hAnsi="Times New Roman" w:cs="Times New Roman"/>
        </w:rPr>
        <w:t>D</w:t>
      </w:r>
      <w:r w:rsidRPr="002411C4">
        <w:rPr>
          <w:rFonts w:ascii="Times New Roman" w:hAnsi="Times New Roman" w:cs="Times New Roman"/>
        </w:rPr>
        <w:t>escribed in more detail at PERG 4.6</w:t>
      </w:r>
      <w:r>
        <w:rPr>
          <w:rFonts w:ascii="Times New Roman" w:hAnsi="Times New Roman" w:cs="Times New Roman"/>
        </w:rPr>
        <w:t>.</w:t>
      </w:r>
    </w:p>
  </w:footnote>
  <w:footnote w:id="149">
    <w:p w14:paraId="1F0FF94A"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proofErr w:type="gramStart"/>
      <w:r w:rsidRPr="002411C4">
        <w:rPr>
          <w:rFonts w:ascii="Times New Roman" w:hAnsi="Times New Roman" w:cs="Times New Roman"/>
        </w:rPr>
        <w:t>PERG 4.15.1 G</w:t>
      </w:r>
      <w:r>
        <w:rPr>
          <w:rFonts w:ascii="Times New Roman" w:hAnsi="Times New Roman" w:cs="Times New Roman"/>
        </w:rPr>
        <w:t>.</w:t>
      </w:r>
      <w:proofErr w:type="gramEnd"/>
    </w:p>
  </w:footnote>
  <w:footnote w:id="150">
    <w:p w14:paraId="42DB4A39" w14:textId="77777777" w:rsidR="00941425" w:rsidRPr="002411C4" w:rsidRDefault="00941425" w:rsidP="00A27D92">
      <w:pPr>
        <w:pStyle w:val="FootnoteText"/>
        <w:jc w:val="both"/>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proofErr w:type="gramStart"/>
      <w:r w:rsidRPr="002411C4">
        <w:rPr>
          <w:rFonts w:ascii="Times New Roman" w:hAnsi="Times New Roman" w:cs="Times New Roman"/>
        </w:rPr>
        <w:t>PERG 4.15.4 G</w:t>
      </w:r>
      <w:r>
        <w:rPr>
          <w:rFonts w:ascii="Times New Roman" w:hAnsi="Times New Roman" w:cs="Times New Roman"/>
        </w:rPr>
        <w:t>.</w:t>
      </w:r>
      <w:proofErr w:type="gramEnd"/>
    </w:p>
  </w:footnote>
  <w:footnote w:id="151">
    <w:p w14:paraId="71BB4B57" w14:textId="77777777" w:rsidR="00941425" w:rsidRPr="002411C4" w:rsidRDefault="00941425" w:rsidP="00A27D92">
      <w:pPr>
        <w:pStyle w:val="FootnoteText"/>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proofErr w:type="gramStart"/>
      <w:r w:rsidRPr="002411C4">
        <w:rPr>
          <w:rFonts w:ascii="Times New Roman" w:hAnsi="Times New Roman" w:cs="Times New Roman"/>
        </w:rPr>
        <w:t>“Implementation of the EU Mortgage Credit Directive”</w:t>
      </w:r>
      <w:r>
        <w:rPr>
          <w:rFonts w:ascii="Times New Roman" w:hAnsi="Times New Roman" w:cs="Times New Roman"/>
        </w:rPr>
        <w:t>.</w:t>
      </w:r>
      <w:proofErr w:type="gramEnd"/>
    </w:p>
  </w:footnote>
  <w:footnote w:id="152">
    <w:p w14:paraId="39463241" w14:textId="77777777" w:rsidR="00941425" w:rsidRPr="002411C4" w:rsidRDefault="00941425" w:rsidP="00A27D92">
      <w:pPr>
        <w:pStyle w:val="FootnoteText"/>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w:t>
      </w:r>
      <w:r>
        <w:rPr>
          <w:rFonts w:ascii="Times New Roman" w:hAnsi="Times New Roman" w:cs="Times New Roman"/>
        </w:rPr>
        <w:t xml:space="preserve">MCD </w:t>
      </w:r>
      <w:r w:rsidRPr="002411C4">
        <w:rPr>
          <w:rFonts w:ascii="Times New Roman" w:hAnsi="Times New Roman" w:cs="Times New Roman"/>
        </w:rPr>
        <w:t>Co</w:t>
      </w:r>
      <w:r>
        <w:rPr>
          <w:rFonts w:ascii="Times New Roman" w:hAnsi="Times New Roman" w:cs="Times New Roman"/>
        </w:rPr>
        <w:t>n</w:t>
      </w:r>
      <w:r w:rsidRPr="002411C4">
        <w:rPr>
          <w:rFonts w:ascii="Times New Roman" w:hAnsi="Times New Roman" w:cs="Times New Roman"/>
        </w:rPr>
        <w:t>sultation, section 1.5.</w:t>
      </w:r>
    </w:p>
  </w:footnote>
  <w:footnote w:id="153">
    <w:p w14:paraId="5502C5F2" w14:textId="77777777" w:rsidR="00941425" w:rsidRPr="002411C4" w:rsidRDefault="00941425" w:rsidP="00A27D92">
      <w:pPr>
        <w:pStyle w:val="FootnoteText"/>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MCD Consultation, section 2.2.</w:t>
      </w:r>
    </w:p>
  </w:footnote>
  <w:footnote w:id="154">
    <w:p w14:paraId="6670C90D" w14:textId="77777777" w:rsidR="00941425" w:rsidRPr="002411C4" w:rsidRDefault="00941425" w:rsidP="00A27D92">
      <w:pPr>
        <w:pStyle w:val="FootnoteText"/>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MCD Consultation, section 4.4.</w:t>
      </w:r>
    </w:p>
  </w:footnote>
  <w:footnote w:id="155">
    <w:p w14:paraId="0FDDE665" w14:textId="77777777" w:rsidR="00941425" w:rsidRPr="002411C4" w:rsidRDefault="00941425" w:rsidP="00A27D92">
      <w:pPr>
        <w:pStyle w:val="FootnoteText"/>
        <w:rPr>
          <w:rFonts w:ascii="Times New Roman" w:hAnsi="Times New Roman" w:cs="Times New Roman"/>
        </w:rPr>
      </w:pPr>
      <w:r w:rsidRPr="002411C4">
        <w:rPr>
          <w:rStyle w:val="FootnoteReference"/>
          <w:rFonts w:ascii="Times New Roman" w:hAnsi="Times New Roman" w:cs="Times New Roman"/>
        </w:rPr>
        <w:footnoteRef/>
      </w:r>
      <w:r w:rsidRPr="002411C4">
        <w:rPr>
          <w:rFonts w:ascii="Times New Roman" w:hAnsi="Times New Roman" w:cs="Times New Roman"/>
        </w:rPr>
        <w:t xml:space="preserve"> MCD Consultation, section 1.7.</w:t>
      </w:r>
    </w:p>
  </w:footnote>
  <w:footnote w:id="156">
    <w:p w14:paraId="4EDC6F08" w14:textId="77777777" w:rsidR="00941425" w:rsidRDefault="00941425" w:rsidP="00A27D92">
      <w:pPr>
        <w:pStyle w:val="FootnoteText"/>
      </w:pPr>
      <w:r w:rsidRPr="002411C4">
        <w:rPr>
          <w:rStyle w:val="FootnoteReference"/>
          <w:rFonts w:ascii="Times New Roman" w:hAnsi="Times New Roman" w:cs="Times New Roman"/>
        </w:rPr>
        <w:footnoteRef/>
      </w:r>
      <w:r w:rsidRPr="002411C4">
        <w:rPr>
          <w:rFonts w:ascii="Times New Roman" w:hAnsi="Times New Roman" w:cs="Times New Roman"/>
        </w:rPr>
        <w:t xml:space="preserve"> MCOB 5A.4.</w:t>
      </w:r>
      <w:r>
        <w:rPr>
          <w:rFonts w:ascii="Times New Roman" w:hAnsi="Times New Roman" w:cs="Times New Roman"/>
        </w:rPr>
        <w:t xml:space="preserve"> The transitional provisions covering the period from 21</w:t>
      </w:r>
      <w:r w:rsidRPr="00B460E3">
        <w:rPr>
          <w:rFonts w:ascii="Times New Roman" w:hAnsi="Times New Roman" w:cs="Times New Roman"/>
          <w:vertAlign w:val="superscript"/>
        </w:rPr>
        <w:t>st</w:t>
      </w:r>
      <w:r>
        <w:rPr>
          <w:rFonts w:ascii="Times New Roman" w:hAnsi="Times New Roman" w:cs="Times New Roman"/>
        </w:rPr>
        <w:t xml:space="preserve"> March 2016 to 21</w:t>
      </w:r>
      <w:r w:rsidRPr="00714730">
        <w:rPr>
          <w:rFonts w:ascii="Times New Roman" w:hAnsi="Times New Roman" w:cs="Times New Roman"/>
          <w:vertAlign w:val="superscript"/>
        </w:rPr>
        <w:t>st</w:t>
      </w:r>
      <w:r>
        <w:rPr>
          <w:rFonts w:ascii="Times New Roman" w:hAnsi="Times New Roman" w:cs="Times New Roman"/>
        </w:rPr>
        <w:t xml:space="preserve"> March 2019 are to be found at MCOB TP 1.1, provision 45.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E5"/>
    <w:multiLevelType w:val="hybridMultilevel"/>
    <w:tmpl w:val="566CC960"/>
    <w:lvl w:ilvl="0" w:tplc="68FCE7E8">
      <w:start w:val="1"/>
      <w:numFmt w:val="lowerLetter"/>
      <w:lvlText w:val="%1."/>
      <w:lvlJc w:val="left"/>
      <w:pPr>
        <w:ind w:left="1607" w:hanging="360"/>
      </w:pPr>
      <w:rPr>
        <w:rFonts w:hint="default"/>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nsid w:val="016D5DB2"/>
    <w:multiLevelType w:val="multilevel"/>
    <w:tmpl w:val="DCC4D9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027A21"/>
    <w:multiLevelType w:val="hybridMultilevel"/>
    <w:tmpl w:val="1B26EC6A"/>
    <w:lvl w:ilvl="0" w:tplc="55C4CB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765ABC"/>
    <w:multiLevelType w:val="hybridMultilevel"/>
    <w:tmpl w:val="26FCE926"/>
    <w:lvl w:ilvl="0" w:tplc="0EA04FF4">
      <w:start w:val="1"/>
      <w:numFmt w:val="lowerLetter"/>
      <w:lvlText w:val="%1."/>
      <w:lvlJc w:val="left"/>
      <w:pPr>
        <w:ind w:left="1080" w:hanging="720"/>
      </w:pPr>
      <w:rPr>
        <w:rFonts w:ascii="Book Antiqua" w:eastAsia="Calibr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70A57"/>
    <w:multiLevelType w:val="hybridMultilevel"/>
    <w:tmpl w:val="6E5AF0E6"/>
    <w:lvl w:ilvl="0" w:tplc="3B92AF02">
      <w:start w:val="1"/>
      <w:numFmt w:val="lowerLetter"/>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09B80E32"/>
    <w:multiLevelType w:val="hybridMultilevel"/>
    <w:tmpl w:val="1B2823F4"/>
    <w:lvl w:ilvl="0" w:tplc="5E7E7A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E201936"/>
    <w:multiLevelType w:val="hybridMultilevel"/>
    <w:tmpl w:val="C6DEB2F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1A5BAF"/>
    <w:multiLevelType w:val="hybridMultilevel"/>
    <w:tmpl w:val="11681132"/>
    <w:lvl w:ilvl="0" w:tplc="10668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5634AC"/>
    <w:multiLevelType w:val="hybridMultilevel"/>
    <w:tmpl w:val="90B276C0"/>
    <w:lvl w:ilvl="0" w:tplc="C56C5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6A3122"/>
    <w:multiLevelType w:val="hybridMultilevel"/>
    <w:tmpl w:val="90B276C0"/>
    <w:lvl w:ilvl="0" w:tplc="C56C5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C2120D"/>
    <w:multiLevelType w:val="hybridMultilevel"/>
    <w:tmpl w:val="768C68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422241"/>
    <w:multiLevelType w:val="hybridMultilevel"/>
    <w:tmpl w:val="3E40A05C"/>
    <w:lvl w:ilvl="0" w:tplc="C85E4054">
      <w:start w:val="1"/>
      <w:numFmt w:val="low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2">
    <w:nsid w:val="25F27CDD"/>
    <w:multiLevelType w:val="hybridMultilevel"/>
    <w:tmpl w:val="09EABEC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5D7149"/>
    <w:multiLevelType w:val="hybridMultilevel"/>
    <w:tmpl w:val="90B276C0"/>
    <w:lvl w:ilvl="0" w:tplc="C56C5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454152"/>
    <w:multiLevelType w:val="hybridMultilevel"/>
    <w:tmpl w:val="17BE20B4"/>
    <w:lvl w:ilvl="0" w:tplc="6488495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E437536"/>
    <w:multiLevelType w:val="hybridMultilevel"/>
    <w:tmpl w:val="4AEA6B70"/>
    <w:lvl w:ilvl="0" w:tplc="2EBC4F60">
      <w:start w:val="1"/>
      <w:numFmt w:val="lowerLetter"/>
      <w:lvlText w:val="%1."/>
      <w:lvlJc w:val="left"/>
      <w:pPr>
        <w:ind w:left="927" w:hanging="360"/>
      </w:pPr>
      <w:rPr>
        <w:rFonts w:ascii="Book Antiqua" w:eastAsiaTheme="minorHAnsi" w:hAnsi="Book Antiqua"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4BE1F15"/>
    <w:multiLevelType w:val="hybridMultilevel"/>
    <w:tmpl w:val="724AF2C4"/>
    <w:lvl w:ilvl="0" w:tplc="C56C5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773F36"/>
    <w:multiLevelType w:val="hybridMultilevel"/>
    <w:tmpl w:val="69AA0FCE"/>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4788C"/>
    <w:multiLevelType w:val="hybridMultilevel"/>
    <w:tmpl w:val="C2E43C4A"/>
    <w:lvl w:ilvl="0" w:tplc="2DFEB3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8472CEA"/>
    <w:multiLevelType w:val="hybridMultilevel"/>
    <w:tmpl w:val="90B276C0"/>
    <w:lvl w:ilvl="0" w:tplc="C56C5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7C3F4B"/>
    <w:multiLevelType w:val="hybridMultilevel"/>
    <w:tmpl w:val="BF98DF2E"/>
    <w:lvl w:ilvl="0" w:tplc="58AC2692">
      <w:start w:val="1"/>
      <w:numFmt w:val="decimal"/>
      <w:pStyle w:val="Level1"/>
      <w:lvlText w:val="%1."/>
      <w:lvlJc w:val="left"/>
      <w:pPr>
        <w:ind w:left="720" w:hanging="360"/>
      </w:pPr>
      <w:rPr>
        <w:rFonts w:hint="default"/>
      </w:rPr>
    </w:lvl>
    <w:lvl w:ilvl="1" w:tplc="1074AEB6">
      <w:start w:val="1"/>
      <w:numFmt w:val="decimal"/>
      <w:pStyle w:val="Level2"/>
      <w:lvlText w:val="(%2)"/>
      <w:lvlJc w:val="left"/>
      <w:pPr>
        <w:ind w:left="1440" w:hanging="360"/>
      </w:pPr>
      <w:rPr>
        <w:rFonts w:hint="default"/>
      </w:rPr>
    </w:lvl>
    <w:lvl w:ilvl="2" w:tplc="72D0FABE">
      <w:start w:val="1"/>
      <w:numFmt w:val="lowerLetter"/>
      <w:pStyle w:val="Level3"/>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786B77"/>
    <w:multiLevelType w:val="hybridMultilevel"/>
    <w:tmpl w:val="90B276C0"/>
    <w:lvl w:ilvl="0" w:tplc="C56C5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EC3F84"/>
    <w:multiLevelType w:val="multilevel"/>
    <w:tmpl w:val="F12496E6"/>
    <w:lvl w:ilvl="0">
      <w:start w:val="1"/>
      <w:numFmt w:val="decimal"/>
      <w:pStyle w:val="Para1"/>
      <w:lvlText w:val="%1."/>
      <w:lvlJc w:val="left"/>
      <w:pPr>
        <w:ind w:left="360" w:hanging="360"/>
      </w:pPr>
    </w:lvl>
    <w:lvl w:ilvl="1">
      <w:start w:val="1"/>
      <w:numFmt w:val="decimal"/>
      <w:pStyle w:val="Para2"/>
      <w:lvlText w:val="%1.%2."/>
      <w:lvlJc w:val="left"/>
      <w:pPr>
        <w:ind w:left="792" w:hanging="432"/>
      </w:pPr>
    </w:lvl>
    <w:lvl w:ilvl="2">
      <w:start w:val="1"/>
      <w:numFmt w:val="decimal"/>
      <w:pStyle w:val="Para3"/>
      <w:lvlText w:val="%1.%2.%3."/>
      <w:lvlJc w:val="left"/>
      <w:pPr>
        <w:ind w:left="1224" w:hanging="504"/>
      </w:pPr>
    </w:lvl>
    <w:lvl w:ilvl="3">
      <w:start w:val="1"/>
      <w:numFmt w:val="decimal"/>
      <w:pStyle w:val="Para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A17FAF"/>
    <w:multiLevelType w:val="hybridMultilevel"/>
    <w:tmpl w:val="90B276C0"/>
    <w:lvl w:ilvl="0" w:tplc="C56C5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C675FC"/>
    <w:multiLevelType w:val="hybridMultilevel"/>
    <w:tmpl w:val="3FE23874"/>
    <w:lvl w:ilvl="0" w:tplc="2C226E9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8649C5"/>
    <w:multiLevelType w:val="hybridMultilevel"/>
    <w:tmpl w:val="821CF364"/>
    <w:lvl w:ilvl="0" w:tplc="D228C06A">
      <w:start w:val="1"/>
      <w:numFmt w:val="lowerLetter"/>
      <w:lvlText w:val="%1."/>
      <w:lvlJc w:val="left"/>
      <w:pPr>
        <w:ind w:left="720" w:hanging="360"/>
      </w:pPr>
      <w:rPr>
        <w:rFonts w:ascii="Book Antiqua" w:eastAsia="Calibr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92168"/>
    <w:multiLevelType w:val="hybridMultilevel"/>
    <w:tmpl w:val="B17A0654"/>
    <w:lvl w:ilvl="0" w:tplc="8E6AD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135F6B"/>
    <w:multiLevelType w:val="hybridMultilevel"/>
    <w:tmpl w:val="A0EC0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375328"/>
    <w:multiLevelType w:val="hybridMultilevel"/>
    <w:tmpl w:val="F3965B26"/>
    <w:lvl w:ilvl="0" w:tplc="3A682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29D643D"/>
    <w:multiLevelType w:val="hybridMultilevel"/>
    <w:tmpl w:val="724AF2C4"/>
    <w:lvl w:ilvl="0" w:tplc="C56C5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4524DE"/>
    <w:multiLevelType w:val="hybridMultilevel"/>
    <w:tmpl w:val="724AF2C4"/>
    <w:lvl w:ilvl="0" w:tplc="C56C5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BB3E9E"/>
    <w:multiLevelType w:val="hybridMultilevel"/>
    <w:tmpl w:val="F6A81B7C"/>
    <w:lvl w:ilvl="0" w:tplc="3A843426">
      <w:start w:val="1"/>
      <w:numFmt w:val="low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2">
    <w:nsid w:val="646C4A17"/>
    <w:multiLevelType w:val="hybridMultilevel"/>
    <w:tmpl w:val="B394E1E2"/>
    <w:lvl w:ilvl="0" w:tplc="2C226E98">
      <w:start w:val="1"/>
      <w:numFmt w:val="decimal"/>
      <w:lvlText w:val="%1."/>
      <w:lvlJc w:val="left"/>
      <w:pPr>
        <w:ind w:left="737" w:hanging="73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EB073B"/>
    <w:multiLevelType w:val="hybridMultilevel"/>
    <w:tmpl w:val="415E0104"/>
    <w:lvl w:ilvl="0" w:tplc="0AB06DF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982637E"/>
    <w:multiLevelType w:val="hybridMultilevel"/>
    <w:tmpl w:val="FFDA0CD2"/>
    <w:lvl w:ilvl="0" w:tplc="5614AE40">
      <w:start w:val="1"/>
      <w:numFmt w:val="lowerLetter"/>
      <w:lvlText w:val="%1."/>
      <w:lvlJc w:val="left"/>
      <w:pPr>
        <w:ind w:left="927" w:hanging="360"/>
      </w:pPr>
      <w:rPr>
        <w:rFonts w:ascii="Book Antiqua" w:eastAsiaTheme="minorHAnsi" w:hAnsi="Book Antiqua"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6AC311F4"/>
    <w:multiLevelType w:val="hybridMultilevel"/>
    <w:tmpl w:val="724AF2C4"/>
    <w:lvl w:ilvl="0" w:tplc="C56C5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311366"/>
    <w:multiLevelType w:val="hybridMultilevel"/>
    <w:tmpl w:val="224E5F9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52A8875A">
      <w:numFmt w:val="bullet"/>
      <w:lvlText w:val="•"/>
      <w:lvlJc w:val="left"/>
      <w:pPr>
        <w:ind w:left="2700" w:hanging="720"/>
      </w:pPr>
      <w:rPr>
        <w:rFonts w:ascii="Book Antiqua" w:eastAsiaTheme="minorHAnsi" w:hAnsi="Book Antiqu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801FDA"/>
    <w:multiLevelType w:val="hybridMultilevel"/>
    <w:tmpl w:val="AE403802"/>
    <w:lvl w:ilvl="0" w:tplc="99E448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3096D18"/>
    <w:multiLevelType w:val="hybridMultilevel"/>
    <w:tmpl w:val="6A3AA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AD6CFA"/>
    <w:multiLevelType w:val="hybridMultilevel"/>
    <w:tmpl w:val="1C0A020E"/>
    <w:lvl w:ilvl="0" w:tplc="A0DA6A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A0025"/>
    <w:multiLevelType w:val="hybridMultilevel"/>
    <w:tmpl w:val="DCC4D9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3A18A0"/>
    <w:multiLevelType w:val="hybridMultilevel"/>
    <w:tmpl w:val="58089EBC"/>
    <w:lvl w:ilvl="0" w:tplc="075A8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A21180"/>
    <w:multiLevelType w:val="hybridMultilevel"/>
    <w:tmpl w:val="C93238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E8F0AA4"/>
    <w:multiLevelType w:val="hybridMultilevel"/>
    <w:tmpl w:val="C580553A"/>
    <w:lvl w:ilvl="0" w:tplc="1A487F3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3"/>
  </w:num>
  <w:num w:numId="2">
    <w:abstractNumId w:val="8"/>
  </w:num>
  <w:num w:numId="3">
    <w:abstractNumId w:val="13"/>
  </w:num>
  <w:num w:numId="4">
    <w:abstractNumId w:val="9"/>
  </w:num>
  <w:num w:numId="5">
    <w:abstractNumId w:val="21"/>
  </w:num>
  <w:num w:numId="6">
    <w:abstractNumId w:val="19"/>
  </w:num>
  <w:num w:numId="7">
    <w:abstractNumId w:val="35"/>
  </w:num>
  <w:num w:numId="8">
    <w:abstractNumId w:val="16"/>
  </w:num>
  <w:num w:numId="9">
    <w:abstractNumId w:val="29"/>
  </w:num>
  <w:num w:numId="10">
    <w:abstractNumId w:val="30"/>
  </w:num>
  <w:num w:numId="11">
    <w:abstractNumId w:val="42"/>
  </w:num>
  <w:num w:numId="12">
    <w:abstractNumId w:val="36"/>
  </w:num>
  <w:num w:numId="13">
    <w:abstractNumId w:val="27"/>
  </w:num>
  <w:num w:numId="14">
    <w:abstractNumId w:val="6"/>
  </w:num>
  <w:num w:numId="15">
    <w:abstractNumId w:val="12"/>
  </w:num>
  <w:num w:numId="16">
    <w:abstractNumId w:val="10"/>
  </w:num>
  <w:num w:numId="17">
    <w:abstractNumId w:val="39"/>
  </w:num>
  <w:num w:numId="18">
    <w:abstractNumId w:val="41"/>
  </w:num>
  <w:num w:numId="19">
    <w:abstractNumId w:val="20"/>
  </w:num>
  <w:num w:numId="20">
    <w:abstractNumId w:val="5"/>
  </w:num>
  <w:num w:numId="21">
    <w:abstractNumId w:val="28"/>
  </w:num>
  <w:num w:numId="22">
    <w:abstractNumId w:val="11"/>
  </w:num>
  <w:num w:numId="23">
    <w:abstractNumId w:val="33"/>
  </w:num>
  <w:num w:numId="24">
    <w:abstractNumId w:val="14"/>
  </w:num>
  <w:num w:numId="25">
    <w:abstractNumId w:val="0"/>
  </w:num>
  <w:num w:numId="26">
    <w:abstractNumId w:val="31"/>
  </w:num>
  <w:num w:numId="27">
    <w:abstractNumId w:val="22"/>
  </w:num>
  <w:num w:numId="28">
    <w:abstractNumId w:val="3"/>
  </w:num>
  <w:num w:numId="29">
    <w:abstractNumId w:val="25"/>
  </w:num>
  <w:num w:numId="30">
    <w:abstractNumId w:val="4"/>
  </w:num>
  <w:num w:numId="31">
    <w:abstractNumId w:val="18"/>
  </w:num>
  <w:num w:numId="32">
    <w:abstractNumId w:val="43"/>
  </w:num>
  <w:num w:numId="33">
    <w:abstractNumId w:val="2"/>
  </w:num>
  <w:num w:numId="34">
    <w:abstractNumId w:val="7"/>
  </w:num>
  <w:num w:numId="35">
    <w:abstractNumId w:val="32"/>
  </w:num>
  <w:num w:numId="36">
    <w:abstractNumId w:val="40"/>
  </w:num>
  <w:num w:numId="37">
    <w:abstractNumId w:val="26"/>
  </w:num>
  <w:num w:numId="38">
    <w:abstractNumId w:val="38"/>
  </w:num>
  <w:num w:numId="39">
    <w:abstractNumId w:val="34"/>
  </w:num>
  <w:num w:numId="40">
    <w:abstractNumId w:val="15"/>
  </w:num>
  <w:num w:numId="41">
    <w:abstractNumId w:val="37"/>
  </w:num>
  <w:num w:numId="42">
    <w:abstractNumId w:val="1"/>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A6"/>
    <w:rsid w:val="000065F0"/>
    <w:rsid w:val="00030066"/>
    <w:rsid w:val="0003116E"/>
    <w:rsid w:val="00074CA7"/>
    <w:rsid w:val="000B2932"/>
    <w:rsid w:val="000D7EB1"/>
    <w:rsid w:val="000F0A63"/>
    <w:rsid w:val="000F7BD1"/>
    <w:rsid w:val="001053EF"/>
    <w:rsid w:val="001147E0"/>
    <w:rsid w:val="00116035"/>
    <w:rsid w:val="00116221"/>
    <w:rsid w:val="00135E5E"/>
    <w:rsid w:val="00150390"/>
    <w:rsid w:val="001930F4"/>
    <w:rsid w:val="001B6404"/>
    <w:rsid w:val="001D4EED"/>
    <w:rsid w:val="001E54B6"/>
    <w:rsid w:val="00206573"/>
    <w:rsid w:val="002151CA"/>
    <w:rsid w:val="00255F3B"/>
    <w:rsid w:val="00277888"/>
    <w:rsid w:val="00277E0A"/>
    <w:rsid w:val="002B2BAA"/>
    <w:rsid w:val="002F4377"/>
    <w:rsid w:val="0032620F"/>
    <w:rsid w:val="00366900"/>
    <w:rsid w:val="00390F62"/>
    <w:rsid w:val="00392286"/>
    <w:rsid w:val="00424A60"/>
    <w:rsid w:val="004606D4"/>
    <w:rsid w:val="00467E04"/>
    <w:rsid w:val="00471F9D"/>
    <w:rsid w:val="00476F02"/>
    <w:rsid w:val="004A007E"/>
    <w:rsid w:val="004C499B"/>
    <w:rsid w:val="004D38B3"/>
    <w:rsid w:val="004F154D"/>
    <w:rsid w:val="005023D1"/>
    <w:rsid w:val="00517BD0"/>
    <w:rsid w:val="005316B3"/>
    <w:rsid w:val="00544216"/>
    <w:rsid w:val="005562DE"/>
    <w:rsid w:val="005572A6"/>
    <w:rsid w:val="00560671"/>
    <w:rsid w:val="00582F70"/>
    <w:rsid w:val="005938F3"/>
    <w:rsid w:val="005B1097"/>
    <w:rsid w:val="005B4A12"/>
    <w:rsid w:val="005C7152"/>
    <w:rsid w:val="005D1BDC"/>
    <w:rsid w:val="005E73A3"/>
    <w:rsid w:val="005F4414"/>
    <w:rsid w:val="006002BE"/>
    <w:rsid w:val="00602EC2"/>
    <w:rsid w:val="00606525"/>
    <w:rsid w:val="00625F19"/>
    <w:rsid w:val="006468DF"/>
    <w:rsid w:val="00652B8E"/>
    <w:rsid w:val="00655794"/>
    <w:rsid w:val="00661631"/>
    <w:rsid w:val="0067128E"/>
    <w:rsid w:val="00682006"/>
    <w:rsid w:val="006C7680"/>
    <w:rsid w:val="006D2F8B"/>
    <w:rsid w:val="00711BCD"/>
    <w:rsid w:val="00717C9A"/>
    <w:rsid w:val="00720EC6"/>
    <w:rsid w:val="007302FE"/>
    <w:rsid w:val="00741B6A"/>
    <w:rsid w:val="007A6261"/>
    <w:rsid w:val="007B3D77"/>
    <w:rsid w:val="007C1F68"/>
    <w:rsid w:val="007C794A"/>
    <w:rsid w:val="007D0649"/>
    <w:rsid w:val="007D2B66"/>
    <w:rsid w:val="008019BE"/>
    <w:rsid w:val="008273D2"/>
    <w:rsid w:val="00875E70"/>
    <w:rsid w:val="0088395B"/>
    <w:rsid w:val="008C1267"/>
    <w:rsid w:val="008C1882"/>
    <w:rsid w:val="008C7291"/>
    <w:rsid w:val="008F02F9"/>
    <w:rsid w:val="009024BF"/>
    <w:rsid w:val="00913774"/>
    <w:rsid w:val="00941425"/>
    <w:rsid w:val="00943272"/>
    <w:rsid w:val="00963968"/>
    <w:rsid w:val="0097744E"/>
    <w:rsid w:val="009906D1"/>
    <w:rsid w:val="009A1BC0"/>
    <w:rsid w:val="009A25D3"/>
    <w:rsid w:val="009C7097"/>
    <w:rsid w:val="00A27CB6"/>
    <w:rsid w:val="00A27D92"/>
    <w:rsid w:val="00A72CB3"/>
    <w:rsid w:val="00A94CFB"/>
    <w:rsid w:val="00AE01B1"/>
    <w:rsid w:val="00AF11F0"/>
    <w:rsid w:val="00B07779"/>
    <w:rsid w:val="00B102A2"/>
    <w:rsid w:val="00B217D0"/>
    <w:rsid w:val="00B23DCF"/>
    <w:rsid w:val="00B409D9"/>
    <w:rsid w:val="00B65A12"/>
    <w:rsid w:val="00B921A4"/>
    <w:rsid w:val="00BA0361"/>
    <w:rsid w:val="00C1488F"/>
    <w:rsid w:val="00C1576A"/>
    <w:rsid w:val="00C15C6A"/>
    <w:rsid w:val="00C1609C"/>
    <w:rsid w:val="00C23813"/>
    <w:rsid w:val="00C62FA8"/>
    <w:rsid w:val="00C77541"/>
    <w:rsid w:val="00CA1FE2"/>
    <w:rsid w:val="00CA585D"/>
    <w:rsid w:val="00CB2C31"/>
    <w:rsid w:val="00CD0790"/>
    <w:rsid w:val="00CF6F71"/>
    <w:rsid w:val="00D00D51"/>
    <w:rsid w:val="00D55723"/>
    <w:rsid w:val="00D7714E"/>
    <w:rsid w:val="00DD203A"/>
    <w:rsid w:val="00DD2EEF"/>
    <w:rsid w:val="00E0761D"/>
    <w:rsid w:val="00E104BB"/>
    <w:rsid w:val="00E30397"/>
    <w:rsid w:val="00E52164"/>
    <w:rsid w:val="00E53EE0"/>
    <w:rsid w:val="00E67168"/>
    <w:rsid w:val="00E832D6"/>
    <w:rsid w:val="00E90EC6"/>
    <w:rsid w:val="00EB7A0B"/>
    <w:rsid w:val="00F14234"/>
    <w:rsid w:val="00F2339C"/>
    <w:rsid w:val="00F234AD"/>
    <w:rsid w:val="00F25BD0"/>
    <w:rsid w:val="00F25CD7"/>
    <w:rsid w:val="00F512AE"/>
    <w:rsid w:val="00F66D28"/>
    <w:rsid w:val="00F81091"/>
    <w:rsid w:val="00F84C5C"/>
    <w:rsid w:val="00F91258"/>
    <w:rsid w:val="00F96A09"/>
    <w:rsid w:val="00FC4C1B"/>
    <w:rsid w:val="00FC6768"/>
    <w:rsid w:val="00FD498B"/>
    <w:rsid w:val="00FE4A72"/>
    <w:rsid w:val="00FF0176"/>
    <w:rsid w:val="00FF44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F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4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3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3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DF"/>
    <w:pPr>
      <w:ind w:left="720"/>
      <w:contextualSpacing/>
    </w:pPr>
  </w:style>
  <w:style w:type="character" w:customStyle="1" w:styleId="Heading1Char">
    <w:name w:val="Heading 1 Char"/>
    <w:basedOn w:val="DefaultParagraphFont"/>
    <w:link w:val="Heading1"/>
    <w:uiPriority w:val="9"/>
    <w:rsid w:val="00F84C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84C5C"/>
    <w:pPr>
      <w:outlineLvl w:val="9"/>
    </w:pPr>
    <w:rPr>
      <w:lang w:val="en-US" w:eastAsia="ja-JP"/>
    </w:rPr>
  </w:style>
  <w:style w:type="paragraph" w:styleId="BalloonText">
    <w:name w:val="Balloon Text"/>
    <w:basedOn w:val="Normal"/>
    <w:link w:val="BalloonTextChar"/>
    <w:uiPriority w:val="99"/>
    <w:semiHidden/>
    <w:unhideWhenUsed/>
    <w:rsid w:val="00F8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5C"/>
    <w:rPr>
      <w:rFonts w:ascii="Tahoma" w:hAnsi="Tahoma" w:cs="Tahoma"/>
      <w:sz w:val="16"/>
      <w:szCs w:val="16"/>
    </w:rPr>
  </w:style>
  <w:style w:type="paragraph" w:styleId="Header">
    <w:name w:val="header"/>
    <w:basedOn w:val="Normal"/>
    <w:link w:val="HeaderChar"/>
    <w:uiPriority w:val="99"/>
    <w:unhideWhenUsed/>
    <w:rsid w:val="00F84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C5C"/>
  </w:style>
  <w:style w:type="paragraph" w:styleId="Footer">
    <w:name w:val="footer"/>
    <w:basedOn w:val="Normal"/>
    <w:link w:val="FooterChar"/>
    <w:uiPriority w:val="99"/>
    <w:unhideWhenUsed/>
    <w:rsid w:val="00F84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C5C"/>
  </w:style>
  <w:style w:type="paragraph" w:styleId="FootnoteText">
    <w:name w:val="footnote text"/>
    <w:basedOn w:val="Normal"/>
    <w:link w:val="FootnoteTextChar"/>
    <w:uiPriority w:val="99"/>
    <w:unhideWhenUsed/>
    <w:rsid w:val="00E90EC6"/>
    <w:pPr>
      <w:spacing w:after="0" w:line="240" w:lineRule="auto"/>
    </w:pPr>
    <w:rPr>
      <w:sz w:val="20"/>
      <w:szCs w:val="20"/>
    </w:rPr>
  </w:style>
  <w:style w:type="character" w:customStyle="1" w:styleId="FootnoteTextChar">
    <w:name w:val="Footnote Text Char"/>
    <w:basedOn w:val="DefaultParagraphFont"/>
    <w:link w:val="FootnoteText"/>
    <w:uiPriority w:val="99"/>
    <w:rsid w:val="00E90EC6"/>
    <w:rPr>
      <w:sz w:val="20"/>
      <w:szCs w:val="20"/>
    </w:rPr>
  </w:style>
  <w:style w:type="character" w:styleId="FootnoteReference">
    <w:name w:val="footnote reference"/>
    <w:basedOn w:val="DefaultParagraphFont"/>
    <w:uiPriority w:val="99"/>
    <w:unhideWhenUsed/>
    <w:rsid w:val="00E90EC6"/>
    <w:rPr>
      <w:vertAlign w:val="superscript"/>
    </w:rPr>
  </w:style>
  <w:style w:type="character" w:styleId="Hyperlink">
    <w:name w:val="Hyperlink"/>
    <w:basedOn w:val="DefaultParagraphFont"/>
    <w:uiPriority w:val="99"/>
    <w:unhideWhenUsed/>
    <w:rsid w:val="00E90EC6"/>
    <w:rPr>
      <w:color w:val="0000FF" w:themeColor="hyperlink"/>
      <w:u w:val="single"/>
    </w:rPr>
  </w:style>
  <w:style w:type="character" w:customStyle="1" w:styleId="Heading2Char">
    <w:name w:val="Heading 2 Char"/>
    <w:basedOn w:val="DefaultParagraphFont"/>
    <w:link w:val="Heading2"/>
    <w:uiPriority w:val="9"/>
    <w:semiHidden/>
    <w:rsid w:val="00E83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32D6"/>
    <w:rPr>
      <w:rFonts w:asciiTheme="majorHAnsi" w:eastAsiaTheme="majorEastAsia" w:hAnsiTheme="majorHAnsi" w:cstheme="majorBidi"/>
      <w:b/>
      <w:bCs/>
      <w:color w:val="4F81BD" w:themeColor="accent1"/>
    </w:rPr>
  </w:style>
  <w:style w:type="paragraph" w:customStyle="1" w:styleId="Level1">
    <w:name w:val="Level 1"/>
    <w:basedOn w:val="Normal"/>
    <w:link w:val="Level1Char1"/>
    <w:qFormat/>
    <w:rsid w:val="00E832D6"/>
    <w:pPr>
      <w:numPr>
        <w:numId w:val="19"/>
      </w:numPr>
      <w:spacing w:after="140" w:line="360" w:lineRule="auto"/>
      <w:ind w:left="567" w:hanging="567"/>
      <w:jc w:val="both"/>
      <w:outlineLvl w:val="0"/>
    </w:pPr>
    <w:rPr>
      <w:rFonts w:ascii="Times New Roman" w:eastAsiaTheme="minorEastAsia" w:hAnsi="Times New Roman"/>
      <w:sz w:val="24"/>
      <w:lang w:eastAsia="en-GB"/>
    </w:rPr>
  </w:style>
  <w:style w:type="paragraph" w:customStyle="1" w:styleId="Level2">
    <w:name w:val="Level 2"/>
    <w:basedOn w:val="Level1"/>
    <w:link w:val="Level2Char"/>
    <w:qFormat/>
    <w:rsid w:val="00E832D6"/>
    <w:pPr>
      <w:numPr>
        <w:ilvl w:val="1"/>
      </w:numPr>
      <w:ind w:left="1247" w:hanging="680"/>
      <w:outlineLvl w:val="1"/>
    </w:pPr>
  </w:style>
  <w:style w:type="paragraph" w:customStyle="1" w:styleId="Level3">
    <w:name w:val="Level 3"/>
    <w:basedOn w:val="Level1"/>
    <w:link w:val="Level3Char"/>
    <w:qFormat/>
    <w:rsid w:val="00E832D6"/>
    <w:pPr>
      <w:numPr>
        <w:ilvl w:val="2"/>
      </w:numPr>
      <w:ind w:left="2041" w:hanging="794"/>
      <w:outlineLvl w:val="1"/>
    </w:pPr>
  </w:style>
  <w:style w:type="character" w:customStyle="1" w:styleId="Level1Char1">
    <w:name w:val="Level 1 Char1"/>
    <w:basedOn w:val="DefaultParagraphFont"/>
    <w:link w:val="Level1"/>
    <w:rsid w:val="00E832D6"/>
    <w:rPr>
      <w:rFonts w:ascii="Times New Roman" w:eastAsiaTheme="minorEastAsia" w:hAnsi="Times New Roman"/>
      <w:sz w:val="24"/>
      <w:lang w:eastAsia="en-GB"/>
    </w:rPr>
  </w:style>
  <w:style w:type="character" w:customStyle="1" w:styleId="Level2Char">
    <w:name w:val="Level 2 Char"/>
    <w:basedOn w:val="Level1Char1"/>
    <w:link w:val="Level2"/>
    <w:rsid w:val="00E832D6"/>
    <w:rPr>
      <w:rFonts w:ascii="Times New Roman" w:eastAsiaTheme="minorEastAsia" w:hAnsi="Times New Roman"/>
      <w:sz w:val="24"/>
      <w:lang w:eastAsia="en-GB"/>
    </w:rPr>
  </w:style>
  <w:style w:type="character" w:customStyle="1" w:styleId="Level3Char">
    <w:name w:val="Level 3 Char"/>
    <w:basedOn w:val="Level1Char1"/>
    <w:link w:val="Level3"/>
    <w:rsid w:val="00E832D6"/>
    <w:rPr>
      <w:rFonts w:ascii="Times New Roman" w:eastAsiaTheme="minorEastAsia" w:hAnsi="Times New Roman"/>
      <w:sz w:val="24"/>
      <w:lang w:eastAsia="en-GB"/>
    </w:rPr>
  </w:style>
  <w:style w:type="paragraph" w:styleId="Quote">
    <w:name w:val="Quote"/>
    <w:basedOn w:val="Normal"/>
    <w:next w:val="Normal"/>
    <w:link w:val="QuoteChar"/>
    <w:uiPriority w:val="29"/>
    <w:qFormat/>
    <w:rsid w:val="00E832D6"/>
    <w:pPr>
      <w:ind w:left="720"/>
      <w:jc w:val="both"/>
    </w:pPr>
    <w:rPr>
      <w:rFonts w:ascii="Times New Roman" w:eastAsiaTheme="minorEastAsia" w:hAnsi="Times New Roman"/>
      <w:iCs/>
      <w:color w:val="000000" w:themeColor="text1"/>
      <w:sz w:val="24"/>
      <w:lang w:eastAsia="en-GB"/>
    </w:rPr>
  </w:style>
  <w:style w:type="character" w:customStyle="1" w:styleId="QuoteChar">
    <w:name w:val="Quote Char"/>
    <w:basedOn w:val="DefaultParagraphFont"/>
    <w:link w:val="Quote"/>
    <w:uiPriority w:val="29"/>
    <w:rsid w:val="00E832D6"/>
    <w:rPr>
      <w:rFonts w:ascii="Times New Roman" w:eastAsiaTheme="minorEastAsia" w:hAnsi="Times New Roman"/>
      <w:iCs/>
      <w:color w:val="000000" w:themeColor="text1"/>
      <w:sz w:val="24"/>
      <w:lang w:eastAsia="en-GB"/>
    </w:rPr>
  </w:style>
  <w:style w:type="paragraph" w:customStyle="1" w:styleId="p1">
    <w:name w:val="p1"/>
    <w:basedOn w:val="Normal"/>
    <w:rsid w:val="00E832D6"/>
    <w:pPr>
      <w:spacing w:after="0" w:line="240" w:lineRule="auto"/>
    </w:pPr>
    <w:rPr>
      <w:rFonts w:ascii="Helvetica" w:eastAsiaTheme="minorEastAsia" w:hAnsi="Helvetica" w:cs="Times New Roman"/>
      <w:sz w:val="21"/>
      <w:szCs w:val="21"/>
      <w:lang w:eastAsia="en-GB"/>
    </w:rPr>
  </w:style>
  <w:style w:type="paragraph" w:customStyle="1" w:styleId="Para1">
    <w:name w:val="Para 1"/>
    <w:basedOn w:val="Normal"/>
    <w:link w:val="Para1Char"/>
    <w:qFormat/>
    <w:rsid w:val="00E832D6"/>
    <w:pPr>
      <w:numPr>
        <w:numId w:val="27"/>
      </w:numPr>
      <w:spacing w:after="360" w:line="360" w:lineRule="auto"/>
      <w:jc w:val="both"/>
    </w:pPr>
    <w:rPr>
      <w:rFonts w:ascii="Times New Roman" w:eastAsia="Calibri" w:hAnsi="Times New Roman" w:cs="Times New Roman"/>
      <w:sz w:val="24"/>
    </w:rPr>
  </w:style>
  <w:style w:type="character" w:customStyle="1" w:styleId="Para1Char">
    <w:name w:val="Para 1 Char"/>
    <w:link w:val="Para1"/>
    <w:rsid w:val="00E832D6"/>
    <w:rPr>
      <w:rFonts w:ascii="Times New Roman" w:eastAsia="Calibri" w:hAnsi="Times New Roman" w:cs="Times New Roman"/>
      <w:sz w:val="24"/>
    </w:rPr>
  </w:style>
  <w:style w:type="paragraph" w:customStyle="1" w:styleId="Para2">
    <w:name w:val="Para 2"/>
    <w:basedOn w:val="Normal"/>
    <w:link w:val="Para2Char"/>
    <w:qFormat/>
    <w:rsid w:val="00E832D6"/>
    <w:pPr>
      <w:numPr>
        <w:ilvl w:val="1"/>
        <w:numId w:val="27"/>
      </w:numPr>
      <w:spacing w:after="360" w:line="360" w:lineRule="auto"/>
      <w:ind w:left="1260" w:hanging="720"/>
      <w:jc w:val="both"/>
    </w:pPr>
    <w:rPr>
      <w:rFonts w:ascii="Times New Roman" w:eastAsia="Calibri" w:hAnsi="Times New Roman" w:cs="Times New Roman"/>
      <w:sz w:val="24"/>
    </w:rPr>
  </w:style>
  <w:style w:type="character" w:customStyle="1" w:styleId="Para2Char">
    <w:name w:val="Para 2 Char"/>
    <w:link w:val="Para2"/>
    <w:rsid w:val="00E832D6"/>
    <w:rPr>
      <w:rFonts w:ascii="Times New Roman" w:eastAsia="Calibri" w:hAnsi="Times New Roman" w:cs="Times New Roman"/>
      <w:sz w:val="24"/>
    </w:rPr>
  </w:style>
  <w:style w:type="paragraph" w:customStyle="1" w:styleId="Para3">
    <w:name w:val="Para 3"/>
    <w:basedOn w:val="Normal"/>
    <w:qFormat/>
    <w:rsid w:val="00E832D6"/>
    <w:pPr>
      <w:numPr>
        <w:ilvl w:val="2"/>
        <w:numId w:val="27"/>
      </w:numPr>
      <w:spacing w:after="360" w:line="360" w:lineRule="auto"/>
      <w:ind w:left="2160" w:hanging="900"/>
      <w:jc w:val="both"/>
    </w:pPr>
    <w:rPr>
      <w:rFonts w:ascii="Times New Roman" w:eastAsia="Calibri" w:hAnsi="Times New Roman" w:cs="Times New Roman"/>
      <w:sz w:val="24"/>
    </w:rPr>
  </w:style>
  <w:style w:type="paragraph" w:customStyle="1" w:styleId="Para4">
    <w:name w:val="Para 4"/>
    <w:basedOn w:val="Para3"/>
    <w:qFormat/>
    <w:rsid w:val="00E832D6"/>
    <w:pPr>
      <w:numPr>
        <w:ilvl w:val="3"/>
      </w:numPr>
      <w:ind w:left="3240" w:hanging="1080"/>
    </w:pPr>
  </w:style>
  <w:style w:type="paragraph" w:customStyle="1" w:styleId="Quotation">
    <w:name w:val="Quotation"/>
    <w:basedOn w:val="Normal"/>
    <w:link w:val="QuotationChar"/>
    <w:qFormat/>
    <w:rsid w:val="00E832D6"/>
    <w:pPr>
      <w:spacing w:after="360" w:line="240" w:lineRule="auto"/>
      <w:ind w:left="2160" w:right="567"/>
      <w:contextualSpacing/>
      <w:jc w:val="both"/>
    </w:pPr>
    <w:rPr>
      <w:rFonts w:ascii="Times New Roman" w:eastAsia="Calibri" w:hAnsi="Times New Roman" w:cs="Times New Roman"/>
      <w:sz w:val="24"/>
    </w:rPr>
  </w:style>
  <w:style w:type="character" w:customStyle="1" w:styleId="QuotationChar">
    <w:name w:val="Quotation Char"/>
    <w:link w:val="Quotation"/>
    <w:rsid w:val="00E832D6"/>
    <w:rPr>
      <w:rFonts w:ascii="Times New Roman" w:eastAsia="Calibri" w:hAnsi="Times New Roman" w:cs="Times New Roman"/>
      <w:sz w:val="24"/>
    </w:rPr>
  </w:style>
  <w:style w:type="paragraph" w:styleId="Title">
    <w:name w:val="Title"/>
    <w:basedOn w:val="Normal"/>
    <w:next w:val="Normal"/>
    <w:link w:val="TitleChar"/>
    <w:uiPriority w:val="10"/>
    <w:qFormat/>
    <w:rsid w:val="00E832D6"/>
    <w:pPr>
      <w:spacing w:after="1200" w:line="360" w:lineRule="auto"/>
      <w:jc w:val="center"/>
    </w:pPr>
    <w:rPr>
      <w:rFonts w:ascii="Times New Roman" w:eastAsia="Calibri" w:hAnsi="Times New Roman" w:cs="Times New Roman"/>
      <w:sz w:val="24"/>
      <w:lang w:val="x-none"/>
    </w:rPr>
  </w:style>
  <w:style w:type="character" w:customStyle="1" w:styleId="TitleChar">
    <w:name w:val="Title Char"/>
    <w:basedOn w:val="DefaultParagraphFont"/>
    <w:link w:val="Title"/>
    <w:uiPriority w:val="10"/>
    <w:rsid w:val="00E832D6"/>
    <w:rPr>
      <w:rFonts w:ascii="Times New Roman" w:eastAsia="Calibri" w:hAnsi="Times New Roman" w:cs="Times New Roman"/>
      <w:sz w:val="24"/>
      <w:lang w:val="x-none"/>
    </w:rPr>
  </w:style>
  <w:style w:type="character" w:styleId="Emphasis">
    <w:name w:val="Emphasis"/>
    <w:uiPriority w:val="20"/>
    <w:qFormat/>
    <w:rsid w:val="00E832D6"/>
    <w:rPr>
      <w:b/>
    </w:rPr>
  </w:style>
  <w:style w:type="paragraph" w:styleId="NormalWeb">
    <w:name w:val="Normal (Web)"/>
    <w:basedOn w:val="Normal"/>
    <w:uiPriority w:val="99"/>
    <w:unhideWhenUsed/>
    <w:rsid w:val="00A27D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C148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4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3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3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DF"/>
    <w:pPr>
      <w:ind w:left="720"/>
      <w:contextualSpacing/>
    </w:pPr>
  </w:style>
  <w:style w:type="character" w:customStyle="1" w:styleId="Heading1Char">
    <w:name w:val="Heading 1 Char"/>
    <w:basedOn w:val="DefaultParagraphFont"/>
    <w:link w:val="Heading1"/>
    <w:uiPriority w:val="9"/>
    <w:rsid w:val="00F84C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84C5C"/>
    <w:pPr>
      <w:outlineLvl w:val="9"/>
    </w:pPr>
    <w:rPr>
      <w:lang w:val="en-US" w:eastAsia="ja-JP"/>
    </w:rPr>
  </w:style>
  <w:style w:type="paragraph" w:styleId="BalloonText">
    <w:name w:val="Balloon Text"/>
    <w:basedOn w:val="Normal"/>
    <w:link w:val="BalloonTextChar"/>
    <w:uiPriority w:val="99"/>
    <w:semiHidden/>
    <w:unhideWhenUsed/>
    <w:rsid w:val="00F8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5C"/>
    <w:rPr>
      <w:rFonts w:ascii="Tahoma" w:hAnsi="Tahoma" w:cs="Tahoma"/>
      <w:sz w:val="16"/>
      <w:szCs w:val="16"/>
    </w:rPr>
  </w:style>
  <w:style w:type="paragraph" w:styleId="Header">
    <w:name w:val="header"/>
    <w:basedOn w:val="Normal"/>
    <w:link w:val="HeaderChar"/>
    <w:uiPriority w:val="99"/>
    <w:unhideWhenUsed/>
    <w:rsid w:val="00F84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C5C"/>
  </w:style>
  <w:style w:type="paragraph" w:styleId="Footer">
    <w:name w:val="footer"/>
    <w:basedOn w:val="Normal"/>
    <w:link w:val="FooterChar"/>
    <w:uiPriority w:val="99"/>
    <w:unhideWhenUsed/>
    <w:rsid w:val="00F84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C5C"/>
  </w:style>
  <w:style w:type="paragraph" w:styleId="FootnoteText">
    <w:name w:val="footnote text"/>
    <w:basedOn w:val="Normal"/>
    <w:link w:val="FootnoteTextChar"/>
    <w:uiPriority w:val="99"/>
    <w:unhideWhenUsed/>
    <w:rsid w:val="00E90EC6"/>
    <w:pPr>
      <w:spacing w:after="0" w:line="240" w:lineRule="auto"/>
    </w:pPr>
    <w:rPr>
      <w:sz w:val="20"/>
      <w:szCs w:val="20"/>
    </w:rPr>
  </w:style>
  <w:style w:type="character" w:customStyle="1" w:styleId="FootnoteTextChar">
    <w:name w:val="Footnote Text Char"/>
    <w:basedOn w:val="DefaultParagraphFont"/>
    <w:link w:val="FootnoteText"/>
    <w:uiPriority w:val="99"/>
    <w:rsid w:val="00E90EC6"/>
    <w:rPr>
      <w:sz w:val="20"/>
      <w:szCs w:val="20"/>
    </w:rPr>
  </w:style>
  <w:style w:type="character" w:styleId="FootnoteReference">
    <w:name w:val="footnote reference"/>
    <w:basedOn w:val="DefaultParagraphFont"/>
    <w:uiPriority w:val="99"/>
    <w:unhideWhenUsed/>
    <w:rsid w:val="00E90EC6"/>
    <w:rPr>
      <w:vertAlign w:val="superscript"/>
    </w:rPr>
  </w:style>
  <w:style w:type="character" w:styleId="Hyperlink">
    <w:name w:val="Hyperlink"/>
    <w:basedOn w:val="DefaultParagraphFont"/>
    <w:uiPriority w:val="99"/>
    <w:unhideWhenUsed/>
    <w:rsid w:val="00E90EC6"/>
    <w:rPr>
      <w:color w:val="0000FF" w:themeColor="hyperlink"/>
      <w:u w:val="single"/>
    </w:rPr>
  </w:style>
  <w:style w:type="character" w:customStyle="1" w:styleId="Heading2Char">
    <w:name w:val="Heading 2 Char"/>
    <w:basedOn w:val="DefaultParagraphFont"/>
    <w:link w:val="Heading2"/>
    <w:uiPriority w:val="9"/>
    <w:semiHidden/>
    <w:rsid w:val="00E83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32D6"/>
    <w:rPr>
      <w:rFonts w:asciiTheme="majorHAnsi" w:eastAsiaTheme="majorEastAsia" w:hAnsiTheme="majorHAnsi" w:cstheme="majorBidi"/>
      <w:b/>
      <w:bCs/>
      <w:color w:val="4F81BD" w:themeColor="accent1"/>
    </w:rPr>
  </w:style>
  <w:style w:type="paragraph" w:customStyle="1" w:styleId="Level1">
    <w:name w:val="Level 1"/>
    <w:basedOn w:val="Normal"/>
    <w:link w:val="Level1Char1"/>
    <w:qFormat/>
    <w:rsid w:val="00E832D6"/>
    <w:pPr>
      <w:numPr>
        <w:numId w:val="19"/>
      </w:numPr>
      <w:spacing w:after="140" w:line="360" w:lineRule="auto"/>
      <w:ind w:left="567" w:hanging="567"/>
      <w:jc w:val="both"/>
      <w:outlineLvl w:val="0"/>
    </w:pPr>
    <w:rPr>
      <w:rFonts w:ascii="Times New Roman" w:eastAsiaTheme="minorEastAsia" w:hAnsi="Times New Roman"/>
      <w:sz w:val="24"/>
      <w:lang w:eastAsia="en-GB"/>
    </w:rPr>
  </w:style>
  <w:style w:type="paragraph" w:customStyle="1" w:styleId="Level2">
    <w:name w:val="Level 2"/>
    <w:basedOn w:val="Level1"/>
    <w:link w:val="Level2Char"/>
    <w:qFormat/>
    <w:rsid w:val="00E832D6"/>
    <w:pPr>
      <w:numPr>
        <w:ilvl w:val="1"/>
      </w:numPr>
      <w:ind w:left="1247" w:hanging="680"/>
      <w:outlineLvl w:val="1"/>
    </w:pPr>
  </w:style>
  <w:style w:type="paragraph" w:customStyle="1" w:styleId="Level3">
    <w:name w:val="Level 3"/>
    <w:basedOn w:val="Level1"/>
    <w:link w:val="Level3Char"/>
    <w:qFormat/>
    <w:rsid w:val="00E832D6"/>
    <w:pPr>
      <w:numPr>
        <w:ilvl w:val="2"/>
      </w:numPr>
      <w:ind w:left="2041" w:hanging="794"/>
      <w:outlineLvl w:val="1"/>
    </w:pPr>
  </w:style>
  <w:style w:type="character" w:customStyle="1" w:styleId="Level1Char1">
    <w:name w:val="Level 1 Char1"/>
    <w:basedOn w:val="DefaultParagraphFont"/>
    <w:link w:val="Level1"/>
    <w:rsid w:val="00E832D6"/>
    <w:rPr>
      <w:rFonts w:ascii="Times New Roman" w:eastAsiaTheme="minorEastAsia" w:hAnsi="Times New Roman"/>
      <w:sz w:val="24"/>
      <w:lang w:eastAsia="en-GB"/>
    </w:rPr>
  </w:style>
  <w:style w:type="character" w:customStyle="1" w:styleId="Level2Char">
    <w:name w:val="Level 2 Char"/>
    <w:basedOn w:val="Level1Char1"/>
    <w:link w:val="Level2"/>
    <w:rsid w:val="00E832D6"/>
    <w:rPr>
      <w:rFonts w:ascii="Times New Roman" w:eastAsiaTheme="minorEastAsia" w:hAnsi="Times New Roman"/>
      <w:sz w:val="24"/>
      <w:lang w:eastAsia="en-GB"/>
    </w:rPr>
  </w:style>
  <w:style w:type="character" w:customStyle="1" w:styleId="Level3Char">
    <w:name w:val="Level 3 Char"/>
    <w:basedOn w:val="Level1Char1"/>
    <w:link w:val="Level3"/>
    <w:rsid w:val="00E832D6"/>
    <w:rPr>
      <w:rFonts w:ascii="Times New Roman" w:eastAsiaTheme="minorEastAsia" w:hAnsi="Times New Roman"/>
      <w:sz w:val="24"/>
      <w:lang w:eastAsia="en-GB"/>
    </w:rPr>
  </w:style>
  <w:style w:type="paragraph" w:styleId="Quote">
    <w:name w:val="Quote"/>
    <w:basedOn w:val="Normal"/>
    <w:next w:val="Normal"/>
    <w:link w:val="QuoteChar"/>
    <w:uiPriority w:val="29"/>
    <w:qFormat/>
    <w:rsid w:val="00E832D6"/>
    <w:pPr>
      <w:ind w:left="720"/>
      <w:jc w:val="both"/>
    </w:pPr>
    <w:rPr>
      <w:rFonts w:ascii="Times New Roman" w:eastAsiaTheme="minorEastAsia" w:hAnsi="Times New Roman"/>
      <w:iCs/>
      <w:color w:val="000000" w:themeColor="text1"/>
      <w:sz w:val="24"/>
      <w:lang w:eastAsia="en-GB"/>
    </w:rPr>
  </w:style>
  <w:style w:type="character" w:customStyle="1" w:styleId="QuoteChar">
    <w:name w:val="Quote Char"/>
    <w:basedOn w:val="DefaultParagraphFont"/>
    <w:link w:val="Quote"/>
    <w:uiPriority w:val="29"/>
    <w:rsid w:val="00E832D6"/>
    <w:rPr>
      <w:rFonts w:ascii="Times New Roman" w:eastAsiaTheme="minorEastAsia" w:hAnsi="Times New Roman"/>
      <w:iCs/>
      <w:color w:val="000000" w:themeColor="text1"/>
      <w:sz w:val="24"/>
      <w:lang w:eastAsia="en-GB"/>
    </w:rPr>
  </w:style>
  <w:style w:type="paragraph" w:customStyle="1" w:styleId="p1">
    <w:name w:val="p1"/>
    <w:basedOn w:val="Normal"/>
    <w:rsid w:val="00E832D6"/>
    <w:pPr>
      <w:spacing w:after="0" w:line="240" w:lineRule="auto"/>
    </w:pPr>
    <w:rPr>
      <w:rFonts w:ascii="Helvetica" w:eastAsiaTheme="minorEastAsia" w:hAnsi="Helvetica" w:cs="Times New Roman"/>
      <w:sz w:val="21"/>
      <w:szCs w:val="21"/>
      <w:lang w:eastAsia="en-GB"/>
    </w:rPr>
  </w:style>
  <w:style w:type="paragraph" w:customStyle="1" w:styleId="Para1">
    <w:name w:val="Para 1"/>
    <w:basedOn w:val="Normal"/>
    <w:link w:val="Para1Char"/>
    <w:qFormat/>
    <w:rsid w:val="00E832D6"/>
    <w:pPr>
      <w:numPr>
        <w:numId w:val="27"/>
      </w:numPr>
      <w:spacing w:after="360" w:line="360" w:lineRule="auto"/>
      <w:jc w:val="both"/>
    </w:pPr>
    <w:rPr>
      <w:rFonts w:ascii="Times New Roman" w:eastAsia="Calibri" w:hAnsi="Times New Roman" w:cs="Times New Roman"/>
      <w:sz w:val="24"/>
    </w:rPr>
  </w:style>
  <w:style w:type="character" w:customStyle="1" w:styleId="Para1Char">
    <w:name w:val="Para 1 Char"/>
    <w:link w:val="Para1"/>
    <w:rsid w:val="00E832D6"/>
    <w:rPr>
      <w:rFonts w:ascii="Times New Roman" w:eastAsia="Calibri" w:hAnsi="Times New Roman" w:cs="Times New Roman"/>
      <w:sz w:val="24"/>
    </w:rPr>
  </w:style>
  <w:style w:type="paragraph" w:customStyle="1" w:styleId="Para2">
    <w:name w:val="Para 2"/>
    <w:basedOn w:val="Normal"/>
    <w:link w:val="Para2Char"/>
    <w:qFormat/>
    <w:rsid w:val="00E832D6"/>
    <w:pPr>
      <w:numPr>
        <w:ilvl w:val="1"/>
        <w:numId w:val="27"/>
      </w:numPr>
      <w:spacing w:after="360" w:line="360" w:lineRule="auto"/>
      <w:ind w:left="1260" w:hanging="720"/>
      <w:jc w:val="both"/>
    </w:pPr>
    <w:rPr>
      <w:rFonts w:ascii="Times New Roman" w:eastAsia="Calibri" w:hAnsi="Times New Roman" w:cs="Times New Roman"/>
      <w:sz w:val="24"/>
    </w:rPr>
  </w:style>
  <w:style w:type="character" w:customStyle="1" w:styleId="Para2Char">
    <w:name w:val="Para 2 Char"/>
    <w:link w:val="Para2"/>
    <w:rsid w:val="00E832D6"/>
    <w:rPr>
      <w:rFonts w:ascii="Times New Roman" w:eastAsia="Calibri" w:hAnsi="Times New Roman" w:cs="Times New Roman"/>
      <w:sz w:val="24"/>
    </w:rPr>
  </w:style>
  <w:style w:type="paragraph" w:customStyle="1" w:styleId="Para3">
    <w:name w:val="Para 3"/>
    <w:basedOn w:val="Normal"/>
    <w:qFormat/>
    <w:rsid w:val="00E832D6"/>
    <w:pPr>
      <w:numPr>
        <w:ilvl w:val="2"/>
        <w:numId w:val="27"/>
      </w:numPr>
      <w:spacing w:after="360" w:line="360" w:lineRule="auto"/>
      <w:ind w:left="2160" w:hanging="900"/>
      <w:jc w:val="both"/>
    </w:pPr>
    <w:rPr>
      <w:rFonts w:ascii="Times New Roman" w:eastAsia="Calibri" w:hAnsi="Times New Roman" w:cs="Times New Roman"/>
      <w:sz w:val="24"/>
    </w:rPr>
  </w:style>
  <w:style w:type="paragraph" w:customStyle="1" w:styleId="Para4">
    <w:name w:val="Para 4"/>
    <w:basedOn w:val="Para3"/>
    <w:qFormat/>
    <w:rsid w:val="00E832D6"/>
    <w:pPr>
      <w:numPr>
        <w:ilvl w:val="3"/>
      </w:numPr>
      <w:ind w:left="3240" w:hanging="1080"/>
    </w:pPr>
  </w:style>
  <w:style w:type="paragraph" w:customStyle="1" w:styleId="Quotation">
    <w:name w:val="Quotation"/>
    <w:basedOn w:val="Normal"/>
    <w:link w:val="QuotationChar"/>
    <w:qFormat/>
    <w:rsid w:val="00E832D6"/>
    <w:pPr>
      <w:spacing w:after="360" w:line="240" w:lineRule="auto"/>
      <w:ind w:left="2160" w:right="567"/>
      <w:contextualSpacing/>
      <w:jc w:val="both"/>
    </w:pPr>
    <w:rPr>
      <w:rFonts w:ascii="Times New Roman" w:eastAsia="Calibri" w:hAnsi="Times New Roman" w:cs="Times New Roman"/>
      <w:sz w:val="24"/>
    </w:rPr>
  </w:style>
  <w:style w:type="character" w:customStyle="1" w:styleId="QuotationChar">
    <w:name w:val="Quotation Char"/>
    <w:link w:val="Quotation"/>
    <w:rsid w:val="00E832D6"/>
    <w:rPr>
      <w:rFonts w:ascii="Times New Roman" w:eastAsia="Calibri" w:hAnsi="Times New Roman" w:cs="Times New Roman"/>
      <w:sz w:val="24"/>
    </w:rPr>
  </w:style>
  <w:style w:type="paragraph" w:styleId="Title">
    <w:name w:val="Title"/>
    <w:basedOn w:val="Normal"/>
    <w:next w:val="Normal"/>
    <w:link w:val="TitleChar"/>
    <w:uiPriority w:val="10"/>
    <w:qFormat/>
    <w:rsid w:val="00E832D6"/>
    <w:pPr>
      <w:spacing w:after="1200" w:line="360" w:lineRule="auto"/>
      <w:jc w:val="center"/>
    </w:pPr>
    <w:rPr>
      <w:rFonts w:ascii="Times New Roman" w:eastAsia="Calibri" w:hAnsi="Times New Roman" w:cs="Times New Roman"/>
      <w:sz w:val="24"/>
      <w:lang w:val="x-none"/>
    </w:rPr>
  </w:style>
  <w:style w:type="character" w:customStyle="1" w:styleId="TitleChar">
    <w:name w:val="Title Char"/>
    <w:basedOn w:val="DefaultParagraphFont"/>
    <w:link w:val="Title"/>
    <w:uiPriority w:val="10"/>
    <w:rsid w:val="00E832D6"/>
    <w:rPr>
      <w:rFonts w:ascii="Times New Roman" w:eastAsia="Calibri" w:hAnsi="Times New Roman" w:cs="Times New Roman"/>
      <w:sz w:val="24"/>
      <w:lang w:val="x-none"/>
    </w:rPr>
  </w:style>
  <w:style w:type="character" w:styleId="Emphasis">
    <w:name w:val="Emphasis"/>
    <w:uiPriority w:val="20"/>
    <w:qFormat/>
    <w:rsid w:val="00E832D6"/>
    <w:rPr>
      <w:b/>
    </w:rPr>
  </w:style>
  <w:style w:type="paragraph" w:styleId="NormalWeb">
    <w:name w:val="Normal (Web)"/>
    <w:basedOn w:val="Normal"/>
    <w:uiPriority w:val="99"/>
    <w:unhideWhenUsed/>
    <w:rsid w:val="00A27D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C1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ogin.westlaw.co.uk/maf/wluk/app/document?src=doc&amp;linktype=ref&amp;context=8&amp;crumb-action=replace&amp;docguid=I7C151DF05C0C4972B7E1805B2B563FD3" TargetMode="External"/><Relationship Id="rId12" Type="http://schemas.openxmlformats.org/officeDocument/2006/relationships/hyperlink" Target="http://login.westlaw.co.uk/maf/wluk/app/document?src=doc&amp;linktype=ref&amp;context=8&amp;crumb-action=replace&amp;docguid=I7C151DF05C0C4972B7E1805B2B563FD3" TargetMode="External"/><Relationship Id="rId13" Type="http://schemas.openxmlformats.org/officeDocument/2006/relationships/hyperlink" Target="http://login.westlaw.co.uk/maf/wluk/app/document?src=doc&amp;linktype=ref&amp;context=8&amp;crumb-action=replace&amp;docguid=I7C151DF05C0C4972B7E1805B2B563FD3" TargetMode="External"/><Relationship Id="rId14" Type="http://schemas.openxmlformats.org/officeDocument/2006/relationships/hyperlink" Target="http://login.westlaw.co.uk/maf/wluk/app/document?src=doc&amp;linktype=ref&amp;context=8&amp;crumb-action=replace&amp;docguid=I7C151DF05C0C4972B7E1805B2B563FD3" TargetMode="External"/><Relationship Id="rId15" Type="http://schemas.openxmlformats.org/officeDocument/2006/relationships/hyperlink" Target="http://login.westlaw.co.uk/maf/wluk/app/document?src=doc&amp;linktype=ref&amp;context=8&amp;crumb-action=replace&amp;docguid=I7C151DF05C0C4972B7E1805B2B563FD3" TargetMode="External"/><Relationship Id="rId16" Type="http://schemas.openxmlformats.org/officeDocument/2006/relationships/hyperlink" Target="http://login.westlaw.co.uk/maf/wluk/app/document?src=doc&amp;linktype=ref&amp;context=8&amp;crumb-action=replace&amp;docguid=I7C151DF05C0C4972B7E1805B2B563FD3"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ogin.westlaw.co.uk/maf/wluk/app/document?src=doc&amp;linktype=ref&amp;context=8&amp;crumb-action=replace&amp;docguid=I7C151DF05C0C4972B7E1805B2B563FD3" TargetMode="External"/><Relationship Id="rId10" Type="http://schemas.openxmlformats.org/officeDocument/2006/relationships/hyperlink" Target="http://login.westlaw.co.uk/maf/wluk/app/document?src=doc&amp;linktype=ref&amp;context=8&amp;crumb-action=replace&amp;docguid=I8DD41AE99C094FD58850761F03C6115B"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legislation.gov.uk/uksi/2009/2475/contents/made" TargetMode="External"/><Relationship Id="rId12" Type="http://schemas.openxmlformats.org/officeDocument/2006/relationships/hyperlink" Target="http://www.legislation.gov.uk/uksi/2012/1791/contents/made" TargetMode="External"/><Relationship Id="rId13" Type="http://schemas.openxmlformats.org/officeDocument/2006/relationships/hyperlink" Target="https://www.fca.org.uk/publication/archive/payment-services-approach.pdf" TargetMode="External"/><Relationship Id="rId14" Type="http://schemas.openxmlformats.org/officeDocument/2006/relationships/hyperlink" Target="https://www.fca.org.uk/publication/archive/payment-services-approach.pdf" TargetMode="External"/><Relationship Id="rId15" Type="http://schemas.openxmlformats.org/officeDocument/2006/relationships/hyperlink" Target="https://www.parliament.uk/documents/commons-committees/treasury/Correspondence/AJB-to-Andrew-Tyrie-Passporting.PDF" TargetMode="External"/><Relationship Id="rId16" Type="http://schemas.openxmlformats.org/officeDocument/2006/relationships/hyperlink" Target="http://news.sky.com/story/brexit-jobs-threat-at-credit-card-giant-visa-10327664" TargetMode="External"/><Relationship Id="rId17" Type="http://schemas.openxmlformats.org/officeDocument/2006/relationships/hyperlink" Target="http://www.bankofengland.co.uk/publications/Documents/fsr/2016/fsrjul16.pdf" TargetMode="External"/><Relationship Id="rId18" Type="http://schemas.openxmlformats.org/officeDocument/2006/relationships/hyperlink" Target="http://www.paymentsuk.org.uk/sites/default/files/PSD2%20report%20June%202016.pdf" TargetMode="External"/><Relationship Id="rId1" Type="http://schemas.openxmlformats.org/officeDocument/2006/relationships/hyperlink" Target="http://www.publications.parliament.uk/pa/ld201617/ldselect/ldeucom/81/8108.htm" TargetMode="External"/><Relationship Id="rId2" Type="http://schemas.openxmlformats.org/officeDocument/2006/relationships/hyperlink" Target="https://wikileaks.org/tisa/document/20160627_TiSA_Annex-on-Financial-Services/20160627_TiSA_Annex-on-Financial-Services.pdf" TargetMode="External"/><Relationship Id="rId3" Type="http://schemas.openxmlformats.org/officeDocument/2006/relationships/hyperlink" Target="http://eur-lex.europa.eu/legal-content/EN/TXT/?uri=CELEX:32014L0065" TargetMode="External"/><Relationship Id="rId4" Type="http://schemas.openxmlformats.org/officeDocument/2006/relationships/hyperlink" Target="http://ec.europa.eu/finance/general-policy/docs/expert-group/150714-minutes_en.pdf" TargetMode="External"/><Relationship Id="rId5" Type="http://schemas.openxmlformats.org/officeDocument/2006/relationships/hyperlink" Target="https://www.cliffordchance.com/briefings/2016/03/brexit_-_insurancesectoranalysis.html" TargetMode="External"/><Relationship Id="rId6" Type="http://schemas.openxmlformats.org/officeDocument/2006/relationships/hyperlink" Target="http://www.shearman.com/~/media/Files/NewsInsights/Publications/2016/07/Brexit-Implications-for-the-Insurance-and-Reinsurance-Industry-INS-071916.pdf" TargetMode="External"/><Relationship Id="rId7" Type="http://schemas.openxmlformats.org/officeDocument/2006/relationships/hyperlink" Target="http://www.sidley.com/~/media/publications/reactions-membery-dannheisser.pdf" TargetMode="External"/><Relationship Id="rId8" Type="http://schemas.openxmlformats.org/officeDocument/2006/relationships/hyperlink" Target="http://ec.europa.eu/finance/consultations/2016/cross-borders-investment-funds/docs/consultation-document_en.pdf" TargetMode="External"/><Relationship Id="rId9" Type="http://schemas.openxmlformats.org/officeDocument/2006/relationships/hyperlink" Target="http://data.europa.eu/eli/dir/2007/64/oj" TargetMode="External"/><Relationship Id="rId10" Type="http://schemas.openxmlformats.org/officeDocument/2006/relationships/hyperlink" Target="http://www.legislation.gov.uk/uksi/2009/209/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43B3-EA1B-664E-B50D-B0679551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28123</Words>
  <Characters>160303</Characters>
  <Application>Microsoft Macintosh Word</Application>
  <DocSecurity>0</DocSecurity>
  <Lines>1335</Lines>
  <Paragraphs>376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Spink QC</dc:creator>
  <cp:keywords/>
  <dc:description/>
  <cp:lastModifiedBy>Andrew Spink QC</cp:lastModifiedBy>
  <cp:revision>2</cp:revision>
  <dcterms:created xsi:type="dcterms:W3CDTF">2017-01-11T00:59:00Z</dcterms:created>
  <dcterms:modified xsi:type="dcterms:W3CDTF">2017-01-11T00:59:00Z</dcterms:modified>
  <cp:category/>
</cp:coreProperties>
</file>