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FF23" w14:textId="002B0DC2" w:rsidR="005E2342" w:rsidRDefault="00CF561B" w:rsidP="00CF561B">
      <w:pPr>
        <w:jc w:val="center"/>
      </w:pPr>
      <w:r w:rsidRPr="00CF561B">
        <w:rPr>
          <w:noProof/>
        </w:rPr>
        <w:drawing>
          <wp:inline distT="0" distB="0" distL="0" distR="0" wp14:anchorId="0EBB68B4" wp14:editId="2090186A">
            <wp:extent cx="969010" cy="960120"/>
            <wp:effectExtent l="0" t="0" r="2540" b="0"/>
            <wp:docPr id="954947942" name="Picture 1"/>
            <wp:cNvGraphicFramePr/>
            <a:graphic xmlns:a="http://schemas.openxmlformats.org/drawingml/2006/main">
              <a:graphicData uri="http://schemas.openxmlformats.org/drawingml/2006/picture">
                <pic:pic xmlns:pic="http://schemas.openxmlformats.org/drawingml/2006/picture">
                  <pic:nvPicPr>
                    <pic:cNvPr id="95494794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3853DEC3" w14:textId="77777777" w:rsidR="00CF561B" w:rsidRDefault="00CF561B">
      <w:pPr>
        <w:jc w:val="center"/>
      </w:pPr>
    </w:p>
    <w:p w14:paraId="22A6BC3B" w14:textId="2969DAA2" w:rsidR="005E2342" w:rsidRDefault="005E2342">
      <w:pPr>
        <w:pStyle w:val="CoverText"/>
        <w:jc w:val="left"/>
        <w:rPr>
          <w:bCs/>
          <w:sz w:val="20"/>
          <w:u w:val="none"/>
        </w:rPr>
      </w:pPr>
      <w:r>
        <w:rPr>
          <w:bCs/>
        </w:rPr>
        <w:t xml:space="preserve">Neutral Citation Number: </w:t>
      </w:r>
      <w:r w:rsidR="008101CC">
        <w:rPr>
          <w:bCs/>
        </w:rPr>
        <w:t xml:space="preserve">[2026] </w:t>
      </w:r>
      <w:proofErr w:type="spellStart"/>
      <w:r w:rsidR="008101CC">
        <w:rPr>
          <w:bCs/>
        </w:rPr>
        <w:t>EWHC</w:t>
      </w:r>
      <w:proofErr w:type="spellEnd"/>
      <w:r w:rsidR="008101CC">
        <w:rPr>
          <w:bCs/>
        </w:rPr>
        <w:t xml:space="preserve"> 1393 (Admin)</w:t>
      </w:r>
      <w:r>
        <w:rPr>
          <w:bCs/>
        </w:rPr>
        <w:br/>
      </w:r>
    </w:p>
    <w:p w14:paraId="61C23FF2" w14:textId="77777777" w:rsidR="0032750C" w:rsidRPr="00DA260C" w:rsidRDefault="005E2342" w:rsidP="0032750C">
      <w:pPr>
        <w:pStyle w:val="BodyText"/>
        <w:spacing w:line="360" w:lineRule="auto"/>
        <w:rPr>
          <w:rFonts w:asciiTheme="majorBidi" w:hAnsiTheme="majorBidi" w:cstheme="majorBidi"/>
          <w:szCs w:val="24"/>
        </w:rPr>
      </w:pPr>
      <w:r w:rsidRPr="00DA260C">
        <w:rPr>
          <w:rFonts w:asciiTheme="majorBidi" w:hAnsiTheme="majorBidi" w:cstheme="majorBidi"/>
        </w:rPr>
        <w:t xml:space="preserve">Case No: </w:t>
      </w:r>
      <w:r w:rsidR="0032750C" w:rsidRPr="00DA260C">
        <w:rPr>
          <w:rFonts w:asciiTheme="majorBidi" w:hAnsiTheme="majorBidi" w:cstheme="majorBidi"/>
          <w:bCs/>
          <w:szCs w:val="24"/>
        </w:rPr>
        <w:t>AC-2025-LON-001873</w:t>
      </w:r>
      <w:r w:rsidR="0032750C" w:rsidRPr="00DA260C">
        <w:rPr>
          <w:rFonts w:asciiTheme="majorBidi" w:hAnsiTheme="majorBidi" w:cstheme="majorBidi"/>
          <w:szCs w:val="24"/>
        </w:rPr>
        <w:t xml:space="preserve"> </w:t>
      </w:r>
    </w:p>
    <w:p w14:paraId="718FE717" w14:textId="741C08EB" w:rsidR="005E2342" w:rsidRDefault="005E2342">
      <w:pPr>
        <w:pStyle w:val="CoverText"/>
        <w:rPr>
          <w:b/>
          <w:spacing w:val="-3"/>
        </w:rPr>
      </w:pPr>
    </w:p>
    <w:p w14:paraId="38A15E62"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14:paraId="21AEA75A" w14:textId="77777777" w:rsidR="0032750C" w:rsidRDefault="0032750C">
      <w:pPr>
        <w:suppressAutoHyphens/>
        <w:rPr>
          <w:b/>
          <w:spacing w:val="-3"/>
          <w:u w:val="single"/>
        </w:rPr>
      </w:pPr>
      <w:r>
        <w:rPr>
          <w:b/>
          <w:spacing w:val="-3"/>
          <w:u w:val="single"/>
        </w:rPr>
        <w:t>KING'S BENCH DIVISION</w:t>
      </w:r>
    </w:p>
    <w:p w14:paraId="4456E1B1" w14:textId="77777777" w:rsidR="005E2342" w:rsidRDefault="0032750C">
      <w:pPr>
        <w:suppressAutoHyphens/>
        <w:rPr>
          <w:b/>
          <w:spacing w:val="-3"/>
          <w:u w:val="single"/>
        </w:rPr>
      </w:pPr>
      <w:r>
        <w:rPr>
          <w:b/>
          <w:spacing w:val="-3"/>
          <w:u w:val="single"/>
        </w:rPr>
        <w:t>ADMINISTRATIVE COURT</w:t>
      </w:r>
    </w:p>
    <w:p w14:paraId="541D0D67" w14:textId="77777777" w:rsidR="005E2342" w:rsidRDefault="005E2342">
      <w:pPr>
        <w:suppressAutoHyphens/>
        <w:rPr>
          <w:b/>
          <w:spacing w:val="-3"/>
          <w:u w:val="single"/>
        </w:rPr>
      </w:pPr>
    </w:p>
    <w:p w14:paraId="79981AE8" w14:textId="77777777" w:rsidR="005E2342" w:rsidRDefault="005E2342">
      <w:pPr>
        <w:pStyle w:val="CoverText"/>
      </w:pPr>
      <w:r>
        <w:t>Royal Courts of Justice</w:t>
      </w:r>
    </w:p>
    <w:p w14:paraId="5B4D2519" w14:textId="77777777" w:rsidR="005E2342" w:rsidRDefault="005E2342">
      <w:pPr>
        <w:pStyle w:val="CoverText"/>
      </w:pPr>
      <w:r>
        <w:t>Strand, London, WC2A 2LL</w:t>
      </w:r>
    </w:p>
    <w:p w14:paraId="399522CC" w14:textId="77777777" w:rsidR="005E2342" w:rsidRDefault="005E2342">
      <w:pPr>
        <w:suppressAutoHyphens/>
        <w:jc w:val="right"/>
        <w:rPr>
          <w:spacing w:val="-3"/>
          <w:u w:val="single"/>
        </w:rPr>
      </w:pPr>
    </w:p>
    <w:p w14:paraId="2964C979" w14:textId="4690466F" w:rsidR="005E2342" w:rsidRDefault="005E2342">
      <w:pPr>
        <w:pStyle w:val="CoverText"/>
        <w:rPr>
          <w:b/>
        </w:rPr>
      </w:pPr>
      <w:r>
        <w:t xml:space="preserve">Date: </w:t>
      </w:r>
      <w:r w:rsidR="00935F3A">
        <w:t>10/06/2026</w:t>
      </w:r>
    </w:p>
    <w:p w14:paraId="1A91E6E0" w14:textId="77777777" w:rsidR="005E2342" w:rsidRDefault="005E2342">
      <w:pPr>
        <w:suppressAutoHyphens/>
        <w:rPr>
          <w:spacing w:val="-3"/>
        </w:rPr>
      </w:pPr>
    </w:p>
    <w:p w14:paraId="6A52D087" w14:textId="3E1BF82E" w:rsidR="005E2342" w:rsidRDefault="0032750C">
      <w:pPr>
        <w:suppressAutoHyphens/>
        <w:jc w:val="center"/>
        <w:rPr>
          <w:spacing w:val="-3"/>
        </w:rPr>
      </w:pPr>
      <w:r>
        <w:rPr>
          <w:b/>
          <w:spacing w:val="-3"/>
        </w:rPr>
        <w:t>Before</w:t>
      </w:r>
      <w:r>
        <w:rPr>
          <w:spacing w:val="-3"/>
        </w:rPr>
        <w:t>:</w:t>
      </w:r>
    </w:p>
    <w:p w14:paraId="0616AAE1" w14:textId="77777777" w:rsidR="005E2342" w:rsidRDefault="005E2342">
      <w:pPr>
        <w:suppressAutoHyphens/>
        <w:jc w:val="center"/>
        <w:rPr>
          <w:spacing w:val="-3"/>
        </w:rPr>
      </w:pPr>
    </w:p>
    <w:p w14:paraId="2EA6396E" w14:textId="44B6D69A" w:rsidR="005E2342" w:rsidRDefault="0032750C" w:rsidP="0032750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MALES</w:t>
      </w:r>
    </w:p>
    <w:p w14:paraId="5CDD9724" w14:textId="3B123D62" w:rsidR="00707122" w:rsidRDefault="00243595" w:rsidP="00AB4DC3">
      <w:pPr>
        <w:pStyle w:val="CoverMain"/>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2" w:firstLine="0"/>
        <w:jc w:val="center"/>
      </w:pPr>
      <w:r w:rsidRPr="00243595">
        <w:rPr>
          <w:u w:val="none"/>
        </w:rPr>
        <w:t xml:space="preserve">- </w:t>
      </w:r>
      <w:r w:rsidR="0032750C">
        <w:t>and</w:t>
      </w:r>
      <w:r w:rsidRPr="00243595">
        <w:rPr>
          <w:u w:val="none"/>
        </w:rPr>
        <w:t xml:space="preserve"> -</w:t>
      </w:r>
    </w:p>
    <w:p w14:paraId="5695AE93" w14:textId="7AA9BDA7" w:rsidR="0032750C" w:rsidRDefault="0032750C" w:rsidP="00AB4DC3">
      <w:pPr>
        <w:pStyle w:val="CoverMain"/>
        <w:numPr>
          <w:ilvl w:val="0"/>
          <w:numId w:val="1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2" w:firstLine="0"/>
        <w:jc w:val="center"/>
      </w:pPr>
      <w:r>
        <w:t>MR JUSTICE MORRIS</w:t>
      </w:r>
    </w:p>
    <w:p w14:paraId="39F5F393" w14:textId="77777777" w:rsidR="005E2342" w:rsidRDefault="005E2342">
      <w:pPr>
        <w:suppressAutoHyphens/>
        <w:jc w:val="center"/>
        <w:rPr>
          <w:spacing w:val="-3"/>
        </w:rPr>
      </w:pPr>
      <w:r>
        <w:rPr>
          <w:spacing w:val="-3"/>
        </w:rPr>
        <w:t>- - - - - - - - - - - - - - - - - - - - -</w:t>
      </w:r>
    </w:p>
    <w:p w14:paraId="2B8E143D" w14:textId="20DC70B3" w:rsidR="005E2342" w:rsidRDefault="0032750C">
      <w:pPr>
        <w:suppressAutoHyphens/>
        <w:jc w:val="center"/>
        <w:rPr>
          <w:b/>
          <w:spacing w:val="-3"/>
        </w:rPr>
      </w:pPr>
      <w:r>
        <w:rPr>
          <w:b/>
          <w:spacing w:val="-3"/>
        </w:rPr>
        <w:t>Between:</w:t>
      </w:r>
    </w:p>
    <w:p w14:paraId="04AB26BB" w14:textId="77777777" w:rsidR="005E2342"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14:paraId="2B00F663" w14:textId="77777777" w:rsidTr="0032750C">
        <w:trPr>
          <w:jc w:val="center"/>
        </w:trPr>
        <w:tc>
          <w:tcPr>
            <w:tcW w:w="1776" w:type="dxa"/>
          </w:tcPr>
          <w:p w14:paraId="34F97ABF" w14:textId="77777777" w:rsidR="005E2342" w:rsidRDefault="005E2342">
            <w:pPr>
              <w:suppressAutoHyphens/>
              <w:rPr>
                <w:b/>
                <w:spacing w:val="-3"/>
              </w:rPr>
            </w:pPr>
          </w:p>
        </w:tc>
        <w:tc>
          <w:tcPr>
            <w:tcW w:w="5568" w:type="dxa"/>
          </w:tcPr>
          <w:p w14:paraId="179B5499" w14:textId="2D1E5966" w:rsidR="0032750C" w:rsidRPr="00421AF1" w:rsidRDefault="0032750C" w:rsidP="0032750C">
            <w:pPr>
              <w:pStyle w:val="BodyText"/>
              <w:spacing w:line="360" w:lineRule="auto"/>
              <w:jc w:val="center"/>
              <w:rPr>
                <w:rFonts w:ascii="Times New Roman" w:hAnsi="Times New Roman"/>
                <w:szCs w:val="24"/>
              </w:rPr>
            </w:pPr>
            <w:r w:rsidRPr="00421AF1">
              <w:rPr>
                <w:rFonts w:ascii="Times New Roman" w:hAnsi="Times New Roman"/>
                <w:szCs w:val="24"/>
              </w:rPr>
              <w:t>T</w:t>
            </w:r>
            <w:r w:rsidR="00065235">
              <w:rPr>
                <w:rFonts w:ascii="Times New Roman" w:hAnsi="Times New Roman"/>
                <w:szCs w:val="24"/>
              </w:rPr>
              <w:t>HE</w:t>
            </w:r>
            <w:r w:rsidRPr="00421AF1">
              <w:rPr>
                <w:rFonts w:ascii="Times New Roman" w:hAnsi="Times New Roman"/>
                <w:szCs w:val="24"/>
              </w:rPr>
              <w:t xml:space="preserve"> K</w:t>
            </w:r>
            <w:r w:rsidR="00065235">
              <w:rPr>
                <w:rFonts w:ascii="Times New Roman" w:hAnsi="Times New Roman"/>
                <w:szCs w:val="24"/>
              </w:rPr>
              <w:t>ING</w:t>
            </w:r>
          </w:p>
          <w:p w14:paraId="3D093CE3" w14:textId="77777777" w:rsidR="0032750C" w:rsidRPr="00421AF1" w:rsidRDefault="0032750C" w:rsidP="0032750C">
            <w:pPr>
              <w:pStyle w:val="BodyText"/>
              <w:spacing w:line="360" w:lineRule="auto"/>
              <w:jc w:val="center"/>
              <w:rPr>
                <w:rFonts w:ascii="Times New Roman" w:hAnsi="Times New Roman"/>
                <w:szCs w:val="24"/>
              </w:rPr>
            </w:pPr>
            <w:r w:rsidRPr="00421AF1">
              <w:rPr>
                <w:rFonts w:ascii="Times New Roman" w:hAnsi="Times New Roman"/>
                <w:szCs w:val="24"/>
              </w:rPr>
              <w:t xml:space="preserve"> on the application of</w:t>
            </w:r>
          </w:p>
          <w:p w14:paraId="61E6CEAC" w14:textId="40A95542" w:rsidR="005E2342" w:rsidRPr="00421AF1" w:rsidRDefault="0032750C" w:rsidP="0032750C">
            <w:pPr>
              <w:suppressAutoHyphens/>
              <w:jc w:val="center"/>
              <w:rPr>
                <w:b/>
                <w:spacing w:val="-3"/>
              </w:rPr>
            </w:pPr>
            <w:proofErr w:type="spellStart"/>
            <w:r w:rsidRPr="00421AF1">
              <w:rPr>
                <w:b/>
              </w:rPr>
              <w:t>I</w:t>
            </w:r>
            <w:r w:rsidR="00065235">
              <w:rPr>
                <w:b/>
              </w:rPr>
              <w:t>NNSWORTH</w:t>
            </w:r>
            <w:proofErr w:type="spellEnd"/>
            <w:r w:rsidRPr="00421AF1">
              <w:rPr>
                <w:b/>
              </w:rPr>
              <w:t xml:space="preserve"> C</w:t>
            </w:r>
            <w:r w:rsidR="00065235">
              <w:rPr>
                <w:b/>
              </w:rPr>
              <w:t>APITAL</w:t>
            </w:r>
            <w:r w:rsidRPr="00421AF1">
              <w:rPr>
                <w:b/>
              </w:rPr>
              <w:t xml:space="preserve"> L</w:t>
            </w:r>
            <w:r w:rsidR="00065235">
              <w:rPr>
                <w:b/>
              </w:rPr>
              <w:t>IMITED</w:t>
            </w:r>
          </w:p>
        </w:tc>
        <w:tc>
          <w:tcPr>
            <w:tcW w:w="1782" w:type="dxa"/>
          </w:tcPr>
          <w:p w14:paraId="6E937BCA" w14:textId="77777777" w:rsidR="005E2342" w:rsidRDefault="0032750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w:t>
            </w:r>
          </w:p>
        </w:tc>
      </w:tr>
      <w:tr w:rsidR="005E2342" w14:paraId="2EA4D838" w14:textId="77777777" w:rsidTr="0032750C">
        <w:trPr>
          <w:jc w:val="center"/>
        </w:trPr>
        <w:tc>
          <w:tcPr>
            <w:tcW w:w="1776" w:type="dxa"/>
          </w:tcPr>
          <w:p w14:paraId="5EF8ED22" w14:textId="77777777" w:rsidR="005E2342" w:rsidRDefault="005E2342">
            <w:pPr>
              <w:suppressAutoHyphens/>
              <w:rPr>
                <w:b/>
                <w:spacing w:val="-3"/>
              </w:rPr>
            </w:pPr>
          </w:p>
        </w:tc>
        <w:tc>
          <w:tcPr>
            <w:tcW w:w="5568" w:type="dxa"/>
          </w:tcPr>
          <w:p w14:paraId="0EAE21E6" w14:textId="74D78548" w:rsidR="005E2342" w:rsidRPr="00421AF1" w:rsidRDefault="005E2342">
            <w:pPr>
              <w:suppressAutoHyphens/>
              <w:jc w:val="center"/>
              <w:rPr>
                <w:b/>
                <w:spacing w:val="-3"/>
              </w:rPr>
            </w:pPr>
            <w:r w:rsidRPr="00421AF1">
              <w:rPr>
                <w:b/>
                <w:spacing w:val="-3"/>
              </w:rPr>
              <w:t>- and -</w:t>
            </w:r>
          </w:p>
        </w:tc>
        <w:tc>
          <w:tcPr>
            <w:tcW w:w="1782" w:type="dxa"/>
          </w:tcPr>
          <w:p w14:paraId="49572149"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14:paraId="0DEE5ED6" w14:textId="77777777" w:rsidTr="0032750C">
        <w:trPr>
          <w:jc w:val="center"/>
        </w:trPr>
        <w:tc>
          <w:tcPr>
            <w:tcW w:w="1776" w:type="dxa"/>
          </w:tcPr>
          <w:p w14:paraId="0507A900" w14:textId="77777777" w:rsidR="005E2342" w:rsidRDefault="005E2342">
            <w:pPr>
              <w:suppressAutoHyphens/>
              <w:rPr>
                <w:b/>
                <w:spacing w:val="-3"/>
              </w:rPr>
            </w:pPr>
          </w:p>
        </w:tc>
        <w:tc>
          <w:tcPr>
            <w:tcW w:w="5568" w:type="dxa"/>
          </w:tcPr>
          <w:p w14:paraId="3583D272" w14:textId="3F39CC2E" w:rsidR="0032750C" w:rsidRPr="00421AF1" w:rsidRDefault="0032750C" w:rsidP="0032750C">
            <w:pPr>
              <w:pStyle w:val="BodyText"/>
              <w:spacing w:line="360" w:lineRule="auto"/>
              <w:jc w:val="center"/>
              <w:rPr>
                <w:rFonts w:ascii="Times New Roman" w:hAnsi="Times New Roman"/>
                <w:szCs w:val="24"/>
              </w:rPr>
            </w:pPr>
            <w:r w:rsidRPr="00421AF1">
              <w:rPr>
                <w:rFonts w:ascii="Times New Roman" w:hAnsi="Times New Roman"/>
                <w:szCs w:val="24"/>
              </w:rPr>
              <w:t>T</w:t>
            </w:r>
            <w:r w:rsidR="00202C0F">
              <w:rPr>
                <w:rFonts w:ascii="Times New Roman" w:hAnsi="Times New Roman"/>
                <w:szCs w:val="24"/>
              </w:rPr>
              <w:t>HE</w:t>
            </w:r>
            <w:r w:rsidRPr="00421AF1">
              <w:rPr>
                <w:rFonts w:ascii="Times New Roman" w:hAnsi="Times New Roman"/>
                <w:szCs w:val="24"/>
              </w:rPr>
              <w:t xml:space="preserve"> C</w:t>
            </w:r>
            <w:r w:rsidR="00202C0F">
              <w:rPr>
                <w:rFonts w:ascii="Times New Roman" w:hAnsi="Times New Roman"/>
                <w:szCs w:val="24"/>
              </w:rPr>
              <w:t>OMPETITION APPEAL TRIBUNAL</w:t>
            </w:r>
          </w:p>
          <w:p w14:paraId="6B91CF9A" w14:textId="2B6374D0" w:rsidR="00F20CF8" w:rsidRDefault="00935F3A" w:rsidP="00935F3A">
            <w:pPr>
              <w:pStyle w:val="BodyText"/>
              <w:spacing w:line="360" w:lineRule="auto"/>
              <w:ind w:left="720"/>
              <w:jc w:val="center"/>
              <w:rPr>
                <w:rFonts w:ascii="Times New Roman" w:hAnsi="Times New Roman"/>
                <w:szCs w:val="24"/>
              </w:rPr>
            </w:pPr>
            <w:r>
              <w:rPr>
                <w:rFonts w:ascii="Times New Roman" w:hAnsi="Times New Roman"/>
                <w:szCs w:val="24"/>
              </w:rPr>
              <w:t>-and-</w:t>
            </w:r>
          </w:p>
          <w:p w14:paraId="12B0155D" w14:textId="2BDDEAB9" w:rsidR="0032750C" w:rsidRDefault="0032750C" w:rsidP="0032750C">
            <w:pPr>
              <w:pStyle w:val="BodyText"/>
              <w:spacing w:line="360" w:lineRule="auto"/>
              <w:jc w:val="center"/>
              <w:rPr>
                <w:rFonts w:ascii="Times New Roman" w:hAnsi="Times New Roman"/>
                <w:szCs w:val="24"/>
              </w:rPr>
            </w:pPr>
            <w:r w:rsidRPr="00421AF1">
              <w:rPr>
                <w:rFonts w:ascii="Times New Roman" w:hAnsi="Times New Roman"/>
                <w:szCs w:val="24"/>
              </w:rPr>
              <w:t>W</w:t>
            </w:r>
            <w:r w:rsidR="00F20CF8">
              <w:rPr>
                <w:rFonts w:ascii="Times New Roman" w:hAnsi="Times New Roman"/>
                <w:szCs w:val="24"/>
              </w:rPr>
              <w:t>ALTER HUGH MERRICKS</w:t>
            </w:r>
            <w:r w:rsidRPr="00421AF1">
              <w:rPr>
                <w:rFonts w:ascii="Times New Roman" w:hAnsi="Times New Roman"/>
                <w:szCs w:val="24"/>
              </w:rPr>
              <w:t xml:space="preserve"> CBE</w:t>
            </w:r>
          </w:p>
          <w:p w14:paraId="7F1CAEDF" w14:textId="13818153" w:rsidR="00751BC4" w:rsidRDefault="00935F3A" w:rsidP="0032750C">
            <w:pPr>
              <w:pStyle w:val="BodyText"/>
              <w:spacing w:line="360" w:lineRule="auto"/>
              <w:jc w:val="center"/>
              <w:rPr>
                <w:rFonts w:ascii="Times New Roman" w:hAnsi="Times New Roman"/>
                <w:szCs w:val="24"/>
              </w:rPr>
            </w:pPr>
            <w:r>
              <w:rPr>
                <w:rFonts w:ascii="Times New Roman" w:hAnsi="Times New Roman"/>
                <w:szCs w:val="24"/>
              </w:rPr>
              <w:t>-and-</w:t>
            </w:r>
          </w:p>
          <w:p w14:paraId="67BEB988" w14:textId="5E920436" w:rsidR="0032750C" w:rsidRPr="00421AF1" w:rsidRDefault="00711FBC" w:rsidP="0032750C">
            <w:pPr>
              <w:pStyle w:val="BodyText"/>
              <w:spacing w:line="360" w:lineRule="auto"/>
              <w:jc w:val="center"/>
              <w:rPr>
                <w:rFonts w:ascii="Times New Roman" w:hAnsi="Times New Roman"/>
                <w:szCs w:val="24"/>
              </w:rPr>
            </w:pPr>
            <w:r>
              <w:rPr>
                <w:rFonts w:ascii="Times New Roman" w:hAnsi="Times New Roman"/>
                <w:szCs w:val="24"/>
              </w:rPr>
              <w:t xml:space="preserve">THE </w:t>
            </w:r>
            <w:r w:rsidR="00751BC4">
              <w:rPr>
                <w:rFonts w:ascii="Times New Roman" w:hAnsi="Times New Roman"/>
                <w:szCs w:val="24"/>
              </w:rPr>
              <w:t>ACCESS TO JUSTICE FOUNDATION</w:t>
            </w:r>
          </w:p>
          <w:p w14:paraId="6B853EF1" w14:textId="72B41FB1" w:rsidR="00142A59" w:rsidRDefault="00935F3A" w:rsidP="0032750C">
            <w:pPr>
              <w:pStyle w:val="BodyText"/>
              <w:spacing w:line="360" w:lineRule="auto"/>
              <w:jc w:val="center"/>
              <w:rPr>
                <w:rFonts w:ascii="Times New Roman" w:hAnsi="Times New Roman"/>
                <w:szCs w:val="24"/>
              </w:rPr>
            </w:pPr>
            <w:r>
              <w:rPr>
                <w:rFonts w:ascii="Times New Roman" w:hAnsi="Times New Roman"/>
                <w:szCs w:val="24"/>
              </w:rPr>
              <w:t>-and-</w:t>
            </w:r>
          </w:p>
          <w:p w14:paraId="22A0DD88" w14:textId="77ACF0EE" w:rsidR="0032750C" w:rsidRPr="00421AF1" w:rsidRDefault="0032750C" w:rsidP="0032750C">
            <w:pPr>
              <w:pStyle w:val="BodyText"/>
              <w:spacing w:line="360" w:lineRule="auto"/>
              <w:jc w:val="center"/>
              <w:rPr>
                <w:rFonts w:ascii="Times New Roman" w:hAnsi="Times New Roman"/>
                <w:szCs w:val="24"/>
              </w:rPr>
            </w:pPr>
            <w:r w:rsidRPr="00421AF1">
              <w:rPr>
                <w:rFonts w:ascii="Times New Roman" w:hAnsi="Times New Roman"/>
                <w:szCs w:val="24"/>
              </w:rPr>
              <w:t>M</w:t>
            </w:r>
            <w:r w:rsidR="00E76CC1">
              <w:rPr>
                <w:rFonts w:ascii="Times New Roman" w:hAnsi="Times New Roman"/>
                <w:szCs w:val="24"/>
              </w:rPr>
              <w:t>ASTERCARD</w:t>
            </w:r>
            <w:r w:rsidRPr="00421AF1">
              <w:rPr>
                <w:rFonts w:ascii="Times New Roman" w:hAnsi="Times New Roman"/>
                <w:szCs w:val="24"/>
              </w:rPr>
              <w:t xml:space="preserve"> INC</w:t>
            </w:r>
          </w:p>
          <w:p w14:paraId="105F7ABC" w14:textId="09012559" w:rsidR="0032750C" w:rsidRPr="00421AF1" w:rsidRDefault="0032750C" w:rsidP="0032750C">
            <w:pPr>
              <w:pStyle w:val="BodyText"/>
              <w:spacing w:line="360" w:lineRule="auto"/>
              <w:jc w:val="center"/>
              <w:rPr>
                <w:rFonts w:ascii="Times New Roman" w:hAnsi="Times New Roman"/>
                <w:szCs w:val="24"/>
              </w:rPr>
            </w:pPr>
            <w:r w:rsidRPr="00421AF1">
              <w:rPr>
                <w:rFonts w:ascii="Times New Roman" w:hAnsi="Times New Roman"/>
                <w:szCs w:val="24"/>
              </w:rPr>
              <w:t>M</w:t>
            </w:r>
            <w:r w:rsidR="00E76CC1">
              <w:rPr>
                <w:rFonts w:ascii="Times New Roman" w:hAnsi="Times New Roman"/>
                <w:szCs w:val="24"/>
              </w:rPr>
              <w:t>ASTERCARD INTERNATIONAL</w:t>
            </w:r>
            <w:r w:rsidRPr="00421AF1">
              <w:rPr>
                <w:rFonts w:ascii="Times New Roman" w:hAnsi="Times New Roman"/>
                <w:szCs w:val="24"/>
              </w:rPr>
              <w:t xml:space="preserve"> INC</w:t>
            </w:r>
          </w:p>
          <w:p w14:paraId="39F426FC" w14:textId="11CF59B9" w:rsidR="0032750C" w:rsidRPr="00421AF1" w:rsidRDefault="0032750C" w:rsidP="0032750C">
            <w:pPr>
              <w:pStyle w:val="BodyText"/>
              <w:spacing w:line="360" w:lineRule="auto"/>
              <w:jc w:val="center"/>
              <w:rPr>
                <w:rFonts w:ascii="Times New Roman" w:hAnsi="Times New Roman"/>
                <w:szCs w:val="24"/>
              </w:rPr>
            </w:pPr>
            <w:r w:rsidRPr="00421AF1">
              <w:rPr>
                <w:rFonts w:ascii="Times New Roman" w:hAnsi="Times New Roman"/>
                <w:szCs w:val="24"/>
              </w:rPr>
              <w:t>M</w:t>
            </w:r>
            <w:r w:rsidR="00E76CC1">
              <w:rPr>
                <w:rFonts w:ascii="Times New Roman" w:hAnsi="Times New Roman"/>
                <w:szCs w:val="24"/>
              </w:rPr>
              <w:t>ASTERCARD EUROPE</w:t>
            </w:r>
            <w:r w:rsidRPr="00421AF1">
              <w:rPr>
                <w:rFonts w:ascii="Times New Roman" w:hAnsi="Times New Roman"/>
                <w:szCs w:val="24"/>
              </w:rPr>
              <w:t xml:space="preserve"> S</w:t>
            </w:r>
            <w:r w:rsidR="00566B67">
              <w:rPr>
                <w:rFonts w:ascii="Times New Roman" w:hAnsi="Times New Roman"/>
                <w:szCs w:val="24"/>
              </w:rPr>
              <w:t>P</w:t>
            </w:r>
            <w:r w:rsidRPr="00421AF1">
              <w:rPr>
                <w:rFonts w:ascii="Times New Roman" w:hAnsi="Times New Roman"/>
                <w:szCs w:val="24"/>
              </w:rPr>
              <w:t>RL</w:t>
            </w:r>
          </w:p>
          <w:p w14:paraId="11EB1183" w14:textId="07FD1C2E" w:rsidR="005E2342" w:rsidRPr="00421AF1" w:rsidRDefault="005E2342">
            <w:pPr>
              <w:suppressAutoHyphens/>
              <w:jc w:val="center"/>
              <w:rPr>
                <w:b/>
                <w:spacing w:val="-3"/>
              </w:rPr>
            </w:pPr>
          </w:p>
        </w:tc>
        <w:tc>
          <w:tcPr>
            <w:tcW w:w="1782" w:type="dxa"/>
          </w:tcPr>
          <w:p w14:paraId="341D2D46" w14:textId="4FDFF5BE" w:rsidR="005E2342" w:rsidRPr="0032750C" w:rsidRDefault="0032750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32750C">
              <w:t>Defendant</w:t>
            </w:r>
          </w:p>
          <w:p w14:paraId="6F4CF360" w14:textId="77777777" w:rsidR="0032750C" w:rsidRPr="0032750C" w:rsidRDefault="0032750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05330B42" w14:textId="77777777" w:rsidR="0032750C" w:rsidRPr="0032750C" w:rsidRDefault="0032750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3094F3D4" w14:textId="22632F0A" w:rsidR="0032750C" w:rsidRPr="0032750C" w:rsidRDefault="0032750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32750C">
              <w:t>1</w:t>
            </w:r>
            <w:r w:rsidRPr="0032750C">
              <w:rPr>
                <w:vertAlign w:val="superscript"/>
              </w:rPr>
              <w:t>st</w:t>
            </w:r>
            <w:r w:rsidRPr="0032750C">
              <w:t xml:space="preserve"> Interested Party</w:t>
            </w:r>
          </w:p>
          <w:p w14:paraId="7F8D7E21" w14:textId="77777777" w:rsidR="0032750C" w:rsidRPr="0032750C" w:rsidRDefault="0032750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0348301F" w14:textId="6E2E6BA8" w:rsidR="0032750C" w:rsidRPr="0032750C" w:rsidRDefault="0032750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32750C">
              <w:t>2</w:t>
            </w:r>
            <w:r w:rsidRPr="0032750C">
              <w:rPr>
                <w:vertAlign w:val="superscript"/>
              </w:rPr>
              <w:t>nd</w:t>
            </w:r>
            <w:r w:rsidRPr="0032750C">
              <w:t xml:space="preserve"> Interested Party</w:t>
            </w:r>
          </w:p>
          <w:p w14:paraId="0B0CC246" w14:textId="77777777" w:rsidR="0032750C" w:rsidRPr="0032750C" w:rsidRDefault="0032750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020B7E06" w14:textId="358576C3" w:rsidR="0032750C" w:rsidRPr="0032750C" w:rsidRDefault="0032750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32750C">
              <w:t>3</w:t>
            </w:r>
            <w:r w:rsidRPr="0032750C">
              <w:rPr>
                <w:vertAlign w:val="superscript"/>
              </w:rPr>
              <w:t>rd</w:t>
            </w:r>
            <w:r w:rsidRPr="0032750C">
              <w:t xml:space="preserve"> Interested Part</w:t>
            </w:r>
            <w:r w:rsidR="00566B67">
              <w:t>i</w:t>
            </w:r>
            <w:r w:rsidR="00567549">
              <w:t>es</w:t>
            </w:r>
          </w:p>
        </w:tc>
      </w:tr>
      <w:tr w:rsidR="0032750C" w14:paraId="212F9B0D" w14:textId="77777777" w:rsidTr="0032750C">
        <w:trPr>
          <w:jc w:val="center"/>
        </w:trPr>
        <w:tc>
          <w:tcPr>
            <w:tcW w:w="1776" w:type="dxa"/>
          </w:tcPr>
          <w:p w14:paraId="7536730F" w14:textId="77777777" w:rsidR="0032750C" w:rsidRDefault="0032750C">
            <w:pPr>
              <w:suppressAutoHyphens/>
              <w:rPr>
                <w:b/>
                <w:spacing w:val="-3"/>
              </w:rPr>
            </w:pPr>
          </w:p>
          <w:p w14:paraId="381BE429" w14:textId="77777777" w:rsidR="0032750C" w:rsidRDefault="0032750C">
            <w:pPr>
              <w:suppressAutoHyphens/>
              <w:rPr>
                <w:b/>
                <w:spacing w:val="-3"/>
              </w:rPr>
            </w:pPr>
          </w:p>
          <w:p w14:paraId="4E8FF8DA" w14:textId="77777777" w:rsidR="0032750C" w:rsidRDefault="0032750C">
            <w:pPr>
              <w:suppressAutoHyphens/>
              <w:rPr>
                <w:b/>
                <w:spacing w:val="-3"/>
              </w:rPr>
            </w:pPr>
          </w:p>
        </w:tc>
        <w:tc>
          <w:tcPr>
            <w:tcW w:w="5568" w:type="dxa"/>
          </w:tcPr>
          <w:p w14:paraId="044A982B" w14:textId="77777777" w:rsidR="0032750C" w:rsidRPr="00421AF1" w:rsidRDefault="0032750C" w:rsidP="0032750C">
            <w:pPr>
              <w:pStyle w:val="BodyText"/>
              <w:spacing w:line="360" w:lineRule="auto"/>
              <w:jc w:val="center"/>
              <w:rPr>
                <w:rFonts w:ascii="Times New Roman" w:hAnsi="Times New Roman"/>
                <w:szCs w:val="24"/>
              </w:rPr>
            </w:pPr>
          </w:p>
        </w:tc>
        <w:tc>
          <w:tcPr>
            <w:tcW w:w="1782" w:type="dxa"/>
          </w:tcPr>
          <w:p w14:paraId="3CBC5C59" w14:textId="77777777" w:rsidR="0032750C" w:rsidRDefault="0032750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bl>
    <w:p w14:paraId="0CB8E322" w14:textId="77777777" w:rsidR="005E2342" w:rsidRDefault="005E2342">
      <w:pPr>
        <w:suppressAutoHyphens/>
        <w:rPr>
          <w:b/>
          <w:spacing w:val="-3"/>
        </w:rPr>
      </w:pPr>
    </w:p>
    <w:p w14:paraId="2BEE39FD" w14:textId="77777777" w:rsidR="005E2342" w:rsidRDefault="005E2342">
      <w:pPr>
        <w:suppressAutoHyphens/>
        <w:jc w:val="center"/>
        <w:rPr>
          <w:spacing w:val="-3"/>
        </w:rPr>
      </w:pPr>
      <w:r>
        <w:rPr>
          <w:spacing w:val="-3"/>
        </w:rPr>
        <w:t>- - - - - - - - - - - - - - - - - - - - -</w:t>
      </w:r>
    </w:p>
    <w:p w14:paraId="6D335FF2" w14:textId="77777777" w:rsidR="005E2342" w:rsidRDefault="005E2342">
      <w:pPr>
        <w:suppressAutoHyphens/>
        <w:jc w:val="center"/>
        <w:rPr>
          <w:spacing w:val="-3"/>
        </w:rPr>
      </w:pPr>
      <w:r>
        <w:rPr>
          <w:spacing w:val="-3"/>
        </w:rPr>
        <w:t>- - - - - - - - - - - - - - - - - - - - -</w:t>
      </w:r>
    </w:p>
    <w:p w14:paraId="66F4BA3A" w14:textId="77777777" w:rsidR="005E2342" w:rsidRDefault="005E2342">
      <w:pPr>
        <w:suppressAutoHyphens/>
        <w:jc w:val="center"/>
        <w:rPr>
          <w:spacing w:val="-3"/>
        </w:rPr>
      </w:pPr>
    </w:p>
    <w:p w14:paraId="559931E3" w14:textId="556EAC7D" w:rsidR="005E2342" w:rsidRDefault="00AE2AB1" w:rsidP="00AE2AB1">
      <w:pPr>
        <w:jc w:val="center"/>
        <w:rPr>
          <w:b/>
          <w:spacing w:val="-3"/>
        </w:rPr>
      </w:pPr>
      <w:r>
        <w:rPr>
          <w:rFonts w:ascii="Arial" w:hAnsi="Arial" w:cs="Arial"/>
          <w:color w:val="000000"/>
          <w:sz w:val="18"/>
          <w:szCs w:val="18"/>
        </w:rPr>
        <w:br/>
      </w:r>
      <w:r w:rsidRPr="00AE2AB1">
        <w:rPr>
          <w:rStyle w:val="ct-content"/>
          <w:b/>
          <w:bCs/>
          <w:color w:val="000000"/>
        </w:rPr>
        <w:t>Charles B</w:t>
      </w:r>
      <w:r w:rsidR="00E7552B">
        <w:rPr>
          <w:rStyle w:val="ct-content"/>
          <w:b/>
          <w:bCs/>
          <w:color w:val="000000"/>
        </w:rPr>
        <w:t>é</w:t>
      </w:r>
      <w:r w:rsidRPr="00AE2AB1">
        <w:rPr>
          <w:rStyle w:val="ct-content"/>
          <w:b/>
          <w:bCs/>
          <w:color w:val="000000"/>
        </w:rPr>
        <w:t>ar KC</w:t>
      </w:r>
      <w:r w:rsidR="005E2342">
        <w:rPr>
          <w:b/>
          <w:spacing w:val="-3"/>
        </w:rPr>
        <w:t xml:space="preserve"> </w:t>
      </w:r>
      <w:r>
        <w:rPr>
          <w:b/>
          <w:spacing w:val="-3"/>
        </w:rPr>
        <w:t xml:space="preserve">&amp; </w:t>
      </w:r>
      <w:r w:rsidR="008F7D40">
        <w:rPr>
          <w:b/>
          <w:spacing w:val="-3"/>
        </w:rPr>
        <w:t>Bibek Mukherjee</w:t>
      </w:r>
      <w:r>
        <w:rPr>
          <w:b/>
          <w:spacing w:val="-3"/>
        </w:rPr>
        <w:t xml:space="preserve"> </w:t>
      </w:r>
      <w:r w:rsidR="005E2342">
        <w:rPr>
          <w:bCs/>
          <w:spacing w:val="-3"/>
        </w:rPr>
        <w:t>(instructed by</w:t>
      </w:r>
      <w:r w:rsidR="005E2342">
        <w:rPr>
          <w:b/>
          <w:spacing w:val="-3"/>
        </w:rPr>
        <w:t xml:space="preserve"> </w:t>
      </w:r>
      <w:r>
        <w:rPr>
          <w:b/>
          <w:spacing w:val="-3"/>
        </w:rPr>
        <w:t>Akin Gump LLP</w:t>
      </w:r>
      <w:r w:rsidR="005E2342">
        <w:rPr>
          <w:bCs/>
          <w:spacing w:val="-3"/>
        </w:rPr>
        <w:t>) for the</w:t>
      </w:r>
      <w:r w:rsidR="005E2342">
        <w:rPr>
          <w:spacing w:val="-3"/>
        </w:rPr>
        <w:t xml:space="preserve"> </w:t>
      </w:r>
      <w:r>
        <w:rPr>
          <w:b/>
          <w:bCs/>
          <w:spacing w:val="-3"/>
        </w:rPr>
        <w:t>Claimant</w:t>
      </w:r>
    </w:p>
    <w:p w14:paraId="3AA2C3F5" w14:textId="6575EE5C" w:rsidR="000D2E22" w:rsidRPr="000D2E22" w:rsidRDefault="000D2E22" w:rsidP="00AE2AB1">
      <w:pPr>
        <w:suppressAutoHyphens/>
        <w:jc w:val="center"/>
        <w:rPr>
          <w:bCs/>
          <w:spacing w:val="-3"/>
        </w:rPr>
      </w:pPr>
      <w:r w:rsidRPr="000D2E22">
        <w:rPr>
          <w:bCs/>
          <w:spacing w:val="-3"/>
        </w:rPr>
        <w:t xml:space="preserve">The </w:t>
      </w:r>
      <w:r>
        <w:rPr>
          <w:b/>
          <w:spacing w:val="-3"/>
        </w:rPr>
        <w:t>Defendant</w:t>
      </w:r>
      <w:r>
        <w:rPr>
          <w:bCs/>
          <w:spacing w:val="-3"/>
        </w:rPr>
        <w:t xml:space="preserve"> took no part in the proceedings</w:t>
      </w:r>
    </w:p>
    <w:p w14:paraId="2D95C82F" w14:textId="795A7A81" w:rsidR="00AE2AB1" w:rsidRPr="00AE2AB1" w:rsidRDefault="00AE2AB1" w:rsidP="00AE2AB1">
      <w:pPr>
        <w:suppressAutoHyphens/>
        <w:jc w:val="center"/>
        <w:rPr>
          <w:b/>
          <w:spacing w:val="-3"/>
        </w:rPr>
      </w:pPr>
      <w:r>
        <w:rPr>
          <w:b/>
          <w:spacing w:val="-3"/>
        </w:rPr>
        <w:t xml:space="preserve">Mark Brealey KC </w:t>
      </w:r>
      <w:r>
        <w:rPr>
          <w:bCs/>
          <w:spacing w:val="-3"/>
        </w:rPr>
        <w:t xml:space="preserve">(Instructed by </w:t>
      </w:r>
      <w:r>
        <w:rPr>
          <w:b/>
          <w:spacing w:val="-3"/>
        </w:rPr>
        <w:t>Willkie Farr &amp; Gallagher (UK) LLP</w:t>
      </w:r>
      <w:r>
        <w:rPr>
          <w:bCs/>
          <w:spacing w:val="-3"/>
        </w:rPr>
        <w:t xml:space="preserve">) for the </w:t>
      </w:r>
      <w:r>
        <w:rPr>
          <w:b/>
          <w:spacing w:val="-3"/>
        </w:rPr>
        <w:t xml:space="preserve">First </w:t>
      </w:r>
      <w:r w:rsidR="00E808A7">
        <w:rPr>
          <w:b/>
          <w:spacing w:val="-3"/>
        </w:rPr>
        <w:t>I</w:t>
      </w:r>
      <w:r>
        <w:rPr>
          <w:b/>
          <w:spacing w:val="-3"/>
        </w:rPr>
        <w:t>nterested Party</w:t>
      </w:r>
    </w:p>
    <w:p w14:paraId="711BC41A" w14:textId="1213EFF3" w:rsidR="005E2342" w:rsidRDefault="00AE2AB1" w:rsidP="00AE2AB1">
      <w:pPr>
        <w:jc w:val="center"/>
        <w:rPr>
          <w:b/>
          <w:spacing w:val="-3"/>
        </w:rPr>
      </w:pPr>
      <w:r>
        <w:rPr>
          <w:b/>
          <w:spacing w:val="-3"/>
        </w:rPr>
        <w:t>Gerard Rothschild</w:t>
      </w:r>
      <w:r w:rsidR="005E2342">
        <w:rPr>
          <w:bCs/>
          <w:spacing w:val="-3"/>
        </w:rPr>
        <w:t xml:space="preserve"> (instructed by </w:t>
      </w:r>
      <w:r w:rsidR="00A936CD">
        <w:rPr>
          <w:b/>
          <w:spacing w:val="-3"/>
        </w:rPr>
        <w:t>Hogan Lovells International LLP</w:t>
      </w:r>
      <w:r w:rsidR="005E2342">
        <w:rPr>
          <w:bCs/>
          <w:spacing w:val="-3"/>
        </w:rPr>
        <w:t xml:space="preserve">) </w:t>
      </w:r>
      <w:r w:rsidR="00C36D64">
        <w:rPr>
          <w:bCs/>
          <w:spacing w:val="-3"/>
        </w:rPr>
        <w:t xml:space="preserve">acting </w:t>
      </w:r>
      <w:r w:rsidR="00C36D64" w:rsidRPr="00C36D64">
        <w:rPr>
          <w:bCs/>
          <w:i/>
          <w:iCs/>
          <w:spacing w:val="-3"/>
        </w:rPr>
        <w:t>pro bono</w:t>
      </w:r>
      <w:r w:rsidR="00C36D64">
        <w:rPr>
          <w:bCs/>
          <w:spacing w:val="-3"/>
        </w:rPr>
        <w:t xml:space="preserve"> </w:t>
      </w:r>
      <w:r w:rsidR="005E2342">
        <w:rPr>
          <w:bCs/>
          <w:spacing w:val="-3"/>
        </w:rPr>
        <w:t xml:space="preserve">for the </w:t>
      </w:r>
      <w:r>
        <w:rPr>
          <w:b/>
          <w:spacing w:val="-3"/>
        </w:rPr>
        <w:t>Second Interested Party</w:t>
      </w:r>
    </w:p>
    <w:p w14:paraId="513F1633" w14:textId="13B5D2A3" w:rsidR="005E2342" w:rsidRDefault="00421AF1" w:rsidP="00E808A7">
      <w:pPr>
        <w:jc w:val="center"/>
        <w:rPr>
          <w:b/>
          <w:spacing w:val="-3"/>
        </w:rPr>
      </w:pPr>
      <w:r>
        <w:rPr>
          <w:b/>
          <w:spacing w:val="-3"/>
        </w:rPr>
        <w:t xml:space="preserve"> </w:t>
      </w:r>
      <w:r w:rsidR="00A71C13">
        <w:rPr>
          <w:b/>
          <w:spacing w:val="-3"/>
        </w:rPr>
        <w:t>Owain Draper</w:t>
      </w:r>
      <w:r>
        <w:rPr>
          <w:bCs/>
          <w:spacing w:val="-3"/>
        </w:rPr>
        <w:t xml:space="preserve"> (instructed by </w:t>
      </w:r>
      <w:r w:rsidR="007D2996" w:rsidRPr="007D2996">
        <w:rPr>
          <w:b/>
          <w:spacing w:val="-3"/>
        </w:rPr>
        <w:t>Freshfields LLP</w:t>
      </w:r>
      <w:r>
        <w:rPr>
          <w:bCs/>
          <w:spacing w:val="-3"/>
        </w:rPr>
        <w:t xml:space="preserve">) for the </w:t>
      </w:r>
      <w:r>
        <w:rPr>
          <w:b/>
          <w:spacing w:val="-3"/>
        </w:rPr>
        <w:t>Third Interested Part</w:t>
      </w:r>
      <w:r w:rsidR="005C43A6">
        <w:rPr>
          <w:b/>
          <w:spacing w:val="-3"/>
        </w:rPr>
        <w:t>ies</w:t>
      </w:r>
    </w:p>
    <w:p w14:paraId="6D7D2AF8" w14:textId="77777777" w:rsidR="00E808A7" w:rsidRDefault="00E808A7">
      <w:pPr>
        <w:suppressAutoHyphens/>
        <w:jc w:val="center"/>
        <w:rPr>
          <w:b/>
          <w:spacing w:val="-3"/>
        </w:rPr>
      </w:pPr>
    </w:p>
    <w:p w14:paraId="7C438CFF" w14:textId="5266AC77" w:rsidR="005E2342" w:rsidRDefault="005E2342">
      <w:pPr>
        <w:suppressAutoHyphens/>
        <w:jc w:val="center"/>
        <w:rPr>
          <w:spacing w:val="-3"/>
        </w:rPr>
      </w:pPr>
      <w:r>
        <w:rPr>
          <w:spacing w:val="-3"/>
        </w:rPr>
        <w:t xml:space="preserve">Hearing dates: </w:t>
      </w:r>
      <w:r w:rsidR="0032750C">
        <w:rPr>
          <w:spacing w:val="-3"/>
        </w:rPr>
        <w:t>19</w:t>
      </w:r>
      <w:r w:rsidR="0032750C">
        <w:rPr>
          <w:spacing w:val="-3"/>
          <w:vertAlign w:val="superscript"/>
        </w:rPr>
        <w:t xml:space="preserve"> </w:t>
      </w:r>
      <w:r w:rsidR="0032750C">
        <w:rPr>
          <w:spacing w:val="-3"/>
        </w:rPr>
        <w:t>&amp; 20 May 2026</w:t>
      </w:r>
    </w:p>
    <w:p w14:paraId="4685171C" w14:textId="77777777" w:rsidR="005E2342" w:rsidRDefault="005E2342">
      <w:pPr>
        <w:suppressAutoHyphens/>
        <w:jc w:val="center"/>
        <w:rPr>
          <w:spacing w:val="-3"/>
        </w:rPr>
      </w:pPr>
      <w:r>
        <w:rPr>
          <w:spacing w:val="-3"/>
        </w:rPr>
        <w:t>- - - - - - - - - - - - - - - - - - - - -</w:t>
      </w:r>
    </w:p>
    <w:p w14:paraId="7AD46C67" w14:textId="259EF804" w:rsidR="005E2342" w:rsidRDefault="00CF561B" w:rsidP="00CF561B">
      <w:pPr>
        <w:pStyle w:val="CoverDesc"/>
      </w:pPr>
      <w:r>
        <w:t>Approved Judgment</w:t>
      </w:r>
    </w:p>
    <w:p w14:paraId="2858C651" w14:textId="77777777" w:rsidR="00CF561B" w:rsidRDefault="00CF561B" w:rsidP="00CF561B">
      <w:pPr>
        <w:jc w:val="center"/>
      </w:pPr>
      <w:r>
        <w:t xml:space="preserve"> </w:t>
      </w:r>
    </w:p>
    <w:p w14:paraId="161115A0" w14:textId="7FA81DE7" w:rsidR="00CF561B" w:rsidRDefault="00CF561B" w:rsidP="00CF561B">
      <w:pPr>
        <w:jc w:val="center"/>
      </w:pPr>
      <w:r>
        <w:t>This judgment was handed down remotely at 10.30am on Wednesday 10 June 2026 by circulation to the parties or their representatives by e-mail and by release to the National Archives.</w:t>
      </w:r>
    </w:p>
    <w:p w14:paraId="064E21C1" w14:textId="77777777" w:rsidR="00CF561B" w:rsidRDefault="00CF561B" w:rsidP="00CF561B">
      <w:pPr>
        <w:jc w:val="center"/>
      </w:pPr>
    </w:p>
    <w:p w14:paraId="6A76BD29" w14:textId="77777777" w:rsidR="00CF561B" w:rsidRDefault="00CF561B" w:rsidP="00CF561B">
      <w:pPr>
        <w:jc w:val="center"/>
      </w:pPr>
      <w:r>
        <w:t>.............................</w:t>
      </w:r>
    </w:p>
    <w:p w14:paraId="081916DE" w14:textId="77777777" w:rsidR="00CF561B" w:rsidRDefault="00CF561B" w:rsidP="00CF561B">
      <w:pPr>
        <w:jc w:val="center"/>
      </w:pPr>
    </w:p>
    <w:p w14:paraId="5918BA68" w14:textId="6843B239" w:rsidR="00CF561B" w:rsidRPr="00CF561B" w:rsidRDefault="00CF561B" w:rsidP="00CF561B">
      <w:pPr>
        <w:jc w:val="center"/>
      </w:pPr>
    </w:p>
    <w:p w14:paraId="424FA673" w14:textId="77777777" w:rsidR="005E2342" w:rsidRDefault="005E2342">
      <w:pPr>
        <w:pStyle w:val="CoverDesc"/>
        <w:rPr>
          <w:sz w:val="24"/>
        </w:rPr>
      </w:pPr>
    </w:p>
    <w:p w14:paraId="25C2E500" w14:textId="77777777" w:rsidR="005E2342" w:rsidRDefault="005E2342" w:rsidP="00532427">
      <w:pPr>
        <w:jc w:val="center"/>
        <w:sectPr w:rsidR="005E2342" w:rsidSect="00D041B3">
          <w:headerReference w:type="even" r:id="rId9"/>
          <w:headerReference w:type="default" r:id="rId10"/>
          <w:footerReference w:type="even" r:id="rId11"/>
          <w:footerReference w:type="default" r:id="rId12"/>
          <w:headerReference w:type="first" r:id="rId13"/>
          <w:footerReference w:type="first" r:id="rId14"/>
          <w:pgSz w:w="11909" w:h="16834" w:code="9"/>
          <w:pgMar w:top="720" w:right="1440" w:bottom="720" w:left="1440" w:header="720" w:footer="720" w:gutter="0"/>
          <w:pgNumType w:start="1"/>
          <w:cols w:space="720"/>
        </w:sectPr>
      </w:pPr>
    </w:p>
    <w:p w14:paraId="40D8037F" w14:textId="31326F9A" w:rsidR="005E2342" w:rsidRDefault="00421AF1">
      <w:pPr>
        <w:spacing w:after="240"/>
      </w:pPr>
      <w:r>
        <w:rPr>
          <w:b/>
        </w:rPr>
        <w:lastRenderedPageBreak/>
        <w:t>L</w:t>
      </w:r>
      <w:r w:rsidR="004141AE">
        <w:rPr>
          <w:b/>
        </w:rPr>
        <w:t>ORD JUSTICE MALES</w:t>
      </w:r>
      <w:r w:rsidR="005E2342">
        <w:rPr>
          <w:b/>
        </w:rPr>
        <w:t>:</w:t>
      </w:r>
      <w:r w:rsidR="005E2342">
        <w:t xml:space="preserve"> </w:t>
      </w:r>
    </w:p>
    <w:p w14:paraId="3A0AF874" w14:textId="52606F3F" w:rsidR="005E2342" w:rsidRDefault="005E2342">
      <w:pPr>
        <w:pStyle w:val="ParaHeading"/>
        <w:sectPr w:rsidR="005E2342">
          <w:headerReference w:type="default" r:id="rId15"/>
          <w:footerReference w:type="default" r:id="rId16"/>
          <w:pgSz w:w="11909" w:h="16834" w:code="9"/>
          <w:pgMar w:top="1440" w:right="1440" w:bottom="1440" w:left="1440" w:header="709" w:footer="709" w:gutter="0"/>
          <w:cols w:space="720"/>
          <w:formProt w:val="0"/>
        </w:sectPr>
      </w:pPr>
    </w:p>
    <w:p w14:paraId="6F3EC611" w14:textId="60208547" w:rsidR="00B4552C" w:rsidRDefault="00751D7B" w:rsidP="00CF561B">
      <w:pPr>
        <w:pStyle w:val="ParaLevel1"/>
      </w:pPr>
      <w:r>
        <w:t>The</w:t>
      </w:r>
      <w:r w:rsidR="00CA0CE7">
        <w:t xml:space="preserve"> claimant</w:t>
      </w:r>
      <w:r w:rsidR="008C4CAB">
        <w:t xml:space="preserve">, </w:t>
      </w:r>
      <w:proofErr w:type="spellStart"/>
      <w:r w:rsidR="008C4CAB">
        <w:t>Innsworth</w:t>
      </w:r>
      <w:proofErr w:type="spellEnd"/>
      <w:r w:rsidR="008C4CAB">
        <w:t xml:space="preserve"> Capi</w:t>
      </w:r>
      <w:r w:rsidR="00332CAB">
        <w:t>t</w:t>
      </w:r>
      <w:r w:rsidR="008C4CAB">
        <w:t>al L</w:t>
      </w:r>
      <w:r w:rsidR="008040D6">
        <w:t>imi</w:t>
      </w:r>
      <w:r w:rsidR="008C4CAB">
        <w:t>t</w:t>
      </w:r>
      <w:r w:rsidR="008040D6">
        <w:t>e</w:t>
      </w:r>
      <w:r w:rsidR="008C4CAB">
        <w:t>d,</w:t>
      </w:r>
      <w:r w:rsidR="00CA0CE7">
        <w:t xml:space="preserve"> is a litigation funder</w:t>
      </w:r>
      <w:r w:rsidR="00B33B31">
        <w:t xml:space="preserve">. </w:t>
      </w:r>
      <w:r w:rsidR="00080D5D">
        <w:t>It</w:t>
      </w:r>
      <w:r w:rsidR="00CA0CE7">
        <w:t xml:space="preserve"> funded </w:t>
      </w:r>
      <w:r w:rsidR="00B326DE">
        <w:t xml:space="preserve">collective </w:t>
      </w:r>
      <w:r w:rsidR="00777CD6">
        <w:t xml:space="preserve">proceedings </w:t>
      </w:r>
      <w:r w:rsidR="00A71112">
        <w:t xml:space="preserve">brought </w:t>
      </w:r>
      <w:r w:rsidR="00777CD6">
        <w:t>against Mastercard</w:t>
      </w:r>
      <w:r w:rsidR="005A1EB9">
        <w:t xml:space="preserve"> </w:t>
      </w:r>
      <w:r w:rsidR="00A71112">
        <w:t>by Mr Walter Merricks</w:t>
      </w:r>
      <w:r w:rsidR="00AE32C6">
        <w:t xml:space="preserve">, </w:t>
      </w:r>
      <w:r w:rsidR="00D705B3">
        <w:t>who</w:t>
      </w:r>
      <w:r w:rsidR="007115FA">
        <w:t xml:space="preserve"> </w:t>
      </w:r>
      <w:r w:rsidR="005A1EB9">
        <w:t>act</w:t>
      </w:r>
      <w:r w:rsidR="007115FA">
        <w:t>ed</w:t>
      </w:r>
      <w:r w:rsidR="005A1EB9">
        <w:t xml:space="preserve"> </w:t>
      </w:r>
      <w:r w:rsidR="00AE32C6">
        <w:t xml:space="preserve">as </w:t>
      </w:r>
      <w:r w:rsidR="005A1EB9">
        <w:t xml:space="preserve">the </w:t>
      </w:r>
      <w:r w:rsidR="00AE32C6">
        <w:t>class representative</w:t>
      </w:r>
      <w:r w:rsidR="005A1EB9">
        <w:t>.</w:t>
      </w:r>
      <w:r w:rsidR="00CD4529">
        <w:t xml:space="preserve"> The proceedings</w:t>
      </w:r>
      <w:r w:rsidR="00881573">
        <w:t xml:space="preserve"> were only the second to be issued after the collective </w:t>
      </w:r>
      <w:proofErr w:type="gramStart"/>
      <w:r w:rsidR="00881573">
        <w:t>proceedings</w:t>
      </w:r>
      <w:proofErr w:type="gramEnd"/>
      <w:r w:rsidR="00881573">
        <w:t xml:space="preserve"> regime came into effect on 1</w:t>
      </w:r>
      <w:r w:rsidR="00881573" w:rsidRPr="00881573">
        <w:rPr>
          <w:vertAlign w:val="superscript"/>
        </w:rPr>
        <w:t>st</w:t>
      </w:r>
      <w:r w:rsidR="00881573">
        <w:t xml:space="preserve"> October 2015.</w:t>
      </w:r>
      <w:r w:rsidR="00AA3062">
        <w:t xml:space="preserve"> </w:t>
      </w:r>
      <w:r w:rsidR="00BC300A">
        <w:t>After some eight years of litigation, Mr Merricks and Mastercard agreed</w:t>
      </w:r>
      <w:r w:rsidR="00954F74">
        <w:t xml:space="preserve"> that Master</w:t>
      </w:r>
      <w:r w:rsidR="006B0DB6">
        <w:t>c</w:t>
      </w:r>
      <w:r w:rsidR="00954F74">
        <w:t>ard would pay £200 million</w:t>
      </w:r>
      <w:r w:rsidR="00BC300A">
        <w:t xml:space="preserve"> to settle the</w:t>
      </w:r>
      <w:r w:rsidR="00954F74">
        <w:t xml:space="preserve"> proceedings</w:t>
      </w:r>
      <w:r w:rsidR="00B4552C">
        <w:t>, a tiny fraction of the sum claimed</w:t>
      </w:r>
      <w:r w:rsidR="00954F74">
        <w:t>.</w:t>
      </w:r>
      <w:r w:rsidR="001A424C">
        <w:t xml:space="preserve"> </w:t>
      </w:r>
    </w:p>
    <w:p w14:paraId="676CAEC4" w14:textId="7CFE50F6" w:rsidR="00990F1B" w:rsidRDefault="000E59D7" w:rsidP="00CF561B">
      <w:pPr>
        <w:pStyle w:val="ParaLevel1"/>
      </w:pPr>
      <w:r>
        <w:t>I</w:t>
      </w:r>
      <w:r w:rsidR="00AA3062">
        <w:t>n this claim for judicial review</w:t>
      </w:r>
      <w:r w:rsidR="00E51CFC">
        <w:t xml:space="preserve"> t</w:t>
      </w:r>
      <w:r w:rsidR="004F2237">
        <w:t>he claimant</w:t>
      </w:r>
      <w:r w:rsidR="00E51CFC">
        <w:t xml:space="preserve"> challe</w:t>
      </w:r>
      <w:r w:rsidR="00F3267B">
        <w:t>nges</w:t>
      </w:r>
      <w:r w:rsidR="00E51CFC">
        <w:t xml:space="preserve"> the order made by the Competition Appeal Tribunal (‘the CAT’)</w:t>
      </w:r>
      <w:r w:rsidR="005D4AFD">
        <w:t xml:space="preserve"> for the distribution of the proceeds of the settlement.</w:t>
      </w:r>
      <w:r w:rsidR="00392CA1">
        <w:t xml:space="preserve"> The CAT has taken no part</w:t>
      </w:r>
      <w:r w:rsidR="00FA6B3A">
        <w:t xml:space="preserve"> in th</w:t>
      </w:r>
      <w:r w:rsidR="00BE7FF3">
        <w:t>i</w:t>
      </w:r>
      <w:r w:rsidR="00FA6B3A">
        <w:t xml:space="preserve">s judicial review, but </w:t>
      </w:r>
      <w:r w:rsidR="00717A7B">
        <w:t xml:space="preserve">the challenge to </w:t>
      </w:r>
      <w:r w:rsidR="00FA6B3A">
        <w:t>its</w:t>
      </w:r>
      <w:r w:rsidR="00717A7B">
        <w:t xml:space="preserve"> </w:t>
      </w:r>
      <w:r w:rsidR="00FF72C1">
        <w:t xml:space="preserve">order is </w:t>
      </w:r>
      <w:r w:rsidR="00717A7B">
        <w:t>opposed by Mr Merricks.</w:t>
      </w:r>
      <w:r w:rsidR="00DE520E">
        <w:t xml:space="preserve"> </w:t>
      </w:r>
      <w:proofErr w:type="gramStart"/>
      <w:r w:rsidR="00DE520E">
        <w:t>In reality, therefore</w:t>
      </w:r>
      <w:proofErr w:type="gramEnd"/>
      <w:r w:rsidR="00DE520E">
        <w:t xml:space="preserve">, the present claim </w:t>
      </w:r>
      <w:r w:rsidR="009375C0">
        <w:t>reflect</w:t>
      </w:r>
      <w:r w:rsidR="00DE520E">
        <w:t>s</w:t>
      </w:r>
      <w:r w:rsidR="009375C0">
        <w:t xml:space="preserve"> </w:t>
      </w:r>
      <w:r w:rsidR="009D1B95">
        <w:t>a dispute between</w:t>
      </w:r>
      <w:r w:rsidR="009375C0">
        <w:t xml:space="preserve"> </w:t>
      </w:r>
      <w:r w:rsidR="009D1B95">
        <w:t>Mr Merricks as the class representative and the claimant as the funder</w:t>
      </w:r>
      <w:r w:rsidR="00DF4BBE">
        <w:t xml:space="preserve"> as to how much of the settlement proceeds should go to t</w:t>
      </w:r>
      <w:r w:rsidR="00CB740D">
        <w:t>he class and how much to the funder.</w:t>
      </w:r>
    </w:p>
    <w:p w14:paraId="07E00E49" w14:textId="25F5F2B4" w:rsidR="005D4AFD" w:rsidRPr="00990F1B" w:rsidRDefault="00317F3E" w:rsidP="00CF561B">
      <w:pPr>
        <w:pStyle w:val="ParaLevel1"/>
        <w:numPr>
          <w:ilvl w:val="0"/>
          <w:numId w:val="0"/>
        </w:numPr>
        <w:rPr>
          <w:b/>
          <w:bCs/>
        </w:rPr>
      </w:pPr>
      <w:r w:rsidRPr="00990F1B">
        <w:rPr>
          <w:b/>
          <w:bCs/>
        </w:rPr>
        <w:t>Background</w:t>
      </w:r>
    </w:p>
    <w:p w14:paraId="22AE3921" w14:textId="0D8C0FAB" w:rsidR="00CA5399" w:rsidRDefault="007E40A2" w:rsidP="00CF561B">
      <w:pPr>
        <w:pStyle w:val="ParaLevel1"/>
      </w:pPr>
      <w:r>
        <w:t>The claim</w:t>
      </w:r>
      <w:r w:rsidR="00D76E7B">
        <w:t xml:space="preserve"> </w:t>
      </w:r>
      <w:r w:rsidR="00990F1B">
        <w:t xml:space="preserve">against Mastercard </w:t>
      </w:r>
      <w:r w:rsidR="00D76E7B">
        <w:t>was ambitious.</w:t>
      </w:r>
      <w:r w:rsidR="0072702D" w:rsidRPr="0072702D">
        <w:t xml:space="preserve"> </w:t>
      </w:r>
      <w:r w:rsidR="006516F7">
        <w:t xml:space="preserve">It </w:t>
      </w:r>
      <w:r w:rsidR="0072702D">
        <w:t xml:space="preserve">was a follow-on claim for damages allegedly suffered </w:t>
      </w:r>
      <w:proofErr w:type="gramStart"/>
      <w:r w:rsidR="0072702D">
        <w:t>as a result of</w:t>
      </w:r>
      <w:proofErr w:type="gramEnd"/>
      <w:r w:rsidR="0072702D">
        <w:t xml:space="preserve"> what the European Commission</w:t>
      </w:r>
      <w:r w:rsidR="00AE21DD">
        <w:t xml:space="preserve"> had found to be</w:t>
      </w:r>
      <w:r w:rsidR="00CB18B5">
        <w:t xml:space="preserve"> unlawful multilateral</w:t>
      </w:r>
      <w:r w:rsidR="00AC3AE8">
        <w:t xml:space="preserve"> interchange fees </w:t>
      </w:r>
      <w:r w:rsidR="004C5893">
        <w:t xml:space="preserve">(‘MIFs’) </w:t>
      </w:r>
      <w:r w:rsidR="00AC3AE8">
        <w:t xml:space="preserve">charged </w:t>
      </w:r>
      <w:r w:rsidR="001D52E9">
        <w:t>to</w:t>
      </w:r>
      <w:r w:rsidR="00AC3AE8">
        <w:t xml:space="preserve"> banks</w:t>
      </w:r>
      <w:r w:rsidR="007C201E">
        <w:t xml:space="preserve"> on credit</w:t>
      </w:r>
      <w:r w:rsidR="002F0161">
        <w:t xml:space="preserve"> and debit card transactions involving banks in different European </w:t>
      </w:r>
      <w:r w:rsidR="00603BA9">
        <w:t>E</w:t>
      </w:r>
      <w:r w:rsidR="002F0161">
        <w:t>conomic Area member states</w:t>
      </w:r>
      <w:r w:rsidR="00D538B3">
        <w:t xml:space="preserve"> between 22</w:t>
      </w:r>
      <w:r w:rsidR="00D538B3" w:rsidRPr="00D538B3">
        <w:rPr>
          <w:vertAlign w:val="superscript"/>
        </w:rPr>
        <w:t>nd</w:t>
      </w:r>
      <w:r w:rsidR="00D538B3">
        <w:t xml:space="preserve"> May 1992 and 21</w:t>
      </w:r>
      <w:r w:rsidR="00D538B3" w:rsidRPr="00D538B3">
        <w:rPr>
          <w:vertAlign w:val="superscript"/>
        </w:rPr>
        <w:t>st</w:t>
      </w:r>
      <w:r w:rsidR="00D538B3">
        <w:t xml:space="preserve"> June 2008.</w:t>
      </w:r>
      <w:r w:rsidR="00E403D6">
        <w:t xml:space="preserve"> The case theory</w:t>
      </w:r>
      <w:r w:rsidR="00603BA9">
        <w:t xml:space="preserve"> was that everyone </w:t>
      </w:r>
      <w:r w:rsidR="000F134D">
        <w:t xml:space="preserve">in the UK </w:t>
      </w:r>
      <w:r w:rsidR="00B909AD">
        <w:t>who purchased goods or services</w:t>
      </w:r>
      <w:r w:rsidR="00055A9E" w:rsidRPr="00055A9E">
        <w:t xml:space="preserve"> </w:t>
      </w:r>
      <w:r w:rsidR="00055A9E">
        <w:t>during that period</w:t>
      </w:r>
      <w:r w:rsidR="00B909AD">
        <w:t xml:space="preserve"> from a retail outlet where such cards were accepted</w:t>
      </w:r>
      <w:r w:rsidR="000D2D21">
        <w:t xml:space="preserve"> had suffered damage in the form of</w:t>
      </w:r>
      <w:r w:rsidR="001F0CC5">
        <w:t xml:space="preserve"> unlawfully inflated </w:t>
      </w:r>
      <w:r w:rsidR="00FF4AC9">
        <w:t>charg</w:t>
      </w:r>
      <w:r w:rsidR="001F0CC5">
        <w:t>es which the banks had passed on</w:t>
      </w:r>
      <w:r w:rsidR="000F134D">
        <w:t>, even where the purchase involved no cross</w:t>
      </w:r>
      <w:r w:rsidR="00C32384">
        <w:t>-</w:t>
      </w:r>
      <w:r w:rsidR="000F134D">
        <w:t>border</w:t>
      </w:r>
      <w:r w:rsidR="00620F8B">
        <w:t xml:space="preserve"> element</w:t>
      </w:r>
      <w:r w:rsidR="001F0CC5">
        <w:t>.</w:t>
      </w:r>
      <w:r w:rsidR="00D76E7B">
        <w:t xml:space="preserve"> </w:t>
      </w:r>
      <w:proofErr w:type="gramStart"/>
      <w:r w:rsidR="00620F8B">
        <w:t>So</w:t>
      </w:r>
      <w:proofErr w:type="gramEnd"/>
      <w:r w:rsidR="00620F8B">
        <w:t xml:space="preserve"> t</w:t>
      </w:r>
      <w:r w:rsidR="00D76E7B">
        <w:t>he class comprised everyone who was resident in the UK and over the age of 16 at any time between 1992</w:t>
      </w:r>
      <w:r w:rsidR="00CA5399">
        <w:t xml:space="preserve"> and 2008 and who purchased goods or services in or from the UK – effectively the entire adult population</w:t>
      </w:r>
      <w:r w:rsidR="00227F11">
        <w:t xml:space="preserve"> </w:t>
      </w:r>
      <w:r w:rsidR="00F51F35">
        <w:t xml:space="preserve">of the UK </w:t>
      </w:r>
      <w:r w:rsidR="00227F11">
        <w:t>during those years</w:t>
      </w:r>
      <w:r w:rsidR="00600DF6">
        <w:t xml:space="preserve"> – some 44 million people</w:t>
      </w:r>
      <w:r w:rsidR="00302BA1">
        <w:t xml:space="preserve">. The total damages </w:t>
      </w:r>
      <w:r w:rsidR="000B1C80">
        <w:t>were said to amount to about £14 billion including interest</w:t>
      </w:r>
      <w:r w:rsidR="00611DD7">
        <w:t xml:space="preserve"> up to September 2016 when the proceedings began</w:t>
      </w:r>
      <w:r w:rsidR="008B5D7E">
        <w:t>.</w:t>
      </w:r>
      <w:r w:rsidR="00905DDF">
        <w:t xml:space="preserve"> As the claim was for compound interest, its value increased</w:t>
      </w:r>
      <w:r w:rsidR="00FF5018">
        <w:t xml:space="preserve"> as the litigation went on</w:t>
      </w:r>
      <w:r w:rsidR="00611DD7">
        <w:t>.</w:t>
      </w:r>
    </w:p>
    <w:p w14:paraId="04A77B26" w14:textId="6D8D3DEE" w:rsidR="004B03BF" w:rsidRDefault="00F1089A" w:rsidP="00CF561B">
      <w:pPr>
        <w:pStyle w:val="ParaLevel1"/>
      </w:pPr>
      <w:r>
        <w:t xml:space="preserve">The proceedings </w:t>
      </w:r>
      <w:r w:rsidR="00614F05">
        <w:t xml:space="preserve">lasted for over eight years. </w:t>
      </w:r>
      <w:r w:rsidR="002B010F">
        <w:t xml:space="preserve">They raised some tricky points of competition law. </w:t>
      </w:r>
      <w:r w:rsidR="00DB6865">
        <w:t>There were visits</w:t>
      </w:r>
      <w:r>
        <w:t xml:space="preserve"> to the Court of Appeal</w:t>
      </w:r>
      <w:r w:rsidR="001D77E5">
        <w:t xml:space="preserve"> and the Supreme Court</w:t>
      </w:r>
      <w:r w:rsidR="00964684">
        <w:t xml:space="preserve">. There were many hearings before the </w:t>
      </w:r>
      <w:r w:rsidR="00072679">
        <w:t>CAT</w:t>
      </w:r>
      <w:r w:rsidR="00CB74D3">
        <w:t xml:space="preserve">. These </w:t>
      </w:r>
      <w:r w:rsidR="00E732E1">
        <w:t>includ</w:t>
      </w:r>
      <w:r w:rsidR="00CB74D3">
        <w:t>e</w:t>
      </w:r>
      <w:r w:rsidR="002B5610">
        <w:t>d</w:t>
      </w:r>
      <w:r w:rsidR="00E732E1">
        <w:t xml:space="preserve"> a</w:t>
      </w:r>
      <w:r w:rsidR="00CD4D4F">
        <w:t xml:space="preserve"> trial of preliminary issues</w:t>
      </w:r>
      <w:r w:rsidR="0044578A">
        <w:t xml:space="preserve"> in </w:t>
      </w:r>
      <w:r w:rsidR="008040D6">
        <w:t>January</w:t>
      </w:r>
      <w:r w:rsidR="0044578A">
        <w:t xml:space="preserve"> 2023 and</w:t>
      </w:r>
      <w:r w:rsidR="00E732E1">
        <w:t xml:space="preserve"> </w:t>
      </w:r>
      <w:r w:rsidR="0044578A">
        <w:t xml:space="preserve">a </w:t>
      </w:r>
      <w:r w:rsidR="00E732E1">
        <w:t>three-week trial in July 2023</w:t>
      </w:r>
      <w:r w:rsidR="00565721">
        <w:t xml:space="preserve"> on issues of (among other things) causation.</w:t>
      </w:r>
      <w:r w:rsidR="004A72B2">
        <w:t xml:space="preserve"> In </w:t>
      </w:r>
      <w:r w:rsidR="008040D6">
        <w:t>January</w:t>
      </w:r>
      <w:r w:rsidR="004A72B2">
        <w:t xml:space="preserve"> 2024</w:t>
      </w:r>
      <w:r w:rsidR="00AA30DF">
        <w:t xml:space="preserve"> there was a two-week trial on issues of limitation.</w:t>
      </w:r>
      <w:r w:rsidR="00853F90">
        <w:t xml:space="preserve"> </w:t>
      </w:r>
      <w:r w:rsidR="008927AD">
        <w:t>T</w:t>
      </w:r>
      <w:r w:rsidR="000D06EF">
        <w:t>he lawyers and the experts</w:t>
      </w:r>
      <w:r w:rsidR="008927AD">
        <w:t xml:space="preserve"> did very well out of all this</w:t>
      </w:r>
      <w:r w:rsidR="000D06EF">
        <w:t xml:space="preserve">. By the time the case concluded the funder had </w:t>
      </w:r>
      <w:r w:rsidR="007C64DC">
        <w:t>spent more than £41 million</w:t>
      </w:r>
      <w:r w:rsidR="00F909F6">
        <w:t xml:space="preserve"> on legal costs and experts’ fees</w:t>
      </w:r>
      <w:r w:rsidR="007C64DC">
        <w:t>.</w:t>
      </w:r>
    </w:p>
    <w:p w14:paraId="09AFBFF2" w14:textId="05895208" w:rsidR="007D6E2D" w:rsidRDefault="009C2ADB" w:rsidP="00CF561B">
      <w:pPr>
        <w:pStyle w:val="ParaLevel1"/>
      </w:pPr>
      <w:r>
        <w:t xml:space="preserve">The result </w:t>
      </w:r>
      <w:r w:rsidR="00FB63F8">
        <w:t xml:space="preserve">was that substantial parts of the claim were held to be time-barred and it </w:t>
      </w:r>
      <w:r w:rsidR="005B37D7">
        <w:t xml:space="preserve">had </w:t>
      </w:r>
      <w:r w:rsidR="00FB63F8">
        <w:t>bec</w:t>
      </w:r>
      <w:r w:rsidR="005B37D7">
        <w:t>o</w:t>
      </w:r>
      <w:r w:rsidR="00FB63F8">
        <w:t>me apparent</w:t>
      </w:r>
      <w:r w:rsidR="00B830AF">
        <w:t xml:space="preserve"> that it would be </w:t>
      </w:r>
      <w:r w:rsidR="005425E0">
        <w:t xml:space="preserve">(at best) </w:t>
      </w:r>
      <w:r w:rsidR="00892066">
        <w:t xml:space="preserve">very </w:t>
      </w:r>
      <w:r w:rsidR="00B830AF">
        <w:t xml:space="preserve">difficult for </w:t>
      </w:r>
      <w:r w:rsidR="001D57C4">
        <w:t>Mr Merricks</w:t>
      </w:r>
      <w:r w:rsidR="00B830AF">
        <w:t xml:space="preserve"> to prove that UK consumers had suffered any financial loss as a result of the</w:t>
      </w:r>
      <w:r w:rsidR="0023138B">
        <w:t xml:space="preserve"> </w:t>
      </w:r>
      <w:r w:rsidR="006A2FC8">
        <w:t>cross-border MIFs</w:t>
      </w:r>
      <w:r w:rsidR="0023138B">
        <w:t xml:space="preserve"> which </w:t>
      </w:r>
      <w:r w:rsidR="00792201">
        <w:t>t</w:t>
      </w:r>
      <w:r w:rsidR="0023138B">
        <w:t xml:space="preserve">he </w:t>
      </w:r>
      <w:r w:rsidR="00792201">
        <w:t>Commission had found to be unlawful</w:t>
      </w:r>
      <w:r w:rsidR="0023138B">
        <w:t>.</w:t>
      </w:r>
      <w:r w:rsidR="00072679">
        <w:t xml:space="preserve"> </w:t>
      </w:r>
      <w:proofErr w:type="gramStart"/>
      <w:r w:rsidR="00072679">
        <w:t>So</w:t>
      </w:r>
      <w:proofErr w:type="gramEnd"/>
      <w:r w:rsidR="00072679">
        <w:t xml:space="preserve"> Mr Merricks decided</w:t>
      </w:r>
      <w:r w:rsidR="00234C9E">
        <w:t xml:space="preserve"> to settle the case and avoid a</w:t>
      </w:r>
      <w:r w:rsidR="00DD756A">
        <w:t>n imminent</w:t>
      </w:r>
      <w:r w:rsidR="002F6433">
        <w:t xml:space="preserve"> </w:t>
      </w:r>
      <w:r w:rsidR="00234C9E">
        <w:t>further trial</w:t>
      </w:r>
      <w:r w:rsidR="005C7BC7">
        <w:t xml:space="preserve"> on an issue on which he was likely to lose. After some negotiations Master</w:t>
      </w:r>
      <w:r w:rsidR="00AC4A59">
        <w:t>c</w:t>
      </w:r>
      <w:r w:rsidR="005C7BC7">
        <w:t>ard</w:t>
      </w:r>
      <w:r w:rsidR="00AC4A59">
        <w:t xml:space="preserve"> agreed to settle the case by paying £200 million</w:t>
      </w:r>
      <w:r w:rsidR="00C02EEB">
        <w:t xml:space="preserve">. This </w:t>
      </w:r>
      <w:r w:rsidR="00402D2C">
        <w:t>was only 1.4% of the sum originally claimed</w:t>
      </w:r>
      <w:r w:rsidR="00B82F78">
        <w:t xml:space="preserve"> and</w:t>
      </w:r>
      <w:r w:rsidR="00FC71EA">
        <w:t xml:space="preserve"> still less if the claim for a further eight years of compound interest is </w:t>
      </w:r>
      <w:proofErr w:type="gramStart"/>
      <w:r w:rsidR="00FC71EA">
        <w:t>taken into account</w:t>
      </w:r>
      <w:proofErr w:type="gramEnd"/>
      <w:r w:rsidR="00FC71EA">
        <w:t>.</w:t>
      </w:r>
      <w:r w:rsidR="00B82F78">
        <w:t xml:space="preserve"> Mr Merricks accepted</w:t>
      </w:r>
      <w:r w:rsidR="00C65735">
        <w:t xml:space="preserve"> this offer</w:t>
      </w:r>
      <w:r w:rsidR="004D1454">
        <w:t xml:space="preserve">. </w:t>
      </w:r>
    </w:p>
    <w:p w14:paraId="2A47F5AD" w14:textId="77F83FAD" w:rsidR="00AA30DF" w:rsidRDefault="00C82EB6" w:rsidP="00CF561B">
      <w:pPr>
        <w:pStyle w:val="ParaLevel1"/>
      </w:pPr>
      <w:r>
        <w:lastRenderedPageBreak/>
        <w:t>Although</w:t>
      </w:r>
      <w:r w:rsidR="00BA6E2C">
        <w:t xml:space="preserve"> £200 million is a lot of money, it would not go far if shared equally between the</w:t>
      </w:r>
      <w:r w:rsidR="003B5FD1">
        <w:t xml:space="preserve"> more than 44 million</w:t>
      </w:r>
      <w:r w:rsidR="006423B6">
        <w:t xml:space="preserve"> members of the class.</w:t>
      </w:r>
      <w:r w:rsidR="00B62BD0">
        <w:t xml:space="preserve"> In fact, if shared equally between them, with nothing </w:t>
      </w:r>
      <w:r w:rsidR="00F65422">
        <w:t xml:space="preserve">at all </w:t>
      </w:r>
      <w:r w:rsidR="00B62BD0">
        <w:t>for the funder, each class member w</w:t>
      </w:r>
      <w:r w:rsidR="00F3759B">
        <w:t>ould</w:t>
      </w:r>
      <w:r w:rsidR="00B62BD0">
        <w:t xml:space="preserve"> receive only</w:t>
      </w:r>
      <w:r w:rsidR="00BB4662">
        <w:t xml:space="preserve"> about £4.50</w:t>
      </w:r>
      <w:r w:rsidR="00287BCE">
        <w:t>. A</w:t>
      </w:r>
      <w:r w:rsidR="009771C3">
        <w:t>nything paid to the funder would reduce that amount</w:t>
      </w:r>
      <w:r w:rsidR="002B4048">
        <w:t>.</w:t>
      </w:r>
    </w:p>
    <w:p w14:paraId="416A0129" w14:textId="17F9EDE6" w:rsidR="00347B75" w:rsidRDefault="008B613A" w:rsidP="00CF561B">
      <w:pPr>
        <w:pStyle w:val="ParaLevel1"/>
      </w:pPr>
      <w:r>
        <w:t xml:space="preserve">The settlement agreement could only take effect if approved by the CAT </w:t>
      </w:r>
      <w:r w:rsidR="00252D6A">
        <w:t xml:space="preserve">as ‘just and reasonable’ </w:t>
      </w:r>
      <w:r>
        <w:t xml:space="preserve">(Competition Act </w:t>
      </w:r>
      <w:r w:rsidR="00DF66D9">
        <w:t>1998</w:t>
      </w:r>
      <w:r>
        <w:t xml:space="preserve">, section </w:t>
      </w:r>
      <w:r w:rsidR="00DF66D9">
        <w:t>49</w:t>
      </w:r>
      <w:proofErr w:type="gramStart"/>
      <w:r w:rsidR="00DF66D9">
        <w:t>A(</w:t>
      </w:r>
      <w:proofErr w:type="gramEnd"/>
      <w:r w:rsidR="00DF66D9">
        <w:t>5)</w:t>
      </w:r>
      <w:r>
        <w:t>).</w:t>
      </w:r>
      <w:r w:rsidR="003D0AA7">
        <w:t xml:space="preserve"> Approval was resisted by the </w:t>
      </w:r>
      <w:r w:rsidR="00251A69">
        <w:t>claimant</w:t>
      </w:r>
      <w:r w:rsidR="0043021E">
        <w:t xml:space="preserve"> funder</w:t>
      </w:r>
      <w:r w:rsidR="003D0AA7">
        <w:t xml:space="preserve">, which wanted to fight on, presumably </w:t>
      </w:r>
      <w:r w:rsidR="00683430">
        <w:t>i</w:t>
      </w:r>
      <w:r w:rsidR="003D0AA7">
        <w:t>n the belief</w:t>
      </w:r>
      <w:r w:rsidR="00683430">
        <w:t xml:space="preserve"> that it could get a better deal.</w:t>
      </w:r>
      <w:r w:rsidR="003D0AA7">
        <w:t xml:space="preserve"> </w:t>
      </w:r>
      <w:r w:rsidR="00FD2E2C">
        <w:t>But the CAT</w:t>
      </w:r>
      <w:r w:rsidR="008B1108">
        <w:t xml:space="preserve"> </w:t>
      </w:r>
      <w:r w:rsidR="0028178A">
        <w:t xml:space="preserve">(Mr Justice Roth as Acting President, </w:t>
      </w:r>
      <w:r w:rsidR="000526D0">
        <w:t>Mr Hodge Malek KC and Professor Rach</w:t>
      </w:r>
      <w:r w:rsidR="00136906">
        <w:t>a</w:t>
      </w:r>
      <w:r w:rsidR="000526D0">
        <w:t xml:space="preserve">el Mulheron KC (Hon)) </w:t>
      </w:r>
      <w:r w:rsidR="008B1108">
        <w:t>approved the settlement</w:t>
      </w:r>
      <w:r w:rsidR="007C37DC">
        <w:t xml:space="preserve">. It </w:t>
      </w:r>
      <w:r w:rsidR="008B1108">
        <w:t>f</w:t>
      </w:r>
      <w:r w:rsidR="007C37DC">
        <w:t>ou</w:t>
      </w:r>
      <w:r w:rsidR="008B1108">
        <w:t>nd that ‘the likelihood of judgment being obtained for</w:t>
      </w:r>
      <w:r w:rsidR="002B4048">
        <w:t xml:space="preserve"> an</w:t>
      </w:r>
      <w:r w:rsidR="008B1108">
        <w:t xml:space="preserve"> amount significantly in excess of £200 million was low’</w:t>
      </w:r>
      <w:r w:rsidR="002C5276">
        <w:t>;</w:t>
      </w:r>
      <w:r w:rsidR="00416022">
        <w:t xml:space="preserve"> that the terms available from Master</w:t>
      </w:r>
      <w:r w:rsidR="005F2536">
        <w:t>c</w:t>
      </w:r>
      <w:r w:rsidR="00416022">
        <w:t>ard</w:t>
      </w:r>
      <w:r w:rsidR="005F2536">
        <w:t xml:space="preserve"> ‘were the best terms then available’</w:t>
      </w:r>
      <w:r w:rsidR="002C5276">
        <w:t>;</w:t>
      </w:r>
      <w:r w:rsidR="005F2536">
        <w:t xml:space="preserve"> and that the settlement ‘was in the best interests of the class</w:t>
      </w:r>
      <w:r w:rsidR="00347B75">
        <w:t>’.</w:t>
      </w:r>
      <w:r w:rsidR="006A3E40">
        <w:t xml:space="preserve"> </w:t>
      </w:r>
      <w:r w:rsidR="00AE7204">
        <w:t>Those conclusions are not now challenged.</w:t>
      </w:r>
      <w:r w:rsidR="004F3753">
        <w:t xml:space="preserve"> Nor is the CAT’s</w:t>
      </w:r>
      <w:r w:rsidR="008A7321">
        <w:t xml:space="preserve"> descri</w:t>
      </w:r>
      <w:r w:rsidR="004F3753">
        <w:t>ption of</w:t>
      </w:r>
      <w:r w:rsidR="008A7321">
        <w:t xml:space="preserve"> the outcome as </w:t>
      </w:r>
      <w:r w:rsidR="00EA6D72">
        <w:t>‘very far from a success for a class</w:t>
      </w:r>
      <w:r w:rsidR="00A221EF">
        <w:t xml:space="preserve"> of some 44 million claimants’</w:t>
      </w:r>
      <w:r w:rsidR="00215FD3">
        <w:t xml:space="preserve"> and as representing ‘an extraordinarily low proportion’ of the claim</w:t>
      </w:r>
      <w:r w:rsidR="00454AF1">
        <w:t xml:space="preserve">. </w:t>
      </w:r>
    </w:p>
    <w:p w14:paraId="53DCE5AC" w14:textId="5FEC69B6" w:rsidR="00E81A69" w:rsidRPr="007555DA" w:rsidRDefault="007555DA" w:rsidP="00CF561B">
      <w:pPr>
        <w:pStyle w:val="ParaLevel1"/>
        <w:numPr>
          <w:ilvl w:val="0"/>
          <w:numId w:val="0"/>
        </w:numPr>
        <w:rPr>
          <w:b/>
          <w:bCs/>
        </w:rPr>
      </w:pPr>
      <w:r>
        <w:rPr>
          <w:b/>
          <w:bCs/>
        </w:rPr>
        <w:t>Distribution of the proceeds</w:t>
      </w:r>
    </w:p>
    <w:p w14:paraId="3EC975FE" w14:textId="377ABE08" w:rsidR="00FB4501" w:rsidRDefault="00882B8C" w:rsidP="00CF561B">
      <w:pPr>
        <w:pStyle w:val="ParaLevel1"/>
      </w:pPr>
      <w:r>
        <w:t>The CAT also had to approve the distribution</w:t>
      </w:r>
      <w:r w:rsidR="004B3243">
        <w:t xml:space="preserve"> of the settlement proceeds.</w:t>
      </w:r>
      <w:r w:rsidR="00FE373D">
        <w:t xml:space="preserve"> </w:t>
      </w:r>
      <w:r w:rsidR="00205AC8">
        <w:t xml:space="preserve">That required it to decide </w:t>
      </w:r>
      <w:r w:rsidR="004862EE">
        <w:t xml:space="preserve">how much of the £200 million </w:t>
      </w:r>
      <w:r w:rsidR="00535727">
        <w:t>should go to the class, how much should go to the funder, and what should happen to any money</w:t>
      </w:r>
      <w:r w:rsidR="00F71851">
        <w:t xml:space="preserve"> which was</w:t>
      </w:r>
      <w:r w:rsidR="00535727">
        <w:t xml:space="preserve"> </w:t>
      </w:r>
      <w:r w:rsidR="00F71851">
        <w:t xml:space="preserve">not claimed. </w:t>
      </w:r>
    </w:p>
    <w:p w14:paraId="5D615E24" w14:textId="2C6C7D71" w:rsidR="004F1682" w:rsidRDefault="004535FE" w:rsidP="00CF561B">
      <w:pPr>
        <w:pStyle w:val="ParaLevel1"/>
      </w:pPr>
      <w:r>
        <w:t>The claimant’s primary case before the CAT</w:t>
      </w:r>
      <w:r w:rsidR="00052DA5">
        <w:t xml:space="preserve"> was that the £200 million should be divided equally between all members of the class and that </w:t>
      </w:r>
      <w:r w:rsidR="00561F18">
        <w:t>reimbursement of what it had spent together with its profit should come out of the undistributed damages (</w:t>
      </w:r>
      <w:r w:rsidR="002C5276">
        <w:t>i.e.</w:t>
      </w:r>
      <w:r w:rsidR="005D5BCF">
        <w:t xml:space="preserve"> that part of the £200 million which was not taken up by class members)</w:t>
      </w:r>
      <w:r w:rsidR="00561F18">
        <w:t>.</w:t>
      </w:r>
      <w:r w:rsidR="005D5BCF">
        <w:t xml:space="preserve"> Th</w:t>
      </w:r>
      <w:r w:rsidR="003A7E78">
        <w:t>at</w:t>
      </w:r>
      <w:r w:rsidR="00BD42CC">
        <w:t xml:space="preserve"> might seem generous, putting the interests of the class </w:t>
      </w:r>
      <w:r w:rsidR="00073BCB">
        <w:t>fir</w:t>
      </w:r>
      <w:r w:rsidR="00BD42CC">
        <w:t xml:space="preserve">st, but </w:t>
      </w:r>
      <w:r w:rsidR="007A34DF">
        <w:t>th</w:t>
      </w:r>
      <w:r w:rsidR="005D5BCF">
        <w:t>e problem with this approach was that equal division between all class members would result in each</w:t>
      </w:r>
      <w:r w:rsidR="00006E18">
        <w:t xml:space="preserve"> member being offered </w:t>
      </w:r>
      <w:r w:rsidR="00F12266">
        <w:t>only</w:t>
      </w:r>
      <w:r w:rsidR="00006E18">
        <w:t xml:space="preserve"> about £4.50</w:t>
      </w:r>
      <w:r w:rsidR="00EC0855">
        <w:t>. So</w:t>
      </w:r>
      <w:r w:rsidR="00006E18">
        <w:t xml:space="preserve"> very few</w:t>
      </w:r>
      <w:r w:rsidR="00332926">
        <w:t>,</w:t>
      </w:r>
      <w:r w:rsidR="00006E18">
        <w:t xml:space="preserve"> </w:t>
      </w:r>
      <w:r w:rsidR="009F6E8D">
        <w:t>if any</w:t>
      </w:r>
      <w:r w:rsidR="00332926">
        <w:t>,</w:t>
      </w:r>
      <w:r w:rsidR="009F6E8D">
        <w:t xml:space="preserve"> </w:t>
      </w:r>
      <w:r w:rsidR="00006E18">
        <w:t>would bother to claim.</w:t>
      </w:r>
      <w:r w:rsidR="002B3581">
        <w:t xml:space="preserve"> </w:t>
      </w:r>
      <w:proofErr w:type="gramStart"/>
      <w:r w:rsidR="006A2A0A">
        <w:t>Thus</w:t>
      </w:r>
      <w:proofErr w:type="gramEnd"/>
      <w:r w:rsidR="002B3581">
        <w:t xml:space="preserve"> </w:t>
      </w:r>
      <w:r w:rsidR="009F6E8D">
        <w:t xml:space="preserve">effectively </w:t>
      </w:r>
      <w:r w:rsidR="002B3581">
        <w:t xml:space="preserve">the whole of the £200 million would remain available for </w:t>
      </w:r>
      <w:r w:rsidR="004F1682">
        <w:t xml:space="preserve">distribution to </w:t>
      </w:r>
      <w:r w:rsidR="002B3581">
        <w:t xml:space="preserve">the claimant. </w:t>
      </w:r>
    </w:p>
    <w:p w14:paraId="637AFD90" w14:textId="29B3884A" w:rsidR="0004109C" w:rsidRDefault="002B3581" w:rsidP="00CF561B">
      <w:pPr>
        <w:pStyle w:val="ParaLevel1"/>
      </w:pPr>
      <w:r>
        <w:t>The claimant submitted</w:t>
      </w:r>
      <w:r w:rsidR="007A2020">
        <w:t xml:space="preserve"> that, by one route or another, it should be awarded £179 million</w:t>
      </w:r>
      <w:r w:rsidR="00FA164F">
        <w:t xml:space="preserve"> of the</w:t>
      </w:r>
      <w:r w:rsidR="00E72310">
        <w:t xml:space="preserve"> </w:t>
      </w:r>
      <w:r w:rsidR="00E2458D">
        <w:t>undistributed</w:t>
      </w:r>
      <w:r w:rsidR="00FA164F">
        <w:t xml:space="preserve"> settlement proceeds</w:t>
      </w:r>
      <w:r w:rsidR="006712E8">
        <w:t>. It said that</w:t>
      </w:r>
      <w:r w:rsidR="00FA164F">
        <w:t xml:space="preserve"> th</w:t>
      </w:r>
      <w:r w:rsidR="004940C0">
        <w:t>is</w:t>
      </w:r>
      <w:r w:rsidR="00FA164F">
        <w:t xml:space="preserve"> corresponded to what had been agreed in </w:t>
      </w:r>
      <w:r w:rsidR="005A0C99">
        <w:t>i</w:t>
      </w:r>
      <w:r w:rsidR="00FA164F">
        <w:t>t</w:t>
      </w:r>
      <w:r w:rsidR="005A0C99">
        <w:t>s</w:t>
      </w:r>
      <w:r w:rsidR="00FA164F">
        <w:t xml:space="preserve"> Litigation Funding Agreement </w:t>
      </w:r>
      <w:r w:rsidR="00BA48A0">
        <w:t xml:space="preserve">with Mr Merricks </w:t>
      </w:r>
      <w:r w:rsidR="004A0D99">
        <w:t xml:space="preserve">as </w:t>
      </w:r>
      <w:r w:rsidR="00555EF3">
        <w:t>its</w:t>
      </w:r>
      <w:r w:rsidR="004A0D99">
        <w:t xml:space="preserve"> agreed minimum return</w:t>
      </w:r>
      <w:r w:rsidR="00555EF3">
        <w:t xml:space="preserve"> </w:t>
      </w:r>
      <w:r w:rsidR="00FA164F">
        <w:t>(</w:t>
      </w:r>
      <w:r w:rsidR="003214B0">
        <w:t xml:space="preserve">i.e. </w:t>
      </w:r>
      <w:r w:rsidR="00BA48A0">
        <w:t>a</w:t>
      </w:r>
      <w:r w:rsidR="003214B0">
        <w:t xml:space="preserve"> total amount of </w:t>
      </w:r>
      <w:r w:rsidR="00772421">
        <w:t xml:space="preserve">just under </w:t>
      </w:r>
      <w:r w:rsidR="003214B0">
        <w:t xml:space="preserve">£60 million which the claimant </w:t>
      </w:r>
      <w:r w:rsidR="0090094F">
        <w:t xml:space="preserve">said it </w:t>
      </w:r>
      <w:r w:rsidR="003214B0">
        <w:t>had agreed to fund</w:t>
      </w:r>
      <w:r w:rsidR="009A4F51">
        <w:t>,</w:t>
      </w:r>
      <w:r w:rsidR="00772421">
        <w:t xml:space="preserve"> multiplied by three)</w:t>
      </w:r>
      <w:r w:rsidR="00BA48A0">
        <w:t xml:space="preserve">. Alternatively, it said that </w:t>
      </w:r>
      <w:r w:rsidR="004940C0">
        <w:t>this</w:t>
      </w:r>
      <w:r w:rsidR="00B20F5F">
        <w:t xml:space="preserve"> </w:t>
      </w:r>
      <w:r w:rsidR="005A2F1B">
        <w:t>was</w:t>
      </w:r>
      <w:r w:rsidR="004940C0">
        <w:t xml:space="preserve"> the market value of t</w:t>
      </w:r>
      <w:r w:rsidR="00FA097A">
        <w:t>he</w:t>
      </w:r>
      <w:r w:rsidR="004940C0">
        <w:t xml:space="preserve"> funding commitment</w:t>
      </w:r>
      <w:r w:rsidR="00FA097A">
        <w:t xml:space="preserve"> which it had provided</w:t>
      </w:r>
      <w:r w:rsidR="00CA6BF7">
        <w:t xml:space="preserve"> (i.e. that its terms</w:t>
      </w:r>
      <w:r w:rsidR="006400CF">
        <w:t xml:space="preserve"> reflected the litigation funding market)</w:t>
      </w:r>
      <w:r w:rsidR="004940C0">
        <w:t>.</w:t>
      </w:r>
      <w:r w:rsidR="00DE402B">
        <w:t xml:space="preserve"> The claimant accepted that</w:t>
      </w:r>
      <w:r w:rsidR="00FA097A">
        <w:t>,</w:t>
      </w:r>
      <w:r w:rsidR="00D7434C">
        <w:t xml:space="preserve"> if this approach was followed,</w:t>
      </w:r>
      <w:r w:rsidR="00DE402B">
        <w:t xml:space="preserve"> </w:t>
      </w:r>
      <w:r w:rsidR="00146891">
        <w:t xml:space="preserve">any undistributed </w:t>
      </w:r>
      <w:r w:rsidR="00B65C96">
        <w:t xml:space="preserve">proceeds out of </w:t>
      </w:r>
      <w:r w:rsidR="00DE402B">
        <w:t xml:space="preserve">the </w:t>
      </w:r>
      <w:r w:rsidR="00B65C96">
        <w:t xml:space="preserve">residue </w:t>
      </w:r>
      <w:r w:rsidR="00DE402B">
        <w:t>of £21 million should go to the Access to Justice Foundation</w:t>
      </w:r>
      <w:r w:rsidR="00B564E6">
        <w:t>, a charity engaged in giving grants to a wide range of organisations providing legal advice or assistance without charge to those in need</w:t>
      </w:r>
      <w:r w:rsidR="00DE402B">
        <w:t>.</w:t>
      </w:r>
    </w:p>
    <w:p w14:paraId="1C39EE97" w14:textId="434A1FF5" w:rsidR="008744D9" w:rsidRDefault="00FE373D" w:rsidP="00CF561B">
      <w:pPr>
        <w:pStyle w:val="ParaLevel1"/>
      </w:pPr>
      <w:r>
        <w:t xml:space="preserve">The </w:t>
      </w:r>
      <w:r w:rsidR="00FB4501">
        <w:t xml:space="preserve">CAT </w:t>
      </w:r>
      <w:r w:rsidR="00511FF6">
        <w:t>rejected th</w:t>
      </w:r>
      <w:r w:rsidR="008412F0">
        <w:t>e cla</w:t>
      </w:r>
      <w:r w:rsidR="00511FF6">
        <w:t>i</w:t>
      </w:r>
      <w:r w:rsidR="008412F0">
        <w:t>mant’</w:t>
      </w:r>
      <w:r w:rsidR="00511FF6">
        <w:t xml:space="preserve">s approach. </w:t>
      </w:r>
      <w:r w:rsidR="008B7256">
        <w:t xml:space="preserve">It </w:t>
      </w:r>
      <w:r w:rsidR="00435A21">
        <w:t>decid</w:t>
      </w:r>
      <w:r w:rsidR="008B7256">
        <w:t>ed that</w:t>
      </w:r>
      <w:r w:rsidR="009A48EA">
        <w:t xml:space="preserve"> the £200 million</w:t>
      </w:r>
      <w:r w:rsidR="008B7256">
        <w:t xml:space="preserve"> should be divided</w:t>
      </w:r>
      <w:r w:rsidR="009A48EA">
        <w:t xml:space="preserve"> into three ‘Pots’. Pot 1, consisting of £100</w:t>
      </w:r>
      <w:r w:rsidR="00EB3753">
        <w:t xml:space="preserve"> million, was to go to the class</w:t>
      </w:r>
      <w:r w:rsidR="004217B0">
        <w:t xml:space="preserve">. </w:t>
      </w:r>
      <w:r w:rsidR="006C6B66">
        <w:t>However, because</w:t>
      </w:r>
      <w:r w:rsidR="00606380">
        <w:t xml:space="preserve"> the</w:t>
      </w:r>
      <w:r w:rsidR="006C6B66">
        <w:t xml:space="preserve"> equal division </w:t>
      </w:r>
      <w:r w:rsidR="007B5B95">
        <w:t xml:space="preserve">of this £100 million </w:t>
      </w:r>
      <w:r w:rsidR="006C6B66">
        <w:t xml:space="preserve">between class members </w:t>
      </w:r>
      <w:r w:rsidR="00D0146F">
        <w:t>would result in minimal take-up,</w:t>
      </w:r>
      <w:r w:rsidR="00EF3523">
        <w:t xml:space="preserve"> </w:t>
      </w:r>
      <w:r w:rsidR="005D7C86">
        <w:t>the CAT</w:t>
      </w:r>
      <w:r w:rsidR="000B0F3A">
        <w:t xml:space="preserve"> </w:t>
      </w:r>
      <w:r w:rsidR="00D0146F">
        <w:t>a</w:t>
      </w:r>
      <w:r w:rsidR="00A7789E">
        <w:t xml:space="preserve">ccepted a proposal by Mr Merricks that each class member taking up the </w:t>
      </w:r>
      <w:r w:rsidR="00A21E3F">
        <w:t xml:space="preserve">settlement offer </w:t>
      </w:r>
      <w:r w:rsidR="006100B5">
        <w:t xml:space="preserve">should </w:t>
      </w:r>
      <w:r w:rsidR="00A21E3F">
        <w:t>receive a minimum of £45</w:t>
      </w:r>
      <w:r w:rsidR="000361EA">
        <w:t>. Statistical advice suggest</w:t>
      </w:r>
      <w:r w:rsidR="00904871">
        <w:t>ed</w:t>
      </w:r>
      <w:r w:rsidR="000361EA">
        <w:t xml:space="preserve"> that this was likely</w:t>
      </w:r>
      <w:r w:rsidR="008267E4">
        <w:t xml:space="preserve"> </w:t>
      </w:r>
      <w:r w:rsidR="00545011">
        <w:t>t</w:t>
      </w:r>
      <w:r w:rsidR="008267E4">
        <w:t>o</w:t>
      </w:r>
      <w:r w:rsidR="00545011">
        <w:t xml:space="preserve"> lead to a take-up </w:t>
      </w:r>
      <w:r w:rsidR="003665C6">
        <w:t>by a</w:t>
      </w:r>
      <w:r w:rsidR="00B16F26">
        <w:t>bout</w:t>
      </w:r>
      <w:r w:rsidR="003665C6">
        <w:t xml:space="preserve"> 5% of the class</w:t>
      </w:r>
      <w:r w:rsidR="002A612C">
        <w:t xml:space="preserve">. </w:t>
      </w:r>
      <w:r w:rsidR="007D2C6A">
        <w:t xml:space="preserve">The CAT described £45 as ‘an appropriate modest sum given the low aggregate amount obtained for the class, but an amount that is likely to be sufficiently high to attract a </w:t>
      </w:r>
      <w:r w:rsidR="007D2C6A">
        <w:lastRenderedPageBreak/>
        <w:t>likely take-up of at least 5% and thus to be achievable out of the total recovery’.</w:t>
      </w:r>
      <w:r w:rsidR="00931141">
        <w:t xml:space="preserve"> Another way of putting the matter</w:t>
      </w:r>
      <w:r w:rsidR="00C04D0F">
        <w:t xml:space="preserve"> would have been to say that the outcome of the litigation</w:t>
      </w:r>
      <w:r w:rsidR="00D62E1F">
        <w:t xml:space="preserve"> for the class was so poor that 95% of the class members were unlikely to bother to take up</w:t>
      </w:r>
      <w:r w:rsidR="008744D9">
        <w:t xml:space="preserve"> the money which was being offered to them.</w:t>
      </w:r>
      <w:r w:rsidR="007741A7">
        <w:t xml:space="preserve"> </w:t>
      </w:r>
    </w:p>
    <w:p w14:paraId="67E6D5AD" w14:textId="1B206B87" w:rsidR="00FF5F5D" w:rsidRDefault="002A612C" w:rsidP="00CF561B">
      <w:pPr>
        <w:pStyle w:val="ParaLevel1"/>
      </w:pPr>
      <w:r>
        <w:t>The CAT recognised that th</w:t>
      </w:r>
      <w:r w:rsidR="00973DB4">
        <w:t>e</w:t>
      </w:r>
      <w:r w:rsidR="002E3FF1">
        <w:t xml:space="preserve"> figure</w:t>
      </w:r>
      <w:r w:rsidR="00973DB4">
        <w:t xml:space="preserve"> of £45</w:t>
      </w:r>
      <w:r w:rsidR="002E3FF1">
        <w:t xml:space="preserve"> would have to be reduced</w:t>
      </w:r>
      <w:r>
        <w:t xml:space="preserve"> if a greater number of class members should submit claims</w:t>
      </w:r>
      <w:r w:rsidR="008D5B4C">
        <w:t>, and that it could be increased if, contrary to expectation, the take-up rate was lower</w:t>
      </w:r>
      <w:r w:rsidR="003665C6">
        <w:t>.</w:t>
      </w:r>
      <w:r w:rsidR="004D6DD7">
        <w:t xml:space="preserve"> In th</w:t>
      </w:r>
      <w:r w:rsidR="00CD57CB">
        <w:t>e l</w:t>
      </w:r>
      <w:r w:rsidR="004D6DD7">
        <w:t>at</w:t>
      </w:r>
      <w:r w:rsidR="00CD57CB">
        <w:t>ter</w:t>
      </w:r>
      <w:r w:rsidR="004D6DD7">
        <w:t xml:space="preserve"> event, the CAT imposed a cap of £70</w:t>
      </w:r>
      <w:r w:rsidR="00236958">
        <w:t xml:space="preserve"> on the amount payable to any individual class member. </w:t>
      </w:r>
    </w:p>
    <w:p w14:paraId="7D5C80F6" w14:textId="28424FF4" w:rsidR="00904871" w:rsidRDefault="00173650" w:rsidP="00CF561B">
      <w:pPr>
        <w:pStyle w:val="ParaLevel1"/>
      </w:pPr>
      <w:r>
        <w:t>The CAT recognised</w:t>
      </w:r>
      <w:r w:rsidR="00473CFF">
        <w:t xml:space="preserve"> that if 5% of the class did submit claims </w:t>
      </w:r>
      <w:r w:rsidR="00843C55">
        <w:t>and were paid £45, that would effectively use up the £100 million in Pot 1.</w:t>
      </w:r>
      <w:r w:rsidR="002E0016">
        <w:t xml:space="preserve"> If 10% of the class were to claim, the whole £200 million would be</w:t>
      </w:r>
      <w:r w:rsidR="003C66AD">
        <w:t xml:space="preserve"> used up, with nothing for the claimant.</w:t>
      </w:r>
      <w:r w:rsidR="004E07E4">
        <w:t xml:space="preserve"> It regarded that potential outcome as unjust</w:t>
      </w:r>
      <w:r w:rsidR="004B7939">
        <w:t xml:space="preserve"> and therefore decided that the amount payable to the claimant </w:t>
      </w:r>
      <w:r w:rsidR="00283069">
        <w:t xml:space="preserve">(which it then went on to consider) </w:t>
      </w:r>
      <w:r w:rsidR="004B7939">
        <w:t>should be ring-fenced</w:t>
      </w:r>
      <w:r w:rsidR="00CC5D14" w:rsidRPr="00CC5D14">
        <w:t xml:space="preserve"> </w:t>
      </w:r>
      <w:r w:rsidR="00CC5D14">
        <w:t xml:space="preserve">so that the </w:t>
      </w:r>
      <w:r w:rsidR="009F3BF0">
        <w:t>claimant</w:t>
      </w:r>
      <w:r w:rsidR="00CC5D14">
        <w:t xml:space="preserve">’s recovery </w:t>
      </w:r>
      <w:r w:rsidR="001110F9">
        <w:t xml:space="preserve">would </w:t>
      </w:r>
      <w:r w:rsidR="00CC5D14">
        <w:t>not depend on the rate of take</w:t>
      </w:r>
      <w:r w:rsidR="004538B9">
        <w:t>-</w:t>
      </w:r>
      <w:r w:rsidR="00CC5D14">
        <w:t>up of the settlement monies by members of the class</w:t>
      </w:r>
      <w:r w:rsidR="004B7939">
        <w:t>:</w:t>
      </w:r>
    </w:p>
    <w:p w14:paraId="60466146" w14:textId="77777777" w:rsidR="00876C61" w:rsidRDefault="00423FAE" w:rsidP="00CF561B">
      <w:pPr>
        <w:pStyle w:val="Quote"/>
      </w:pPr>
      <w:r>
        <w:t>‘</w:t>
      </w:r>
      <w:r w:rsidR="004B7939">
        <w:t>130</w:t>
      </w:r>
      <w:r>
        <w:t>. If, as envisaged,</w:t>
      </w:r>
      <w:r w:rsidR="00FA4C1A">
        <w:t xml:space="preserve"> some 5% of the class (i.e. 2.2 million) should submit claims, then at just over £45 each the payments will total £100 million. However, if 10% should claim</w:t>
      </w:r>
      <w:r w:rsidR="00AC1C19">
        <w:t xml:space="preserve">, then the whole £200 million would be required, with obvious gradation in between. Once this approach is adopted, it would not be appropriate to leave any payment of </w:t>
      </w:r>
      <w:proofErr w:type="spellStart"/>
      <w:r w:rsidR="00AC1C19">
        <w:t>Innsworth’s</w:t>
      </w:r>
      <w:proofErr w:type="spellEnd"/>
      <w:r w:rsidR="00272C57">
        <w:t xml:space="preserve"> return (including reimbursement of its expenditure</w:t>
      </w:r>
      <w:r w:rsidR="005B16C6">
        <w:t xml:space="preserve"> on legal costs and expert’s fees) to be recovered only out of undistributed damages since the </w:t>
      </w:r>
      <w:proofErr w:type="gramStart"/>
      <w:r w:rsidR="005B16C6">
        <w:t>amount</w:t>
      </w:r>
      <w:proofErr w:type="gramEnd"/>
      <w:r w:rsidR="005B16C6">
        <w:t xml:space="preserve"> of undistributed damages may prove insufficient. </w:t>
      </w:r>
      <w:proofErr w:type="gramStart"/>
      <w:r w:rsidR="005B16C6">
        <w:t>Therefore</w:t>
      </w:r>
      <w:proofErr w:type="gramEnd"/>
      <w:r w:rsidR="005B16C6">
        <w:t xml:space="preserve"> we agree that once this approach is followed,</w:t>
      </w:r>
      <w:r w:rsidR="000F35E1">
        <w:t xml:space="preserve"> it is necessary and appropriate to reserve a sum out of the £200 million for payment to </w:t>
      </w:r>
      <w:proofErr w:type="spellStart"/>
      <w:r w:rsidR="000F35E1">
        <w:t>Innsworth</w:t>
      </w:r>
      <w:proofErr w:type="spellEnd"/>
      <w:r w:rsidR="000F35E1">
        <w:t>.</w:t>
      </w:r>
      <w:r w:rsidR="00D53211">
        <w:t xml:space="preserve"> </w:t>
      </w:r>
    </w:p>
    <w:p w14:paraId="04B6BEE7" w14:textId="05C48C48" w:rsidR="004B7939" w:rsidRDefault="00876C61" w:rsidP="00CF561B">
      <w:pPr>
        <w:pStyle w:val="Quote"/>
      </w:pPr>
      <w:r>
        <w:t>131. That is the basis for the proposal for a pot of £100 million to be reserved for CMs. …</w:t>
      </w:r>
      <w:r w:rsidR="000F35E1">
        <w:t>’</w:t>
      </w:r>
    </w:p>
    <w:p w14:paraId="31BC7F22" w14:textId="6239EF65" w:rsidR="00E57DC0" w:rsidRDefault="005D7D99" w:rsidP="00CF561B">
      <w:pPr>
        <w:pStyle w:val="ParaLevel1"/>
      </w:pPr>
      <w:r>
        <w:t>Pot 2</w:t>
      </w:r>
      <w:r w:rsidR="0017085F">
        <w:t xml:space="preserve"> consisted of</w:t>
      </w:r>
      <w:r w:rsidR="006609F2">
        <w:t xml:space="preserve"> the expenditure which the claimant had incurred </w:t>
      </w:r>
      <w:r w:rsidR="00664BE7">
        <w:t xml:space="preserve">and </w:t>
      </w:r>
      <w:r w:rsidR="004538B9">
        <w:t>had yet to</w:t>
      </w:r>
      <w:r w:rsidR="00664BE7">
        <w:t xml:space="preserve"> incur </w:t>
      </w:r>
      <w:r w:rsidR="006609F2">
        <w:t xml:space="preserve">in funding </w:t>
      </w:r>
      <w:r w:rsidR="008F2A99">
        <w:t>the proceeding</w:t>
      </w:r>
      <w:r w:rsidR="0026166A">
        <w:t>s</w:t>
      </w:r>
      <w:r w:rsidR="00C301CC">
        <w:t>.</w:t>
      </w:r>
      <w:r w:rsidR="009450A7">
        <w:t xml:space="preserve"> </w:t>
      </w:r>
      <w:r w:rsidR="00EB2907">
        <w:t>The precise figure for Pot 2 could not be determined, but it amounted to at least the £41 million which had already been spent</w:t>
      </w:r>
      <w:r w:rsidR="006F4BEA">
        <w:t xml:space="preserve"> and,</w:t>
      </w:r>
      <w:r w:rsidR="00E57DC0">
        <w:t xml:space="preserve"> taking account of future commitments, might approach £46 million. </w:t>
      </w:r>
    </w:p>
    <w:p w14:paraId="49FB73D8" w14:textId="4481606F" w:rsidR="00B23E37" w:rsidRDefault="00E57DC0" w:rsidP="00CF561B">
      <w:pPr>
        <w:pStyle w:val="ParaLevel1"/>
      </w:pPr>
      <w:r>
        <w:t xml:space="preserve">That left some </w:t>
      </w:r>
      <w:r w:rsidR="00846BC9">
        <w:t xml:space="preserve">£54 million for Pot 3. </w:t>
      </w:r>
      <w:r w:rsidR="00132527">
        <w:t>The CAT decided that the</w:t>
      </w:r>
      <w:r w:rsidR="00082DB2">
        <w:t xml:space="preserve"> money in this p</w:t>
      </w:r>
      <w:r w:rsidR="00AC59D5">
        <w:t>o</w:t>
      </w:r>
      <w:r w:rsidR="00082DB2">
        <w:t>t should first be used to pay some relatively minor costs and expenses which did not fall within</w:t>
      </w:r>
      <w:r w:rsidR="006C0EFA">
        <w:t xml:space="preserve"> Pot 2. There is no challenge to th</w:t>
      </w:r>
      <w:r w:rsidR="00A8796B">
        <w:t>is</w:t>
      </w:r>
      <w:r w:rsidR="006C0EFA">
        <w:t xml:space="preserve"> </w:t>
      </w:r>
      <w:r w:rsidR="002A48A8">
        <w:t xml:space="preserve">aspect of the </w:t>
      </w:r>
      <w:r w:rsidR="006C0EFA">
        <w:t>decision.</w:t>
      </w:r>
      <w:r w:rsidR="008A06F3">
        <w:t xml:space="preserve"> </w:t>
      </w:r>
      <w:r w:rsidR="00EC4847">
        <w:t xml:space="preserve">It should next be used to pay the claimant </w:t>
      </w:r>
      <w:r w:rsidR="00283439">
        <w:t>a just and reasonable profit on its investment</w:t>
      </w:r>
      <w:r w:rsidR="00FF526D">
        <w:t>.</w:t>
      </w:r>
      <w:r w:rsidR="006A2B7D">
        <w:t xml:space="preserve"> </w:t>
      </w:r>
      <w:proofErr w:type="gramStart"/>
      <w:r w:rsidR="006A2B7D">
        <w:t>F</w:t>
      </w:r>
      <w:r w:rsidR="00ED7C2E">
        <w:t>inally</w:t>
      </w:r>
      <w:proofErr w:type="gramEnd"/>
      <w:r w:rsidR="00ED7C2E">
        <w:t xml:space="preserve"> </w:t>
      </w:r>
      <w:r w:rsidR="006A2B7D">
        <w:t xml:space="preserve">it </w:t>
      </w:r>
      <w:r w:rsidR="00ED7C2E">
        <w:t xml:space="preserve">should be used to supplement Pot 1 </w:t>
      </w:r>
      <w:proofErr w:type="gramStart"/>
      <w:r w:rsidR="00ED7C2E">
        <w:t>in the event that</w:t>
      </w:r>
      <w:proofErr w:type="gramEnd"/>
      <w:r w:rsidR="00ED7C2E">
        <w:t xml:space="preserve"> more than 5% of the class submitted claims</w:t>
      </w:r>
      <w:r w:rsidR="00461FEE">
        <w:t xml:space="preserve">. </w:t>
      </w:r>
      <w:r w:rsidR="00FF526D">
        <w:t>I</w:t>
      </w:r>
      <w:r w:rsidR="00461FEE">
        <w:t xml:space="preserve">f money remained in </w:t>
      </w:r>
      <w:r w:rsidR="009D5BF6">
        <w:t>Pot 3</w:t>
      </w:r>
      <w:r w:rsidR="004B1B02">
        <w:t xml:space="preserve"> (i.e. if it was not taken up by class members)</w:t>
      </w:r>
      <w:r w:rsidR="009D5BF6">
        <w:t>, it should go to the Access to Justice Foundation</w:t>
      </w:r>
      <w:r w:rsidR="00E47FDC">
        <w:t>.</w:t>
      </w:r>
    </w:p>
    <w:p w14:paraId="2880BFE4" w14:textId="10A2E6DE" w:rsidR="00660D8A" w:rsidRPr="00EE0D00" w:rsidRDefault="00EE0D00" w:rsidP="00CF561B">
      <w:pPr>
        <w:pStyle w:val="ParaLevel1"/>
        <w:numPr>
          <w:ilvl w:val="0"/>
          <w:numId w:val="0"/>
        </w:numPr>
        <w:rPr>
          <w:b/>
          <w:bCs/>
        </w:rPr>
      </w:pPr>
      <w:r>
        <w:rPr>
          <w:b/>
          <w:bCs/>
        </w:rPr>
        <w:t>The CAT’s decision on the claimant’s profit</w:t>
      </w:r>
    </w:p>
    <w:p w14:paraId="01FC0F50" w14:textId="7511F680" w:rsidR="00E57DC0" w:rsidRDefault="0084733E" w:rsidP="00CF561B">
      <w:pPr>
        <w:pStyle w:val="ParaLevel1"/>
      </w:pPr>
      <w:r>
        <w:t>T</w:t>
      </w:r>
      <w:r w:rsidR="009D678B">
        <w:t xml:space="preserve">hat left the question, </w:t>
      </w:r>
      <w:r>
        <w:t xml:space="preserve">what would be a just and reasonable profit for the claimant? </w:t>
      </w:r>
      <w:r w:rsidR="003649AC">
        <w:t>The CAT</w:t>
      </w:r>
      <w:r w:rsidR="008A2375">
        <w:t xml:space="preserve"> began its analysis by recognising that a balance</w:t>
      </w:r>
      <w:r w:rsidR="00E215CD">
        <w:t xml:space="preserve"> had to be struck</w:t>
      </w:r>
      <w:r w:rsidR="008A2375">
        <w:t xml:space="preserve"> between the </w:t>
      </w:r>
      <w:r w:rsidR="008A2375">
        <w:lastRenderedPageBreak/>
        <w:t>interests of class members</w:t>
      </w:r>
      <w:r w:rsidR="00E215CD">
        <w:t xml:space="preserve"> </w:t>
      </w:r>
      <w:r w:rsidR="00C05049">
        <w:t>and the need</w:t>
      </w:r>
      <w:r w:rsidR="001E56C9">
        <w:t xml:space="preserve"> to provide fair remuneration </w:t>
      </w:r>
      <w:r w:rsidR="00034423">
        <w:t>for a funder without whose participation the collective proceedings regime could not function effectively</w:t>
      </w:r>
      <w:r w:rsidR="00520CB5">
        <w:t>:</w:t>
      </w:r>
    </w:p>
    <w:p w14:paraId="205E9375" w14:textId="619341EF" w:rsidR="00520CB5" w:rsidRDefault="00520CB5" w:rsidP="00CF561B">
      <w:pPr>
        <w:pStyle w:val="Quote"/>
      </w:pPr>
      <w:r>
        <w:t>‘12</w:t>
      </w:r>
      <w:r w:rsidR="00A06E01">
        <w:t>1</w:t>
      </w:r>
      <w:r>
        <w:t>. We regard it as fundamental that the collective proceedings regime should operate for the benefit of</w:t>
      </w:r>
      <w:r w:rsidR="00136571">
        <w:t xml:space="preserve"> CMs and not primarily for the benefit of lawyers and funders. At the same time, the regime could not function effectively without the CR having good legal representation</w:t>
      </w:r>
      <w:r w:rsidR="000E2E55">
        <w:t xml:space="preserve"> and commercial litigation funding to pay for it. That presents a particular challenge when, as in the present case, the damages recovered are so very far below the amount envisaged when the proceedings were launched.</w:t>
      </w:r>
      <w:r w:rsidR="00A06300">
        <w:t xml:space="preserve"> …’</w:t>
      </w:r>
    </w:p>
    <w:p w14:paraId="00C6124B" w14:textId="67598E60" w:rsidR="008D67E8" w:rsidRDefault="00D75604" w:rsidP="00CF561B">
      <w:pPr>
        <w:pStyle w:val="ParaLevel1"/>
      </w:pPr>
      <w:r>
        <w:t>The CAT noted that it had</w:t>
      </w:r>
      <w:r w:rsidR="002B5979">
        <w:t xml:space="preserve"> a broad discretion to determine the funder’s return</w:t>
      </w:r>
      <w:r w:rsidR="008D67E8">
        <w:t xml:space="preserve"> in the exercise of its wide supervisory jurisdiction over collective proceedings.</w:t>
      </w:r>
      <w:r w:rsidR="00286761">
        <w:t xml:space="preserve"> </w:t>
      </w:r>
      <w:r w:rsidR="001672FA">
        <w:t xml:space="preserve">It identified </w:t>
      </w:r>
      <w:proofErr w:type="gramStart"/>
      <w:r w:rsidR="001672FA">
        <w:t>a number of</w:t>
      </w:r>
      <w:proofErr w:type="gramEnd"/>
      <w:r w:rsidR="001672FA">
        <w:t xml:space="preserve"> factors</w:t>
      </w:r>
      <w:r w:rsidR="00ED25C7">
        <w:t xml:space="preserve"> to be </w:t>
      </w:r>
      <w:proofErr w:type="gramStart"/>
      <w:r w:rsidR="00ED25C7">
        <w:t>taken into account</w:t>
      </w:r>
      <w:proofErr w:type="gramEnd"/>
      <w:r w:rsidR="00ED25C7">
        <w:t>, as follows:</w:t>
      </w:r>
    </w:p>
    <w:p w14:paraId="38A9108D" w14:textId="7E235C09" w:rsidR="00422CAD" w:rsidRDefault="00ED25C7" w:rsidP="00CF561B">
      <w:pPr>
        <w:pStyle w:val="ParaLevel1"/>
        <w:numPr>
          <w:ilvl w:val="0"/>
          <w:numId w:val="15"/>
        </w:numPr>
      </w:pPr>
      <w:r>
        <w:t>The claim against Mastercard</w:t>
      </w:r>
      <w:r w:rsidR="00542B87">
        <w:t xml:space="preserve"> involved significant risk, with a vast class, claiming for an extended period. The claim was ‘highly ambitious</w:t>
      </w:r>
      <w:r w:rsidR="00A31BEE">
        <w:t xml:space="preserve"> in terms of the causal link</w:t>
      </w:r>
      <w:r w:rsidR="00542B87">
        <w:t>’</w:t>
      </w:r>
      <w:r w:rsidR="00A31BEE">
        <w:t xml:space="preserve"> (that is to say,</w:t>
      </w:r>
      <w:r w:rsidR="00025924">
        <w:t xml:space="preserve"> it would </w:t>
      </w:r>
      <w:r w:rsidR="00AF177A">
        <w:t>have been</w:t>
      </w:r>
      <w:r w:rsidR="00025924">
        <w:t xml:space="preserve"> hard to prove that the unlawful conduct had caused any loss</w:t>
      </w:r>
      <w:r w:rsidR="00F209AA">
        <w:t xml:space="preserve"> to class members</w:t>
      </w:r>
      <w:r w:rsidR="00025924">
        <w:t>).</w:t>
      </w:r>
    </w:p>
    <w:p w14:paraId="1891A1B8" w14:textId="0F9C8325" w:rsidR="00ED25C7" w:rsidRDefault="00CD2CFB" w:rsidP="00CF561B">
      <w:pPr>
        <w:pStyle w:val="ParaLevel1"/>
        <w:numPr>
          <w:ilvl w:val="0"/>
          <w:numId w:val="15"/>
        </w:numPr>
      </w:pPr>
      <w:r>
        <w:t>The value of the claimant’s notional funding commitment was about £54.85 million, a very significant sum</w:t>
      </w:r>
      <w:r w:rsidR="005E60AD">
        <w:t>, with</w:t>
      </w:r>
      <w:r w:rsidR="005E60AD" w:rsidRPr="005E60AD">
        <w:t xml:space="preserve"> </w:t>
      </w:r>
      <w:r w:rsidR="005E60AD">
        <w:t>actual expenditure anticipated to be about £46 million</w:t>
      </w:r>
      <w:r>
        <w:t>.</w:t>
      </w:r>
      <w:r w:rsidR="00542B87">
        <w:t xml:space="preserve"> </w:t>
      </w:r>
    </w:p>
    <w:p w14:paraId="3480461C" w14:textId="7782B0D0" w:rsidR="00C4145B" w:rsidRDefault="002721B0" w:rsidP="00CF561B">
      <w:pPr>
        <w:pStyle w:val="ParaLevel1"/>
        <w:numPr>
          <w:ilvl w:val="0"/>
          <w:numId w:val="15"/>
        </w:numPr>
      </w:pPr>
      <w:r>
        <w:t>The outcome</w:t>
      </w:r>
      <w:r w:rsidR="006034E5">
        <w:t xml:space="preserve"> of the litigation was ‘very far from a success for a class of some 44 million claimants</w:t>
      </w:r>
      <w:r w:rsidR="00657E14">
        <w:t xml:space="preserve">’, </w:t>
      </w:r>
      <w:r w:rsidR="00AF3523">
        <w:t xml:space="preserve">and represented </w:t>
      </w:r>
      <w:r w:rsidR="00657E14">
        <w:t xml:space="preserve">just over 1.4% of the original value placed on the claim as </w:t>
      </w:r>
      <w:proofErr w:type="gramStart"/>
      <w:r w:rsidR="00657E14">
        <w:t>at</w:t>
      </w:r>
      <w:proofErr w:type="gramEnd"/>
      <w:r w:rsidR="00657E14">
        <w:t xml:space="preserve"> September 2016.</w:t>
      </w:r>
      <w:r w:rsidR="008E4DDE">
        <w:t xml:space="preserve"> As the</w:t>
      </w:r>
      <w:r w:rsidR="004B4819">
        <w:t xml:space="preserve"> CAT put it, ‘some cases will not fail altogether but achieve a very poor result</w:t>
      </w:r>
      <w:r w:rsidR="00392757">
        <w:t>. This case is one of them.’</w:t>
      </w:r>
    </w:p>
    <w:p w14:paraId="180B2EE9" w14:textId="3296B4A4" w:rsidR="00393FCF" w:rsidRDefault="00E602BB" w:rsidP="00CF561B">
      <w:pPr>
        <w:pStyle w:val="ParaLevel1"/>
        <w:numPr>
          <w:ilvl w:val="0"/>
          <w:numId w:val="15"/>
        </w:numPr>
      </w:pPr>
      <w:r>
        <w:t>Like all funders, the claimant operated on a portfolio basis.</w:t>
      </w:r>
      <w:r w:rsidR="00B02288">
        <w:t xml:space="preserve"> Some cases would fail and the claimant would lose its investment; in other cases which were largely or wholly successful, it would stand to make a very significant return</w:t>
      </w:r>
      <w:r w:rsidR="003C0920">
        <w:t>.</w:t>
      </w:r>
    </w:p>
    <w:p w14:paraId="5A91F728" w14:textId="36EE1AA9" w:rsidR="006E1938" w:rsidRPr="00DE1C2E" w:rsidRDefault="00940359" w:rsidP="00CF561B">
      <w:pPr>
        <w:pStyle w:val="ParaLevel1"/>
        <w:numPr>
          <w:ilvl w:val="0"/>
          <w:numId w:val="15"/>
        </w:numPr>
      </w:pPr>
      <w:r>
        <w:t>Although the claimant had refused</w:t>
      </w:r>
      <w:r w:rsidR="00D8463A">
        <w:t xml:space="preserve"> to disclose </w:t>
      </w:r>
      <w:r w:rsidR="00EF4F0D">
        <w:t xml:space="preserve">any information about the return on investment which </w:t>
      </w:r>
      <w:r w:rsidR="006E1938">
        <w:t xml:space="preserve">it </w:t>
      </w:r>
      <w:r w:rsidR="00EF4F0D">
        <w:t>usually achieved,</w:t>
      </w:r>
      <w:r w:rsidR="00676D2F">
        <w:t xml:space="preserve"> </w:t>
      </w:r>
      <w:r w:rsidR="006D4535">
        <w:t xml:space="preserve">evidence from </w:t>
      </w:r>
      <w:r w:rsidR="00676D2F">
        <w:t>Australian case law</w:t>
      </w:r>
      <w:r w:rsidR="00F37460">
        <w:t xml:space="preserve"> </w:t>
      </w:r>
      <w:r w:rsidR="00332FDE">
        <w:t xml:space="preserve">suggested that </w:t>
      </w:r>
      <w:r w:rsidR="00F37460">
        <w:t xml:space="preserve">a return on investment (or ROI) </w:t>
      </w:r>
      <w:r w:rsidR="00E57D1D">
        <w:t xml:space="preserve">of </w:t>
      </w:r>
      <w:r w:rsidR="002D5E4A">
        <w:t xml:space="preserve">between </w:t>
      </w:r>
      <w:r w:rsidR="00E57D1D">
        <w:t>1.</w:t>
      </w:r>
      <w:r w:rsidR="002D5E4A">
        <w:t>2 and 1.9</w:t>
      </w:r>
      <w:r w:rsidR="00E57D1D">
        <w:t xml:space="preserve"> was </w:t>
      </w:r>
      <w:r w:rsidR="00FB7371">
        <w:t xml:space="preserve">typical </w:t>
      </w:r>
      <w:r w:rsidR="006E1938">
        <w:t xml:space="preserve">for one </w:t>
      </w:r>
      <w:r w:rsidR="006E1938" w:rsidRPr="00DE1C2E">
        <w:t>substantial litigation funder</w:t>
      </w:r>
      <w:r w:rsidR="00DA2B07" w:rsidRPr="00DE1C2E">
        <w:t xml:space="preserve">, </w:t>
      </w:r>
      <w:r w:rsidR="00DE1C2E" w:rsidRPr="00DE1C2E">
        <w:t>although the ROI could be as high as 9.0.</w:t>
      </w:r>
      <w:r w:rsidR="006E1938" w:rsidRPr="00DE1C2E">
        <w:t xml:space="preserve"> </w:t>
      </w:r>
    </w:p>
    <w:p w14:paraId="2D2CCB43" w14:textId="275F21A8" w:rsidR="001B358E" w:rsidRDefault="001B358E" w:rsidP="00CF561B">
      <w:pPr>
        <w:pStyle w:val="ParaLevel1"/>
      </w:pPr>
      <w:r>
        <w:t>Having identified these factors, t</w:t>
      </w:r>
      <w:r w:rsidR="004449D4">
        <w:t>he CAT</w:t>
      </w:r>
      <w:r>
        <w:t xml:space="preserve"> stated its conclusion as follows:</w:t>
      </w:r>
    </w:p>
    <w:p w14:paraId="6F5EA2B3" w14:textId="75BF5B68" w:rsidR="00157FFC" w:rsidRDefault="001B358E" w:rsidP="00CF561B">
      <w:pPr>
        <w:pStyle w:val="Quote"/>
      </w:pPr>
      <w:r>
        <w:t>‘188. On</w:t>
      </w:r>
      <w:r w:rsidR="00485B2C">
        <w:t xml:space="preserve"> that basis, in our judgment a ROI of 1.5 is here </w:t>
      </w:r>
      <w:r w:rsidR="00E57D1D">
        <w:t xml:space="preserve">appropriate, </w:t>
      </w:r>
      <w:r w:rsidR="00B023FF">
        <w:t xml:space="preserve">taking account of </w:t>
      </w:r>
      <w:proofErr w:type="gramStart"/>
      <w:r w:rsidR="00B023FF">
        <w:t>all of</w:t>
      </w:r>
      <w:proofErr w:type="gramEnd"/>
      <w:r w:rsidR="00B023FF">
        <w:t xml:space="preserve"> the above factors, and </w:t>
      </w:r>
      <w:r w:rsidR="00E57D1D">
        <w:t>recognising the significant risk but reflecting also the poor outcome</w:t>
      </w:r>
      <w:r w:rsidR="00B21504">
        <w:t>. If the reimbursement of costs and expenses (i.e. Pot 2)</w:t>
      </w:r>
      <w:r w:rsidR="00270CB4">
        <w:t xml:space="preserve"> should amount to £45.5 million pounds as estimated in the Application, then,</w:t>
      </w:r>
      <w:r w:rsidR="00837732">
        <w:t xml:space="preserve"> applying a ROI of 1.5</w:t>
      </w:r>
      <w:r w:rsidR="00270CB4">
        <w:t xml:space="preserve"> </w:t>
      </w:r>
      <w:r w:rsidR="00837732">
        <w:t xml:space="preserve">will provide </w:t>
      </w:r>
      <w:proofErr w:type="spellStart"/>
      <w:r w:rsidR="00837732">
        <w:t>Innsworth</w:t>
      </w:r>
      <w:proofErr w:type="spellEnd"/>
      <w:r w:rsidR="00B074C6">
        <w:t xml:space="preserve"> with a total return of £68 million.</w:t>
      </w:r>
      <w:r w:rsidR="00332FDE">
        <w:t xml:space="preserve">’ </w:t>
      </w:r>
    </w:p>
    <w:p w14:paraId="4AA24CDA" w14:textId="3B5D5F38" w:rsidR="002B28AD" w:rsidRDefault="0055321D" w:rsidP="00CF561B">
      <w:pPr>
        <w:pStyle w:val="ParaLevel1"/>
      </w:pPr>
      <w:proofErr w:type="gramStart"/>
      <w:r>
        <w:t>Thus</w:t>
      </w:r>
      <w:proofErr w:type="gramEnd"/>
      <w:r>
        <w:t xml:space="preserve"> the profit for the claimant w</w:t>
      </w:r>
      <w:r w:rsidR="002B28AD">
        <w:t>as</w:t>
      </w:r>
      <w:r w:rsidR="003664A6">
        <w:t xml:space="preserve"> </w:t>
      </w:r>
      <w:r w:rsidR="002B28AD">
        <w:t>expected t</w:t>
      </w:r>
      <w:r w:rsidR="003664A6">
        <w:t>o</w:t>
      </w:r>
      <w:r>
        <w:t xml:space="preserve"> be </w:t>
      </w:r>
      <w:r w:rsidR="00181759">
        <w:t xml:space="preserve">about £22.5 million or </w:t>
      </w:r>
      <w:r w:rsidR="00A27C66">
        <w:t>11.</w:t>
      </w:r>
      <w:r w:rsidR="002B28AD">
        <w:t>25% of the settlement proceeds.</w:t>
      </w:r>
    </w:p>
    <w:p w14:paraId="3070236C" w14:textId="4922A74E" w:rsidR="00D56A1F" w:rsidRDefault="00B73CE3" w:rsidP="00CF561B">
      <w:pPr>
        <w:pStyle w:val="ParaLevel1"/>
      </w:pPr>
      <w:r>
        <w:lastRenderedPageBreak/>
        <w:t xml:space="preserve">It is apparent that </w:t>
      </w:r>
      <w:r w:rsidR="009167CA">
        <w:t>this</w:t>
      </w:r>
      <w:r>
        <w:t xml:space="preserve"> refer</w:t>
      </w:r>
      <w:r w:rsidR="009167CA">
        <w:t>ence</w:t>
      </w:r>
      <w:r>
        <w:t xml:space="preserve"> to the ROI</w:t>
      </w:r>
      <w:r w:rsidR="00E15691">
        <w:t xml:space="preserve"> </w:t>
      </w:r>
      <w:r w:rsidR="00387B7C">
        <w:t xml:space="preserve">was </w:t>
      </w:r>
      <w:r w:rsidR="009167CA">
        <w:t xml:space="preserve">a </w:t>
      </w:r>
      <w:r w:rsidR="00387B7C">
        <w:t>refer</w:t>
      </w:r>
      <w:r w:rsidR="009167CA">
        <w:t>ence</w:t>
      </w:r>
      <w:r w:rsidR="00387B7C">
        <w:t xml:space="preserve"> to the claimant’s </w:t>
      </w:r>
      <w:r w:rsidR="00E15691">
        <w:t xml:space="preserve">total return </w:t>
      </w:r>
      <w:r w:rsidR="003E4937">
        <w:t xml:space="preserve">(i.e. </w:t>
      </w:r>
      <w:r w:rsidR="009553C8">
        <w:t xml:space="preserve">expenditure plus profit) </w:t>
      </w:r>
      <w:r w:rsidR="00E15691" w:rsidRPr="00922A0A">
        <w:t>as a multiple</w:t>
      </w:r>
      <w:r w:rsidR="003E4937" w:rsidRPr="00922A0A">
        <w:t xml:space="preserve"> </w:t>
      </w:r>
      <w:r w:rsidR="003E4937">
        <w:t xml:space="preserve">of the </w:t>
      </w:r>
      <w:r w:rsidR="00A62094">
        <w:t>expenditure</w:t>
      </w:r>
      <w:r w:rsidR="00E426BB">
        <w:t>. It was</w:t>
      </w:r>
      <w:r w:rsidR="00135184">
        <w:t xml:space="preserve"> not just </w:t>
      </w:r>
      <w:r w:rsidR="00E426BB">
        <w:t xml:space="preserve">referring to </w:t>
      </w:r>
      <w:r w:rsidR="00135184">
        <w:t>the profit</w:t>
      </w:r>
      <w:r w:rsidR="003E4937">
        <w:t>.</w:t>
      </w:r>
      <w:r w:rsidR="00135184">
        <w:t xml:space="preserve"> </w:t>
      </w:r>
      <w:r w:rsidR="00514BC0">
        <w:t>Thus</w:t>
      </w:r>
      <w:r w:rsidR="00D56A1F">
        <w:t>:</w:t>
      </w:r>
    </w:p>
    <w:p w14:paraId="009CCE49" w14:textId="70040FE7" w:rsidR="007A2E87" w:rsidRDefault="007A2E87" w:rsidP="00CF561B">
      <w:pPr>
        <w:pStyle w:val="Quote"/>
      </w:pPr>
      <w:r>
        <w:t xml:space="preserve">Expenditure </w:t>
      </w:r>
      <w:r w:rsidR="001A311B">
        <w:t>(</w:t>
      </w:r>
      <w:r w:rsidR="00A84D19">
        <w:t>£45.5 m</w:t>
      </w:r>
      <w:r w:rsidR="001A311B">
        <w:t xml:space="preserve">) </w:t>
      </w:r>
      <w:r w:rsidR="00921EC3">
        <w:t xml:space="preserve">x 1.5 = Total return </w:t>
      </w:r>
      <w:r w:rsidR="00E737E5">
        <w:t>of £68</w:t>
      </w:r>
      <w:r w:rsidR="003642C2">
        <w:t>.2</w:t>
      </w:r>
      <w:r w:rsidR="00E737E5">
        <w:t xml:space="preserve"> m</w:t>
      </w:r>
      <w:r w:rsidR="00A84D19">
        <w:t xml:space="preserve"> </w:t>
      </w:r>
    </w:p>
    <w:p w14:paraId="6DA43AC4" w14:textId="6A36F553" w:rsidR="00940359" w:rsidRDefault="00135184" w:rsidP="00CF561B">
      <w:pPr>
        <w:pStyle w:val="ParaLevel1"/>
      </w:pPr>
      <w:r>
        <w:t xml:space="preserve">Whether that was a correct understanding of the Australian case law </w:t>
      </w:r>
      <w:r w:rsidR="002B2756">
        <w:t xml:space="preserve">to which the CAT referred </w:t>
      </w:r>
      <w:r>
        <w:t>is one of the issues arising on this judicial review</w:t>
      </w:r>
      <w:r w:rsidR="006449AA">
        <w:t>.</w:t>
      </w:r>
    </w:p>
    <w:p w14:paraId="7EB1006A" w14:textId="47C91659" w:rsidR="00EB2EE9" w:rsidRDefault="00EB2EE9" w:rsidP="00CF561B">
      <w:pPr>
        <w:pStyle w:val="ParaLevel1"/>
      </w:pPr>
      <w:proofErr w:type="gramStart"/>
      <w:r>
        <w:t xml:space="preserve">It is </w:t>
      </w:r>
      <w:r w:rsidR="008D4AA0">
        <w:t>clear</w:t>
      </w:r>
      <w:r>
        <w:t xml:space="preserve"> that the</w:t>
      </w:r>
      <w:proofErr w:type="gramEnd"/>
      <w:r>
        <w:t xml:space="preserve"> CAT regard</w:t>
      </w:r>
      <w:r w:rsidR="00C366B6">
        <w:t>ed</w:t>
      </w:r>
      <w:r>
        <w:t xml:space="preserve"> the outcome</w:t>
      </w:r>
      <w:r w:rsidR="000930B4">
        <w:t xml:space="preserve"> of the litigation as </w:t>
      </w:r>
      <w:r w:rsidR="008A71E9">
        <w:t xml:space="preserve">‘poor’ or </w:t>
      </w:r>
      <w:r w:rsidR="000930B4">
        <w:t>‘very poor’</w:t>
      </w:r>
      <w:r w:rsidR="00BD76EF">
        <w:t xml:space="preserve"> for the class</w:t>
      </w:r>
      <w:r w:rsidR="00C43B21">
        <w:t>. This is</w:t>
      </w:r>
      <w:r w:rsidR="000930B4">
        <w:t xml:space="preserve"> </w:t>
      </w:r>
      <w:r w:rsidR="000D71AD">
        <w:t>a view which has not been challenged in these proceedings</w:t>
      </w:r>
      <w:r w:rsidR="0058273E">
        <w:t>. It is a view</w:t>
      </w:r>
      <w:r w:rsidR="000D71AD">
        <w:t xml:space="preserve"> which the CAT was entitled to reach</w:t>
      </w:r>
      <w:r w:rsidR="00C43B21">
        <w:t>. It w</w:t>
      </w:r>
      <w:r w:rsidR="000D71AD">
        <w:t xml:space="preserve">as </w:t>
      </w:r>
      <w:r w:rsidR="00C43B21">
        <w:t xml:space="preserve">clearly </w:t>
      </w:r>
      <w:r w:rsidR="000D71AD">
        <w:t>the principal driver</w:t>
      </w:r>
      <w:r w:rsidR="007F030A">
        <w:t xml:space="preserve"> of the CAT’s conclusion that the claimant’s profit should not exceed 50%</w:t>
      </w:r>
      <w:r w:rsidR="00C366B6">
        <w:t xml:space="preserve"> of the expenditure which it had incurred.</w:t>
      </w:r>
      <w:r w:rsidR="00135561">
        <w:t xml:space="preserve"> </w:t>
      </w:r>
      <w:r w:rsidR="00CB3763">
        <w:t>The CAT</w:t>
      </w:r>
      <w:r w:rsidR="00135561">
        <w:t xml:space="preserve"> </w:t>
      </w:r>
      <w:r w:rsidR="00D40251">
        <w:t>mad</w:t>
      </w:r>
      <w:r w:rsidR="00135561">
        <w:t>e this point repeatedly, not only</w:t>
      </w:r>
      <w:r w:rsidR="00CB03CA">
        <w:t xml:space="preserve"> in the passages to which I have already drawn attention,</w:t>
      </w:r>
      <w:r w:rsidR="000473B1">
        <w:t xml:space="preserve"> but elsewhere also</w:t>
      </w:r>
      <w:r w:rsidR="00100573">
        <w:t xml:space="preserve"> (my emphasis)</w:t>
      </w:r>
      <w:r w:rsidR="000473B1">
        <w:t>:</w:t>
      </w:r>
    </w:p>
    <w:p w14:paraId="263E4BA7" w14:textId="135B4065" w:rsidR="00D40251" w:rsidRDefault="000473B1" w:rsidP="00CF561B">
      <w:pPr>
        <w:pStyle w:val="Quote"/>
      </w:pPr>
      <w:r>
        <w:t>‘184. Mr Béar</w:t>
      </w:r>
      <w:r w:rsidR="00BC08DB">
        <w:t xml:space="preserve"> relied on the passages in the </w:t>
      </w:r>
      <w:r w:rsidR="00BC08DB" w:rsidRPr="00BC08DB">
        <w:rPr>
          <w:i/>
          <w:iCs/>
        </w:rPr>
        <w:t>Street</w:t>
      </w:r>
      <w:r w:rsidR="00BC08DB">
        <w:t xml:space="preserve"> judgment on the danger of engaging in hindsight bias when assessing a funder</w:t>
      </w:r>
      <w:r w:rsidR="00B76C21">
        <w:t>’</w:t>
      </w:r>
      <w:r w:rsidR="00BC08DB">
        <w:t xml:space="preserve">s return. The need to avoid such bias was indeed expressed by the full Federal Court of Australia in </w:t>
      </w:r>
      <w:r w:rsidR="00BC08DB" w:rsidRPr="00BC08DB">
        <w:rPr>
          <w:i/>
          <w:iCs/>
        </w:rPr>
        <w:t>Money Max</w:t>
      </w:r>
      <w:r w:rsidR="00F40FD0">
        <w:t xml:space="preserve">: para 170 above. </w:t>
      </w:r>
      <w:r w:rsidR="00F40FD0" w:rsidRPr="00100573">
        <w:rPr>
          <w:i/>
          <w:iCs/>
        </w:rPr>
        <w:t>But at the same time the return cannot disregard the degree of success or failure of the proceedings</w:t>
      </w:r>
      <w:r w:rsidR="006B4BF8">
        <w:t xml:space="preserve">. We see nothing in Murphy J’s judgment in </w:t>
      </w:r>
      <w:r w:rsidR="006B4BF8" w:rsidRPr="006B4BF8">
        <w:rPr>
          <w:i/>
          <w:iCs/>
        </w:rPr>
        <w:t>Street</w:t>
      </w:r>
      <w:r w:rsidR="006B4BF8">
        <w:t xml:space="preserve"> to weaken the observations made by the same judge in </w:t>
      </w:r>
      <w:r w:rsidR="006B4BF8" w:rsidRPr="006B4BF8">
        <w:rPr>
          <w:i/>
          <w:iCs/>
        </w:rPr>
        <w:t>Petersen</w:t>
      </w:r>
      <w:r w:rsidR="006B4BF8">
        <w:t>,</w:t>
      </w:r>
      <w:r w:rsidR="001E730B">
        <w:t xml:space="preserve"> when scrutinising the proposed settlement of a class action arising out of a fraudulent Ponzi scheme. He </w:t>
      </w:r>
      <w:r w:rsidR="00C0540A">
        <w:t xml:space="preserve">there </w:t>
      </w:r>
      <w:r w:rsidR="001E730B">
        <w:t xml:space="preserve">said, at [5]-[6]: </w:t>
      </w:r>
    </w:p>
    <w:p w14:paraId="4FBB173D" w14:textId="77777777" w:rsidR="00E91983" w:rsidRDefault="001E730B" w:rsidP="00CF561B">
      <w:pPr>
        <w:pStyle w:val="Quote"/>
        <w:ind w:left="1701"/>
      </w:pPr>
      <w:r>
        <w:t>“</w:t>
      </w:r>
      <w:r w:rsidR="006B58D5">
        <w:t xml:space="preserve">The Part IVA regime is intended to provide access to justice to the applicant and class </w:t>
      </w:r>
      <w:proofErr w:type="gramStart"/>
      <w:r w:rsidR="006B58D5">
        <w:t>members</w:t>
      </w:r>
      <w:proofErr w:type="gramEnd"/>
      <w:r w:rsidR="006B58D5">
        <w:t xml:space="preserve"> and it is not intended solely for the benefit of service providers such as lawyers and funders.</w:t>
      </w:r>
      <w:r w:rsidR="00C759D1">
        <w:t xml:space="preserve"> </w:t>
      </w:r>
      <w:r w:rsidR="00C759D1" w:rsidRPr="00BF21DC">
        <w:rPr>
          <w:i/>
          <w:iCs/>
        </w:rPr>
        <w:t>The legitimate use of the Court’s processes should not be undermined by proceedings that disproportionately benefit the funder and/or solicitor rather than the litigants</w:t>
      </w:r>
      <w:r w:rsidR="00C759D1">
        <w:t xml:space="preserve">. </w:t>
      </w:r>
    </w:p>
    <w:p w14:paraId="695E3148" w14:textId="28F96D2E" w:rsidR="000473B1" w:rsidRDefault="00C759D1" w:rsidP="00CF561B">
      <w:pPr>
        <w:pStyle w:val="Quote"/>
        <w:ind w:left="1701"/>
      </w:pPr>
      <w:r>
        <w:t xml:space="preserve">For the reasons I explain, in the </w:t>
      </w:r>
      <w:proofErr w:type="gramStart"/>
      <w:r>
        <w:t>particular circumstances</w:t>
      </w:r>
      <w:proofErr w:type="gramEnd"/>
      <w:r>
        <w:t xml:space="preserve"> of the case, it is appropriate to approve the settlement but to disallow a substantial amount of the legal costs</w:t>
      </w:r>
      <w:r w:rsidR="00A75DDD">
        <w:t xml:space="preserve"> and funding charges sought”.’</w:t>
      </w:r>
    </w:p>
    <w:p w14:paraId="3208B4F8" w14:textId="43B66AE7" w:rsidR="002C0FD6" w:rsidRDefault="002C0FD6" w:rsidP="00CF561B">
      <w:pPr>
        <w:pStyle w:val="ParaLevel1"/>
      </w:pPr>
      <w:r>
        <w:t>The CAT</w:t>
      </w:r>
      <w:r w:rsidR="00B87B43">
        <w:t xml:space="preserve"> returned to this point at the end of its judgment</w:t>
      </w:r>
      <w:r w:rsidR="004C4493">
        <w:t>. It explained that the distribution which it had ordered w</w:t>
      </w:r>
      <w:r w:rsidR="008175FF">
        <w:t>ould not set a precedent in all cases. Rather,</w:t>
      </w:r>
      <w:r w:rsidR="007142CD">
        <w:t xml:space="preserve"> the poor outcome</w:t>
      </w:r>
      <w:r w:rsidR="008F67BD">
        <w:t xml:space="preserve"> in the present case did not reflect the public policy purposes of collective proceedings</w:t>
      </w:r>
      <w:r w:rsidR="00031643">
        <w:t xml:space="preserve"> and the return for the funder had to recognise</w:t>
      </w:r>
      <w:r w:rsidR="008A4859">
        <w:t xml:space="preserve"> this</w:t>
      </w:r>
      <w:r w:rsidR="00B87B43">
        <w:t>:</w:t>
      </w:r>
    </w:p>
    <w:p w14:paraId="6E03678E" w14:textId="5327E3D0" w:rsidR="00B87B43" w:rsidRPr="002C0FD6" w:rsidRDefault="00B87B43" w:rsidP="00CF561B">
      <w:pPr>
        <w:pStyle w:val="Quote"/>
      </w:pPr>
      <w:r>
        <w:t xml:space="preserve">‘208. </w:t>
      </w:r>
      <w:r w:rsidR="00B85028">
        <w:t>We e</w:t>
      </w:r>
      <w:r>
        <w:t>mphasise that the approach to settlement set out in this judgment</w:t>
      </w:r>
      <w:r w:rsidR="009800DA">
        <w:t xml:space="preserve"> is determined by the exceptional circumstances of this case, where the settlement is at an extraordinarily low proportion (under 1.5%) of the claim as originally advanced in 2016,</w:t>
      </w:r>
      <w:r w:rsidR="00930DBB">
        <w:t xml:space="preserve"> and under 1.2% of the claim as revised in late 2022. This approach should not be regarded as a guide for more positive </w:t>
      </w:r>
      <w:r w:rsidR="00930DBB">
        <w:lastRenderedPageBreak/>
        <w:t>settlements of cases that reflect better the public policy behind the introduction of collective proceedings.’</w:t>
      </w:r>
      <w:r>
        <w:t xml:space="preserve"> </w:t>
      </w:r>
    </w:p>
    <w:p w14:paraId="1F47487B" w14:textId="7556E0CA" w:rsidR="00A06300" w:rsidRDefault="00C91101" w:rsidP="00CF561B">
      <w:pPr>
        <w:pStyle w:val="ParaLevel1"/>
      </w:pPr>
      <w:r>
        <w:t xml:space="preserve">Having reached its conclusion that the appropriate level of profit </w:t>
      </w:r>
      <w:r w:rsidR="008933F9">
        <w:t>for the claimant was 50% of the expenditure which it had incurred, the CAT</w:t>
      </w:r>
      <w:r w:rsidR="00D52FD3">
        <w:t xml:space="preserve"> applied what it called ‘a useful cross-check’</w:t>
      </w:r>
      <w:r w:rsidR="00FF7C63">
        <w:t>:</w:t>
      </w:r>
    </w:p>
    <w:p w14:paraId="48A6F4B9" w14:textId="37B46463" w:rsidR="00FF7C63" w:rsidRDefault="0029656D" w:rsidP="00CF561B">
      <w:pPr>
        <w:pStyle w:val="Quote"/>
      </w:pPr>
      <w:r>
        <w:t>‘188. … Although as the law stands funders cannot conclude a</w:t>
      </w:r>
      <w:r w:rsidR="00C32356">
        <w:t xml:space="preserve"> LFA </w:t>
      </w:r>
      <w:r w:rsidR="00471903">
        <w:t xml:space="preserve">[Litigation Funding Agreement] </w:t>
      </w:r>
      <w:r w:rsidR="00C32356">
        <w:t xml:space="preserve">providing for a percentage-based return, and we therefore have not determined the return on that basis, </w:t>
      </w:r>
      <w:r w:rsidR="005D7AF4">
        <w:t>it nonetheless serves as a useful cross-check. A payment of £68 million constitutes 34% of the Settlement Sum. That contrasts with the much lower percentage of 16%</w:t>
      </w:r>
      <w:r w:rsidR="00B41191">
        <w:t xml:space="preserve"> determined by Murphy J in </w:t>
      </w:r>
      <w:r w:rsidR="00B41191" w:rsidRPr="00DD3F14">
        <w:rPr>
          <w:i/>
          <w:iCs/>
        </w:rPr>
        <w:t>Street</w:t>
      </w:r>
      <w:r w:rsidR="00B41191">
        <w:t xml:space="preserve"> (where the circumstances were exceptional</w:t>
      </w:r>
      <w:proofErr w:type="gramStart"/>
      <w:r w:rsidR="00B41191">
        <w:t>), and</w:t>
      </w:r>
      <w:proofErr w:type="gramEnd"/>
      <w:r w:rsidR="00B41191">
        <w:t xml:space="preserve"> is within the “presumptive range of validity” established by the Canadian jurisprudence: para 175 above.’</w:t>
      </w:r>
    </w:p>
    <w:p w14:paraId="7B5C1F3C" w14:textId="03310FFD" w:rsidR="00E1792C" w:rsidRPr="00E1792C" w:rsidRDefault="00E1792C" w:rsidP="00CF561B">
      <w:pPr>
        <w:pStyle w:val="ParaLevel1"/>
      </w:pPr>
      <w:r>
        <w:t>In saying that this was the position ‘as the law stands’, the CAT had in mind the decision of the Supreme Court in</w:t>
      </w:r>
      <w:r w:rsidR="00D74395">
        <w:t xml:space="preserve"> </w:t>
      </w:r>
      <w:r w:rsidR="00D74395" w:rsidRPr="00D74395">
        <w:rPr>
          <w:i/>
          <w:iCs/>
        </w:rPr>
        <w:t>R (PACCAR Inc) v Competition Appeal Tribunal</w:t>
      </w:r>
      <w:r w:rsidR="00D74395">
        <w:t xml:space="preserve"> [2023] </w:t>
      </w:r>
      <w:proofErr w:type="spellStart"/>
      <w:r w:rsidR="00D74395">
        <w:t>UKSC</w:t>
      </w:r>
      <w:proofErr w:type="spellEnd"/>
      <w:r w:rsidR="00D74395">
        <w:t xml:space="preserve"> 28, [2023] 1 WLR 2594.</w:t>
      </w:r>
    </w:p>
    <w:p w14:paraId="34DA2368" w14:textId="67421F49" w:rsidR="00243B54" w:rsidRPr="00DC5D61" w:rsidRDefault="00DC5D61" w:rsidP="00CF561B">
      <w:pPr>
        <w:pStyle w:val="ParaLevel1"/>
        <w:numPr>
          <w:ilvl w:val="0"/>
          <w:numId w:val="0"/>
        </w:numPr>
        <w:rPr>
          <w:b/>
          <w:bCs/>
        </w:rPr>
      </w:pPr>
      <w:r w:rsidRPr="00DC5D61">
        <w:rPr>
          <w:b/>
          <w:bCs/>
        </w:rPr>
        <w:t>The claimant’s grounds of challenge</w:t>
      </w:r>
    </w:p>
    <w:p w14:paraId="49214C41" w14:textId="1DFCC467" w:rsidR="004977B6" w:rsidRDefault="002326E4" w:rsidP="00CF561B">
      <w:pPr>
        <w:pStyle w:val="ParaLevel1"/>
      </w:pPr>
      <w:r>
        <w:t xml:space="preserve">It might be thought that </w:t>
      </w:r>
      <w:r w:rsidR="00CC668B">
        <w:t xml:space="preserve">a </w:t>
      </w:r>
      <w:r w:rsidR="007C3439">
        <w:t xml:space="preserve">guaranteed </w:t>
      </w:r>
      <w:r w:rsidR="00CC668B">
        <w:t xml:space="preserve">total return of </w:t>
      </w:r>
      <w:r w:rsidR="00570DF4">
        <w:t xml:space="preserve">about </w:t>
      </w:r>
      <w:r w:rsidR="00CC668B">
        <w:t xml:space="preserve">£68 million, representing a profit of 50% on the claimant’s investment, </w:t>
      </w:r>
      <w:r>
        <w:t>was not a bad result for the claimant</w:t>
      </w:r>
      <w:r w:rsidR="00302B2F">
        <w:t>. I</w:t>
      </w:r>
      <w:r>
        <w:t xml:space="preserve">f the case had not settled, it would not only have borne the cost of another expensive </w:t>
      </w:r>
      <w:proofErr w:type="gramStart"/>
      <w:r>
        <w:t>trial</w:t>
      </w:r>
      <w:r w:rsidR="000469A2">
        <w:t>,</w:t>
      </w:r>
      <w:r>
        <w:t xml:space="preserve"> but</w:t>
      </w:r>
      <w:proofErr w:type="gramEnd"/>
      <w:r>
        <w:t xml:space="preserve"> would probably have lost its entire investment and made no profit at all.</w:t>
      </w:r>
      <w:r w:rsidR="00970EEB" w:rsidRPr="00970EEB">
        <w:t xml:space="preserve"> </w:t>
      </w:r>
      <w:r w:rsidR="00970EEB">
        <w:t xml:space="preserve">As the CAT observed, Mr Merricks’ remaining argument </w:t>
      </w:r>
      <w:r w:rsidR="007F78B3">
        <w:t>in the claim against Master</w:t>
      </w:r>
      <w:r w:rsidR="00097C98">
        <w:t>c</w:t>
      </w:r>
      <w:r w:rsidR="007F78B3">
        <w:t>ard</w:t>
      </w:r>
      <w:r w:rsidR="00097C98">
        <w:t xml:space="preserve"> </w:t>
      </w:r>
      <w:r w:rsidR="00970EEB">
        <w:t xml:space="preserve">‘faced very substantial </w:t>
      </w:r>
      <w:proofErr w:type="gramStart"/>
      <w:r w:rsidR="00970EEB">
        <w:t>obstacles’</w:t>
      </w:r>
      <w:proofErr w:type="gramEnd"/>
      <w:r w:rsidR="00970EEB">
        <w:t xml:space="preserve">. </w:t>
      </w:r>
      <w:r w:rsidR="00773CEA">
        <w:t>But the claimant is</w:t>
      </w:r>
      <w:r w:rsidR="006715B2">
        <w:t xml:space="preserve"> dissatisfied with </w:t>
      </w:r>
      <w:r w:rsidR="00802340">
        <w:t>its</w:t>
      </w:r>
      <w:r w:rsidR="006715B2">
        <w:t xml:space="preserve"> allocation of the settlement proceeds</w:t>
      </w:r>
      <w:r w:rsidR="000469A2">
        <w:t xml:space="preserve">. </w:t>
      </w:r>
      <w:r w:rsidR="00B9736F">
        <w:t xml:space="preserve">It </w:t>
      </w:r>
      <w:r w:rsidR="00E95646">
        <w:t xml:space="preserve">challenges this </w:t>
      </w:r>
      <w:r w:rsidR="00D14BF9">
        <w:t>allocation, contending that</w:t>
      </w:r>
      <w:r w:rsidR="00B526EF">
        <w:t xml:space="preserve"> it involved several errors of law by the CAT</w:t>
      </w:r>
      <w:r w:rsidR="00AC5B64">
        <w:t xml:space="preserve">. It </w:t>
      </w:r>
      <w:proofErr w:type="gramStart"/>
      <w:r w:rsidR="001956D9">
        <w:t>has to</w:t>
      </w:r>
      <w:proofErr w:type="gramEnd"/>
      <w:r w:rsidR="001956D9">
        <w:t xml:space="preserve"> </w:t>
      </w:r>
      <w:r w:rsidR="00AC5B64">
        <w:t xml:space="preserve">do so </w:t>
      </w:r>
      <w:r w:rsidR="001956D9">
        <w:t xml:space="preserve">by way of </w:t>
      </w:r>
      <w:r w:rsidR="00AC5B64">
        <w:t>judicial review because</w:t>
      </w:r>
      <w:r w:rsidR="00311ACB">
        <w:t>, although the usual route for challenging a decision of the CAT is by a</w:t>
      </w:r>
      <w:r w:rsidR="006C40FB">
        <w:t>n</w:t>
      </w:r>
      <w:r w:rsidR="00311ACB">
        <w:t xml:space="preserve"> </w:t>
      </w:r>
      <w:r w:rsidR="006C40FB">
        <w:t xml:space="preserve">appeal to the Court of </w:t>
      </w:r>
      <w:r w:rsidR="00311ACB">
        <w:t>Appeal, that route is not available to a funder</w:t>
      </w:r>
      <w:r w:rsidR="00677C58">
        <w:t xml:space="preserve"> which </w:t>
      </w:r>
      <w:r w:rsidR="00507314">
        <w:t>ha</w:t>
      </w:r>
      <w:r w:rsidR="00677C58">
        <w:t xml:space="preserve">s </w:t>
      </w:r>
      <w:r w:rsidR="00507314">
        <w:t>participated</w:t>
      </w:r>
      <w:r w:rsidR="00875313">
        <w:t xml:space="preserve"> only as an interven</w:t>
      </w:r>
      <w:r w:rsidR="00F305D2">
        <w:t>o</w:t>
      </w:r>
      <w:r w:rsidR="00875313">
        <w:t>r in</w:t>
      </w:r>
      <w:r w:rsidR="00677C58">
        <w:t xml:space="preserve"> the proceedings</w:t>
      </w:r>
      <w:r w:rsidR="00E30394">
        <w:t xml:space="preserve"> before the CAT</w:t>
      </w:r>
      <w:r w:rsidR="00311ACB">
        <w:t>.</w:t>
      </w:r>
    </w:p>
    <w:p w14:paraId="5AAF92E0" w14:textId="2B4DA1DF" w:rsidR="0016572F" w:rsidRDefault="002E6867" w:rsidP="00CF561B">
      <w:pPr>
        <w:pStyle w:val="ParaLevel1"/>
      </w:pPr>
      <w:r>
        <w:t>The decisions which the claimant seeks to challenge</w:t>
      </w:r>
      <w:r w:rsidR="00A10478">
        <w:t xml:space="preserve"> </w:t>
      </w:r>
      <w:r w:rsidR="00B14842">
        <w:t>are</w:t>
      </w:r>
      <w:r w:rsidR="00A10478">
        <w:t xml:space="preserve"> pleaded as ‘the decisions of the CAT in relation to Pot 1 and Pot 3</w:t>
      </w:r>
      <w:r w:rsidR="00E94F21">
        <w:t>’. In other words, it does not challenge the CAT’s decision</w:t>
      </w:r>
      <w:r w:rsidR="00105EBC">
        <w:t xml:space="preserve"> on Pot 2 (i.e. that </w:t>
      </w:r>
      <w:r w:rsidR="004D58E6">
        <w:t xml:space="preserve">it should be </w:t>
      </w:r>
      <w:r w:rsidR="00105EBC">
        <w:t>reimburse</w:t>
      </w:r>
      <w:r w:rsidR="004D58E6">
        <w:t xml:space="preserve">d for </w:t>
      </w:r>
      <w:r w:rsidR="00A62E12">
        <w:t xml:space="preserve">its </w:t>
      </w:r>
      <w:r w:rsidR="00105EBC">
        <w:t>expen</w:t>
      </w:r>
      <w:r w:rsidR="00A62E12">
        <w:t>diture</w:t>
      </w:r>
      <w:r w:rsidR="002E6C0D">
        <w:t xml:space="preserve"> and that such reimbursement</w:t>
      </w:r>
      <w:r w:rsidR="00105EBC">
        <w:t xml:space="preserve"> should be ring</w:t>
      </w:r>
      <w:r w:rsidR="00254036">
        <w:t>-</w:t>
      </w:r>
      <w:r w:rsidR="00105EBC">
        <w:t>fenced)</w:t>
      </w:r>
      <w:r w:rsidR="002E6C0D">
        <w:t xml:space="preserve">. It </w:t>
      </w:r>
      <w:r w:rsidR="0075555D">
        <w:t>confines its challenge</w:t>
      </w:r>
      <w:r w:rsidR="00070DBF">
        <w:t xml:space="preserve"> to what the CAT decided about Pot 1 and Pot 3</w:t>
      </w:r>
      <w:r w:rsidR="00105EBC">
        <w:t>.</w:t>
      </w:r>
      <w:r w:rsidR="0065778E">
        <w:t xml:space="preserve"> However,</w:t>
      </w:r>
      <w:r w:rsidR="00DA62C5">
        <w:t xml:space="preserve"> </w:t>
      </w:r>
      <w:r w:rsidR="00757232">
        <w:t>the CAT</w:t>
      </w:r>
      <w:r w:rsidR="001063EA">
        <w:t>’s</w:t>
      </w:r>
      <w:r w:rsidR="00757232">
        <w:t xml:space="preserve"> decision</w:t>
      </w:r>
      <w:r w:rsidR="00C23701">
        <w:t xml:space="preserve"> in relation to all three Pots was a </w:t>
      </w:r>
      <w:r w:rsidR="00810C22">
        <w:t xml:space="preserve">single </w:t>
      </w:r>
      <w:r w:rsidR="00C23701">
        <w:t>package</w:t>
      </w:r>
      <w:r w:rsidR="00487E71">
        <w:t>. Its</w:t>
      </w:r>
      <w:r w:rsidR="00C23701">
        <w:t xml:space="preserve"> rationale</w:t>
      </w:r>
      <w:r w:rsidR="00A62E12">
        <w:t xml:space="preserve"> for ring</w:t>
      </w:r>
      <w:r w:rsidR="00254036">
        <w:t>-</w:t>
      </w:r>
      <w:r w:rsidR="00A62E12">
        <w:t>fencing reimbursement of the claimant’s expenditure</w:t>
      </w:r>
      <w:r w:rsidR="00254036">
        <w:t xml:space="preserve"> </w:t>
      </w:r>
      <w:r w:rsidR="003B4A68">
        <w:t>(Pot 2)</w:t>
      </w:r>
      <w:r w:rsidR="00914422">
        <w:t xml:space="preserve"> </w:t>
      </w:r>
      <w:r w:rsidR="009E6329">
        <w:t>was</w:t>
      </w:r>
      <w:r w:rsidR="00254036">
        <w:t xml:space="preserve"> inextricably linked</w:t>
      </w:r>
      <w:r w:rsidR="009609EA">
        <w:t xml:space="preserve"> to the way in which it dealt with Pots 1 and 3.</w:t>
      </w:r>
      <w:r w:rsidR="00621CB9">
        <w:t xml:space="preserve"> </w:t>
      </w:r>
      <w:r w:rsidR="00DF742A">
        <w:t xml:space="preserve">That is clear, for example, from what the CAT said at paras </w:t>
      </w:r>
      <w:r w:rsidR="00621CB9">
        <w:t>130 and 131</w:t>
      </w:r>
      <w:r w:rsidR="00DF742A">
        <w:t xml:space="preserve"> of its judgment</w:t>
      </w:r>
      <w:r w:rsidR="00B14842">
        <w:t xml:space="preserve"> which I have quoted above.</w:t>
      </w:r>
      <w:r w:rsidR="0085140D">
        <w:t xml:space="preserve"> </w:t>
      </w:r>
    </w:p>
    <w:p w14:paraId="22CDF3F6" w14:textId="6D5A801E" w:rsidR="00374690" w:rsidRDefault="0085140D" w:rsidP="00CF561B">
      <w:pPr>
        <w:pStyle w:val="ParaLevel1"/>
      </w:pPr>
      <w:r>
        <w:t>This led Mr Mark</w:t>
      </w:r>
      <w:r w:rsidR="006622CD">
        <w:t xml:space="preserve"> Brealey KC for Mr Merricks to submit that the claimant is challenging the wrong decision</w:t>
      </w:r>
      <w:r w:rsidR="001063EA">
        <w:t>;</w:t>
      </w:r>
      <w:r w:rsidR="006D27AA">
        <w:t xml:space="preserve"> that there has been no challenge to the</w:t>
      </w:r>
      <w:r w:rsidR="0019240F">
        <w:t xml:space="preserve"> CAT’s actual decision</w:t>
      </w:r>
      <w:r w:rsidR="008F7106">
        <w:t>, which was the package as a whole</w:t>
      </w:r>
      <w:r w:rsidR="0068505C">
        <w:t xml:space="preserve">; and </w:t>
      </w:r>
      <w:r w:rsidR="00810C22">
        <w:t>that the claim for judicial review</w:t>
      </w:r>
      <w:r w:rsidR="0068505C">
        <w:t xml:space="preserve"> must therefore fail on that ground alone.</w:t>
      </w:r>
      <w:r w:rsidR="00280CE8">
        <w:t xml:space="preserve"> I would be reluctant to dismiss the claim on that pleading ground if the claimant’s challenge</w:t>
      </w:r>
      <w:r w:rsidR="00885783">
        <w:t xml:space="preserve"> to the CAT’s decision is otherwise well-</w:t>
      </w:r>
      <w:r w:rsidR="00885783">
        <w:lastRenderedPageBreak/>
        <w:t>founded</w:t>
      </w:r>
      <w:r w:rsidR="008F7106">
        <w:t xml:space="preserve">. </w:t>
      </w:r>
      <w:r w:rsidR="00DA2046">
        <w:t>Rather</w:t>
      </w:r>
      <w:r w:rsidR="00885783">
        <w:t xml:space="preserve">, </w:t>
      </w:r>
      <w:r w:rsidR="00CA3DE5">
        <w:t xml:space="preserve">if the claim </w:t>
      </w:r>
      <w:r w:rsidR="003B69EA">
        <w:t xml:space="preserve">were to </w:t>
      </w:r>
      <w:r w:rsidR="00CA3DE5">
        <w:t xml:space="preserve">succeed, </w:t>
      </w:r>
      <w:r w:rsidR="00885783">
        <w:t>the</w:t>
      </w:r>
      <w:r w:rsidR="00CA3DE5">
        <w:t xml:space="preserve"> CAT’s decision </w:t>
      </w:r>
      <w:proofErr w:type="gramStart"/>
      <w:r w:rsidR="00CA3DE5">
        <w:t>as a whole w</w:t>
      </w:r>
      <w:r w:rsidR="003B69EA">
        <w:t>ould</w:t>
      </w:r>
      <w:proofErr w:type="gramEnd"/>
      <w:r w:rsidR="00CA3DE5">
        <w:t xml:space="preserve"> have to be quashed</w:t>
      </w:r>
      <w:r w:rsidR="00604F48">
        <w:t>.</w:t>
      </w:r>
    </w:p>
    <w:p w14:paraId="56B2C56B" w14:textId="5E455491" w:rsidR="003D7D8C" w:rsidRDefault="00A9587D" w:rsidP="00CF561B">
      <w:pPr>
        <w:pStyle w:val="ParaLevel1"/>
      </w:pPr>
      <w:r>
        <w:t>The application for permission to bring a claim for judicial review came before Mr Justice Sheldon on paper.</w:t>
      </w:r>
      <w:r w:rsidR="003E6404">
        <w:t xml:space="preserve"> He decided to adjourn the application to an oral hearing, which came before Mr Justice Linden.</w:t>
      </w:r>
      <w:r>
        <w:t xml:space="preserve"> </w:t>
      </w:r>
    </w:p>
    <w:p w14:paraId="38152A92" w14:textId="3DFF4B71" w:rsidR="00BB6B0C" w:rsidRDefault="00794560" w:rsidP="00CF561B">
      <w:pPr>
        <w:pStyle w:val="ParaLevel1"/>
      </w:pPr>
      <w:r>
        <w:t xml:space="preserve">After an oral hearing </w:t>
      </w:r>
      <w:r w:rsidR="00812AFB">
        <w:t>Mr Justice L</w:t>
      </w:r>
      <w:r w:rsidR="0075448E">
        <w:t xml:space="preserve">inden gave permission </w:t>
      </w:r>
      <w:r w:rsidR="00374690">
        <w:t>to bring a claim for judicial review</w:t>
      </w:r>
      <w:r w:rsidR="00604F48">
        <w:t xml:space="preserve"> on three grounds, as follows:</w:t>
      </w:r>
    </w:p>
    <w:p w14:paraId="4752C0A6" w14:textId="4B22D59B" w:rsidR="00604F48" w:rsidRDefault="00C47832" w:rsidP="00CF561B">
      <w:pPr>
        <w:pStyle w:val="ParaLevel1"/>
        <w:numPr>
          <w:ilvl w:val="0"/>
          <w:numId w:val="16"/>
        </w:numPr>
      </w:pPr>
      <w:r w:rsidRPr="007A77CE">
        <w:rPr>
          <w:i/>
          <w:iCs/>
        </w:rPr>
        <w:t>Ground</w:t>
      </w:r>
      <w:r w:rsidR="00E9746B" w:rsidRPr="007A77CE">
        <w:rPr>
          <w:i/>
          <w:iCs/>
        </w:rPr>
        <w:t xml:space="preserve"> </w:t>
      </w:r>
      <w:r w:rsidRPr="007A77CE">
        <w:rPr>
          <w:i/>
          <w:iCs/>
        </w:rPr>
        <w:t>1</w:t>
      </w:r>
      <w:r>
        <w:t xml:space="preserve">: </w:t>
      </w:r>
      <w:r w:rsidR="00F27C84">
        <w:t>The CAT</w:t>
      </w:r>
      <w:r w:rsidR="00E9746B">
        <w:t xml:space="preserve"> misunderstood the Australian authority on which it expressly based its award of a return to the claimant in Pot 3.</w:t>
      </w:r>
    </w:p>
    <w:p w14:paraId="64D143CC" w14:textId="74F1D47F" w:rsidR="00E9746B" w:rsidRDefault="007A77CE" w:rsidP="00CF561B">
      <w:pPr>
        <w:pStyle w:val="ParaLevel1"/>
        <w:numPr>
          <w:ilvl w:val="0"/>
          <w:numId w:val="16"/>
        </w:numPr>
      </w:pPr>
      <w:r w:rsidRPr="00E62A17">
        <w:rPr>
          <w:i/>
          <w:iCs/>
        </w:rPr>
        <w:t>Ground 2(a)</w:t>
      </w:r>
      <w:r>
        <w:t>: The CAT</w:t>
      </w:r>
      <w:r w:rsidR="00821B5D">
        <w:t xml:space="preserve"> failed to have regard to the net proceeds of the settlement, i.e. the proceeds after</w:t>
      </w:r>
      <w:r w:rsidR="003066F5">
        <w:t xml:space="preserve"> deduction of the costs expended </w:t>
      </w:r>
      <w:proofErr w:type="gramStart"/>
      <w:r w:rsidR="003066F5">
        <w:t>in order to</w:t>
      </w:r>
      <w:proofErr w:type="gramEnd"/>
      <w:r w:rsidR="003066F5">
        <w:t xml:space="preserve"> achieve the settlement.</w:t>
      </w:r>
    </w:p>
    <w:p w14:paraId="3AB2A0FF" w14:textId="64758A4E" w:rsidR="003066F5" w:rsidRDefault="003066F5" w:rsidP="00CF561B">
      <w:pPr>
        <w:pStyle w:val="ParaLevel1"/>
        <w:numPr>
          <w:ilvl w:val="0"/>
          <w:numId w:val="16"/>
        </w:numPr>
      </w:pPr>
      <w:r w:rsidRPr="00E62A17">
        <w:rPr>
          <w:i/>
          <w:iCs/>
        </w:rPr>
        <w:t>Ground 4</w:t>
      </w:r>
      <w:r>
        <w:t xml:space="preserve">: </w:t>
      </w:r>
      <w:r w:rsidR="00481AFC">
        <w:t>The CAT did not allow the claimant to claim reimbursement</w:t>
      </w:r>
      <w:r w:rsidR="00625225">
        <w:t xml:space="preserve"> of </w:t>
      </w:r>
      <w:r w:rsidR="005B63BC">
        <w:t>an</w:t>
      </w:r>
      <w:r w:rsidR="00625225">
        <w:t xml:space="preserve"> amount which it </w:t>
      </w:r>
      <w:r w:rsidR="00A5646C">
        <w:t xml:space="preserve">incurred </w:t>
      </w:r>
      <w:proofErr w:type="gramStart"/>
      <w:r w:rsidR="00625225">
        <w:t>in order to</w:t>
      </w:r>
      <w:proofErr w:type="gramEnd"/>
      <w:r w:rsidR="00625225">
        <w:t xml:space="preserve"> prevent claims against the recovery by the original funder, Colfax.</w:t>
      </w:r>
    </w:p>
    <w:p w14:paraId="7B92CBBB" w14:textId="25B71541" w:rsidR="00625225" w:rsidRDefault="001A410B" w:rsidP="00CF561B">
      <w:pPr>
        <w:pStyle w:val="ParaLevel1"/>
      </w:pPr>
      <w:r>
        <w:t>Mr Justice Linden</w:t>
      </w:r>
      <w:r w:rsidR="00190CB9">
        <w:t xml:space="preserve"> refused permission on other grounds which the claimant </w:t>
      </w:r>
      <w:r w:rsidR="00B32F2E">
        <w:t xml:space="preserve">had </w:t>
      </w:r>
      <w:r w:rsidR="00190CB9">
        <w:t xml:space="preserve">sought to argue. It now </w:t>
      </w:r>
      <w:r w:rsidR="00440444">
        <w:t>seeks to renew its application for permission</w:t>
      </w:r>
      <w:r w:rsidR="00756E56">
        <w:t xml:space="preserve"> in relation to </w:t>
      </w:r>
      <w:r w:rsidR="00040F82">
        <w:t>two</w:t>
      </w:r>
      <w:r w:rsidR="007218D1">
        <w:t xml:space="preserve"> of th</w:t>
      </w:r>
      <w:r w:rsidR="00FE272C">
        <w:t>os</w:t>
      </w:r>
      <w:r w:rsidR="007218D1">
        <w:t>e</w:t>
      </w:r>
      <w:r w:rsidR="00756E56">
        <w:t xml:space="preserve"> grounds, namely:</w:t>
      </w:r>
    </w:p>
    <w:p w14:paraId="4610E7D2" w14:textId="6DAB35F6" w:rsidR="00756E56" w:rsidRDefault="00756E56" w:rsidP="00CF561B">
      <w:pPr>
        <w:pStyle w:val="ParaLevel1"/>
        <w:numPr>
          <w:ilvl w:val="0"/>
          <w:numId w:val="17"/>
        </w:numPr>
      </w:pPr>
      <w:r w:rsidRPr="00FA2F3C">
        <w:rPr>
          <w:i/>
          <w:iCs/>
        </w:rPr>
        <w:t>Ground 2(</w:t>
      </w:r>
      <w:r w:rsidR="002048D6">
        <w:rPr>
          <w:i/>
          <w:iCs/>
        </w:rPr>
        <w:t>c</w:t>
      </w:r>
      <w:r w:rsidRPr="00FA2F3C">
        <w:rPr>
          <w:i/>
          <w:iCs/>
        </w:rPr>
        <w:t>)</w:t>
      </w:r>
      <w:r>
        <w:t xml:space="preserve">: </w:t>
      </w:r>
      <w:r w:rsidR="00CB7477">
        <w:t>The CAT failed to have regard to the market value of the services provided by the claimant</w:t>
      </w:r>
      <w:r w:rsidR="00FA2F3C">
        <w:t xml:space="preserve"> under its Litigation Funding Agreement.</w:t>
      </w:r>
    </w:p>
    <w:p w14:paraId="00FEE1D3" w14:textId="37208649" w:rsidR="00FA2F3C" w:rsidRDefault="00FA2F3C" w:rsidP="00CF561B">
      <w:pPr>
        <w:pStyle w:val="ParaLevel1"/>
        <w:numPr>
          <w:ilvl w:val="0"/>
          <w:numId w:val="17"/>
        </w:numPr>
      </w:pPr>
      <w:r w:rsidRPr="00315E52">
        <w:rPr>
          <w:i/>
          <w:iCs/>
        </w:rPr>
        <w:t>Ground 2(</w:t>
      </w:r>
      <w:r w:rsidR="00FE262B" w:rsidRPr="00315E52">
        <w:rPr>
          <w:i/>
          <w:iCs/>
        </w:rPr>
        <w:t>e</w:t>
      </w:r>
      <w:r w:rsidRPr="00315E52">
        <w:rPr>
          <w:i/>
          <w:iCs/>
        </w:rPr>
        <w:t>)</w:t>
      </w:r>
      <w:r w:rsidR="00FE262B">
        <w:t>: The CAT</w:t>
      </w:r>
      <w:r w:rsidR="00BA0B15">
        <w:t xml:space="preserve"> failed to appreciate the basic distinction between</w:t>
      </w:r>
      <w:r w:rsidR="008E4012">
        <w:t xml:space="preserve"> (</w:t>
      </w:r>
      <w:proofErr w:type="spellStart"/>
      <w:r w:rsidR="008E4012">
        <w:t>i</w:t>
      </w:r>
      <w:proofErr w:type="spellEnd"/>
      <w:r w:rsidR="008E4012">
        <w:t>) allocation as between class and funder, and (ii) allocation as between funder and a windfall recipient such as a charity.</w:t>
      </w:r>
    </w:p>
    <w:p w14:paraId="13D496F6" w14:textId="74C55875" w:rsidR="00756E56" w:rsidRDefault="00094EDC" w:rsidP="00CF561B">
      <w:pPr>
        <w:pStyle w:val="ParaLevel1"/>
      </w:pPr>
      <w:r>
        <w:t xml:space="preserve">Time did not allow proper consideration of these two grounds before the hearing. </w:t>
      </w:r>
      <w:r w:rsidR="003A706B">
        <w:t>We</w:t>
      </w:r>
      <w:r>
        <w:t xml:space="preserve"> therefore</w:t>
      </w:r>
      <w:r w:rsidR="003A706B">
        <w:t xml:space="preserve"> directed that the renewed application for permission should be dealt with by way of a rolled-up hearing</w:t>
      </w:r>
      <w:r w:rsidR="00047A47">
        <w:t xml:space="preserve"> together with the grounds for which permission had been given.</w:t>
      </w:r>
    </w:p>
    <w:p w14:paraId="0D4CECA3" w14:textId="74E9B792" w:rsidR="007B6F58" w:rsidRDefault="00CE17AD" w:rsidP="00CF561B">
      <w:pPr>
        <w:pStyle w:val="ParaLevel1"/>
      </w:pPr>
      <w:r>
        <w:t>It is worth saying that although the hearing before the CAT lasted three days, the first two of those days were concerned with the issue whether</w:t>
      </w:r>
      <w:r w:rsidR="00696B75">
        <w:t xml:space="preserve"> settlement of the claim against Mastercard for £200 million was just and reasonable, </w:t>
      </w:r>
      <w:r w:rsidR="00DF4175">
        <w:t>an issue which no longer arises. The third day was concerned</w:t>
      </w:r>
      <w:r w:rsidR="00C86A46">
        <w:t xml:space="preserve"> with the distribution of the proceeds of the settlement, but the principal issue</w:t>
      </w:r>
      <w:r w:rsidR="00C421B2">
        <w:t xml:space="preserve"> which the CAT had to decide</w:t>
      </w:r>
      <w:r w:rsidR="00770AAA">
        <w:t xml:space="preserve"> w</w:t>
      </w:r>
      <w:r w:rsidR="004763B6">
        <w:t xml:space="preserve">as </w:t>
      </w:r>
      <w:r w:rsidR="00770AAA">
        <w:t>whether</w:t>
      </w:r>
      <w:r w:rsidR="00C86A46">
        <w:t xml:space="preserve"> </w:t>
      </w:r>
      <w:r w:rsidR="001A09F5">
        <w:t xml:space="preserve">(as the claimant proposed) </w:t>
      </w:r>
      <w:r w:rsidR="00C86A46">
        <w:t xml:space="preserve">the </w:t>
      </w:r>
      <w:r w:rsidR="004763B6">
        <w:t>£200 million should be divided equally between all members of the class</w:t>
      </w:r>
      <w:r w:rsidR="002F29DD">
        <w:t xml:space="preserve"> with the claimant’s return </w:t>
      </w:r>
      <w:r w:rsidR="004763B6">
        <w:t>com</w:t>
      </w:r>
      <w:r w:rsidR="001A09F5">
        <w:t>ing</w:t>
      </w:r>
      <w:r w:rsidR="004763B6">
        <w:t xml:space="preserve"> out of the undistributed damages</w:t>
      </w:r>
      <w:r w:rsidR="001A09F5">
        <w:t xml:space="preserve"> </w:t>
      </w:r>
      <w:r w:rsidR="003F059E">
        <w:t>or (as Mr Merricks proposed) the approach of separate pots of money should be adopted. Although</w:t>
      </w:r>
      <w:r w:rsidR="003A5027">
        <w:t xml:space="preserve"> the issues currently raised </w:t>
      </w:r>
      <w:r w:rsidR="005F3A40">
        <w:t>about what should go into the various pots w</w:t>
      </w:r>
      <w:r w:rsidR="003A5027">
        <w:t>ere argued before the CAT,</w:t>
      </w:r>
      <w:r w:rsidR="005F3A40">
        <w:t xml:space="preserve"> </w:t>
      </w:r>
      <w:proofErr w:type="gramStart"/>
      <w:r w:rsidR="00C62FFA">
        <w:t>it is clear that the</w:t>
      </w:r>
      <w:proofErr w:type="gramEnd"/>
      <w:r w:rsidR="00C62FFA">
        <w:t xml:space="preserve"> argument</w:t>
      </w:r>
      <w:r w:rsidR="00A10AA4">
        <w:t>s</w:t>
      </w:r>
      <w:r w:rsidR="00C62FFA">
        <w:t xml:space="preserve"> about this in these judicial review proceedings ha</w:t>
      </w:r>
      <w:r w:rsidR="00135D81">
        <w:t>ve</w:t>
      </w:r>
      <w:r w:rsidR="00C62FFA">
        <w:t xml:space="preserve"> been much fuller than the argument</w:t>
      </w:r>
      <w:r w:rsidR="00135D81">
        <w:t>s</w:t>
      </w:r>
      <w:r w:rsidR="00C62FFA">
        <w:t xml:space="preserve"> before the CAT.</w:t>
      </w:r>
      <w:r w:rsidR="00661C88">
        <w:t xml:space="preserve"> In those circumstances I would pay tribute to the clear and full consideration</w:t>
      </w:r>
      <w:r w:rsidR="00A10AA4">
        <w:t xml:space="preserve"> of those arguments in the CAT’s judgment</w:t>
      </w:r>
      <w:r w:rsidR="001A64C9">
        <w:t xml:space="preserve"> ([2025] CAT 28)</w:t>
      </w:r>
      <w:r w:rsidR="00A10AA4">
        <w:t>.</w:t>
      </w:r>
      <w:r w:rsidR="003A5027">
        <w:t xml:space="preserve"> </w:t>
      </w:r>
    </w:p>
    <w:p w14:paraId="3E6B1B7A" w14:textId="6D6BD8B4" w:rsidR="00F1566B" w:rsidRPr="00F1566B" w:rsidRDefault="00F1566B" w:rsidP="00CF561B">
      <w:pPr>
        <w:pStyle w:val="ParaLevel1"/>
        <w:numPr>
          <w:ilvl w:val="0"/>
          <w:numId w:val="0"/>
        </w:numPr>
        <w:rPr>
          <w:b/>
          <w:bCs/>
        </w:rPr>
      </w:pPr>
      <w:r>
        <w:rPr>
          <w:b/>
          <w:bCs/>
        </w:rPr>
        <w:lastRenderedPageBreak/>
        <w:t xml:space="preserve">The </w:t>
      </w:r>
      <w:r w:rsidR="00195079">
        <w:rPr>
          <w:b/>
          <w:bCs/>
        </w:rPr>
        <w:t>approach to judicial review of the CAT’s decision</w:t>
      </w:r>
    </w:p>
    <w:p w14:paraId="72FD4697" w14:textId="466D57FB" w:rsidR="00F1566B" w:rsidRDefault="00B20F14" w:rsidP="00CF561B">
      <w:pPr>
        <w:pStyle w:val="ParaLevel1"/>
      </w:pPr>
      <w:r>
        <w:t>Section 49</w:t>
      </w:r>
      <w:proofErr w:type="gramStart"/>
      <w:r>
        <w:t>A(</w:t>
      </w:r>
      <w:proofErr w:type="gramEnd"/>
      <w:r>
        <w:t>1)</w:t>
      </w:r>
      <w:r w:rsidR="00252355">
        <w:t xml:space="preserve"> </w:t>
      </w:r>
      <w:r w:rsidR="001F3722">
        <w:t xml:space="preserve">and (2) </w:t>
      </w:r>
      <w:r w:rsidR="00252355">
        <w:t>of the Competition Act 1998</w:t>
      </w:r>
      <w:r w:rsidR="002B679D">
        <w:t xml:space="preserve"> empower the CAT</w:t>
      </w:r>
      <w:r w:rsidR="001F3722">
        <w:t xml:space="preserve"> to approve the settlement of claims in collective </w:t>
      </w:r>
      <w:proofErr w:type="gramStart"/>
      <w:r w:rsidR="001F3722">
        <w:t xml:space="preserve">proceedings, </w:t>
      </w:r>
      <w:r w:rsidR="006E0AAA">
        <w:t>and</w:t>
      </w:r>
      <w:proofErr w:type="gramEnd"/>
      <w:r w:rsidR="006E0AAA">
        <w:t xml:space="preserve"> provide that an application for approval of such a settlement must be made by the class representative and the defendant.</w:t>
      </w:r>
      <w:r w:rsidR="004F2FA5">
        <w:t xml:space="preserve"> Section 49</w:t>
      </w:r>
      <w:proofErr w:type="gramStart"/>
      <w:r w:rsidR="004F2FA5">
        <w:t>A(</w:t>
      </w:r>
      <w:proofErr w:type="gramEnd"/>
      <w:r w:rsidR="004F2FA5">
        <w:t>5)</w:t>
      </w:r>
      <w:r w:rsidR="00E85295">
        <w:t xml:space="preserve"> then provides that:</w:t>
      </w:r>
    </w:p>
    <w:p w14:paraId="05FABE0A" w14:textId="04F1F3E8" w:rsidR="00E85295" w:rsidRDefault="00E85295" w:rsidP="00CF561B">
      <w:pPr>
        <w:pStyle w:val="Quote"/>
      </w:pPr>
      <w:r>
        <w:t xml:space="preserve">‘The Tribunal may make an order approving a proposed collective settlement only </w:t>
      </w:r>
      <w:r w:rsidR="00D96E44">
        <w:t>if</w:t>
      </w:r>
      <w:r>
        <w:t xml:space="preserve"> satisfied that its terms are just </w:t>
      </w:r>
      <w:r w:rsidR="00D96E44">
        <w:t xml:space="preserve">and </w:t>
      </w:r>
      <w:r>
        <w:t>reasonable.’</w:t>
      </w:r>
    </w:p>
    <w:p w14:paraId="35416B46" w14:textId="38D97950" w:rsidR="00C32A4B" w:rsidRDefault="00C32A4B" w:rsidP="00CF561B">
      <w:pPr>
        <w:pStyle w:val="ParaLevel1"/>
      </w:pPr>
      <w:r>
        <w:t>Rule 94 of the Tribunal Rules</w:t>
      </w:r>
      <w:r w:rsidR="00AF7D67">
        <w:t xml:space="preserve"> provides that</w:t>
      </w:r>
      <w:r w:rsidR="00077FBA">
        <w:t xml:space="preserve"> </w:t>
      </w:r>
      <w:r w:rsidR="00381B14">
        <w:t>‘</w:t>
      </w:r>
      <w:r w:rsidR="00077FBA">
        <w:t>opt-out</w:t>
      </w:r>
      <w:r w:rsidR="00381B14">
        <w:t>’</w:t>
      </w:r>
      <w:r w:rsidR="00077FBA">
        <w:t xml:space="preserve"> collective proceedings</w:t>
      </w:r>
      <w:r w:rsidR="00381B14">
        <w:t xml:space="preserve"> (meaning collective proceedings </w:t>
      </w:r>
      <w:r w:rsidR="00076C57">
        <w:t>brought on behalf of class members except those who opt-out within the meaning of section 47</w:t>
      </w:r>
      <w:proofErr w:type="gramStart"/>
      <w:r w:rsidR="00076C57">
        <w:t>B(</w:t>
      </w:r>
      <w:proofErr w:type="gramEnd"/>
      <w:r w:rsidR="00076C57">
        <w:t>11) Competition Act 1998)</w:t>
      </w:r>
      <w:r w:rsidR="00077FBA">
        <w:t xml:space="preserve"> may not be settled other than by</w:t>
      </w:r>
      <w:r w:rsidR="000B4544">
        <w:t xml:space="preserve"> a collective settlement approval order issued by the CAT</w:t>
      </w:r>
      <w:r>
        <w:t xml:space="preserve"> </w:t>
      </w:r>
      <w:r w:rsidR="000B4544">
        <w:t>in accordance with this rule.</w:t>
      </w:r>
      <w:r w:rsidR="00084590">
        <w:t xml:space="preserve"> An application for such an order must, among other things, ‘specify</w:t>
      </w:r>
      <w:r w:rsidR="005F27C0">
        <w:t xml:space="preserve"> how any sums received under the collective settlement are to be paid and distributed’</w:t>
      </w:r>
      <w:r w:rsidR="00946814">
        <w:t xml:space="preserve"> (</w:t>
      </w:r>
      <w:r w:rsidR="00B9389E">
        <w:t>para (4)(d))</w:t>
      </w:r>
      <w:r w:rsidR="005F27C0">
        <w:t xml:space="preserve">. </w:t>
      </w:r>
    </w:p>
    <w:p w14:paraId="57F8A232" w14:textId="70D55D45" w:rsidR="007E45CD" w:rsidRDefault="007C2915" w:rsidP="00CF561B">
      <w:pPr>
        <w:pStyle w:val="ParaLevel1"/>
      </w:pPr>
      <w:r>
        <w:t>The CAT held</w:t>
      </w:r>
      <w:r w:rsidR="002165EE">
        <w:t xml:space="preserve"> that it is implicit in this Rule</w:t>
      </w:r>
      <w:r w:rsidR="00165B9C">
        <w:t xml:space="preserve"> </w:t>
      </w:r>
      <w:r w:rsidR="005F27C0">
        <w:t xml:space="preserve">94(4)(d) </w:t>
      </w:r>
      <w:r w:rsidR="00165B9C">
        <w:t>that not only the terms of the settlement, but also the arrangements for distributing the settlement proceeds, require the approval of the CAT</w:t>
      </w:r>
      <w:r w:rsidR="00590B40">
        <w:t xml:space="preserve">, </w:t>
      </w:r>
      <w:r w:rsidR="004241FF">
        <w:t>and that the question for the CAT is whether those arrangements</w:t>
      </w:r>
      <w:r w:rsidR="00CB65CD">
        <w:t xml:space="preserve"> are just and reasonable</w:t>
      </w:r>
      <w:r w:rsidR="00165B9C">
        <w:t>.</w:t>
      </w:r>
      <w:r w:rsidR="00C90BEF">
        <w:t xml:space="preserve"> That conclusion has not been challenged before us and i</w:t>
      </w:r>
      <w:r w:rsidR="00BE5319">
        <w:t xml:space="preserve">s clearly </w:t>
      </w:r>
      <w:r w:rsidR="00C90BEF">
        <w:t>correct.</w:t>
      </w:r>
      <w:r w:rsidR="00302BAC">
        <w:t xml:space="preserve"> As Lord Briggs put it</w:t>
      </w:r>
      <w:r w:rsidR="00370144">
        <w:t xml:space="preserve"> when this case went to the Supreme Court</w:t>
      </w:r>
      <w:r w:rsidR="007E45CD">
        <w:t xml:space="preserve"> at the certification stage</w:t>
      </w:r>
      <w:r w:rsidR="004E3242">
        <w:t xml:space="preserve"> (</w:t>
      </w:r>
      <w:r w:rsidR="000E5E33">
        <w:t>[</w:t>
      </w:r>
      <w:r w:rsidR="004E3242">
        <w:t xml:space="preserve">2020] </w:t>
      </w:r>
      <w:proofErr w:type="spellStart"/>
      <w:r w:rsidR="004E3242">
        <w:t>UKSC</w:t>
      </w:r>
      <w:proofErr w:type="spellEnd"/>
      <w:r w:rsidR="004E3242">
        <w:t xml:space="preserve"> 51, [</w:t>
      </w:r>
      <w:r w:rsidR="0008574D">
        <w:t>2021</w:t>
      </w:r>
      <w:r w:rsidR="004E3242">
        <w:t xml:space="preserve">] </w:t>
      </w:r>
      <w:r w:rsidR="0008574D">
        <w:t>Bus LR</w:t>
      </w:r>
      <w:r w:rsidR="000E5E33">
        <w:t xml:space="preserve"> 25</w:t>
      </w:r>
      <w:r w:rsidR="0039721A">
        <w:t xml:space="preserve">, para </w:t>
      </w:r>
      <w:r w:rsidR="001F5E94">
        <w:t>58</w:t>
      </w:r>
      <w:r w:rsidR="000E5E33">
        <w:t>)</w:t>
      </w:r>
      <w:r w:rsidR="007E45CD">
        <w:t>:</w:t>
      </w:r>
    </w:p>
    <w:p w14:paraId="6C26C1E1" w14:textId="5EB4949A" w:rsidR="004F5F20" w:rsidRDefault="007E45CD" w:rsidP="00CF561B">
      <w:pPr>
        <w:pStyle w:val="Quote"/>
      </w:pPr>
      <w:r>
        <w:t>‘The only requirement, implied because distribution is judicially supervised,</w:t>
      </w:r>
      <w:r w:rsidR="004E3242">
        <w:t xml:space="preserve"> is that it should be just, in the sense of being fair and reasonable.’</w:t>
      </w:r>
      <w:r w:rsidR="007C2915">
        <w:t xml:space="preserve"> </w:t>
      </w:r>
    </w:p>
    <w:p w14:paraId="1D77BE1A" w14:textId="37F24750" w:rsidR="000152A7" w:rsidRDefault="003C4DBD" w:rsidP="00CF561B">
      <w:pPr>
        <w:pStyle w:val="ParaLevel1"/>
      </w:pPr>
      <w:r>
        <w:t xml:space="preserve">This </w:t>
      </w:r>
      <w:r w:rsidR="00C76C9F">
        <w:t xml:space="preserve">comment refers to distribution when there has been an award of </w:t>
      </w:r>
      <w:proofErr w:type="gramStart"/>
      <w:r w:rsidR="00C76C9F">
        <w:t>damages, but</w:t>
      </w:r>
      <w:proofErr w:type="gramEnd"/>
      <w:r w:rsidR="00C76C9F">
        <w:t xml:space="preserve"> applies equally </w:t>
      </w:r>
      <w:r w:rsidR="002056EC">
        <w:t xml:space="preserve">when the claim has been concluded by a settlement. </w:t>
      </w:r>
      <w:r w:rsidR="003C32B6">
        <w:t xml:space="preserve">In deciding </w:t>
      </w:r>
      <w:r w:rsidR="002B1DFC">
        <w:t>how the proceeds should be distributed, the CAT is exercis</w:t>
      </w:r>
      <w:r w:rsidR="009F18B1">
        <w:t>ing</w:t>
      </w:r>
      <w:r w:rsidR="002B1DFC">
        <w:t xml:space="preserve"> judgment</w:t>
      </w:r>
      <w:r w:rsidR="009F18B1">
        <w:t xml:space="preserve"> </w:t>
      </w:r>
      <w:r w:rsidR="006E3B1B">
        <w:t>as an expert specialist body</w:t>
      </w:r>
      <w:r w:rsidR="00133020">
        <w:t>,</w:t>
      </w:r>
      <w:r w:rsidR="006E3B1B">
        <w:t xml:space="preserve"> taking account of a range of factors.</w:t>
      </w:r>
      <w:r w:rsidR="00F672FF">
        <w:t xml:space="preserve"> It does so</w:t>
      </w:r>
      <w:r w:rsidR="00E34C5F">
        <w:t xml:space="preserve"> pursuant to a regime which ‘is in many respects a departure from established tenets of civil liability’(</w:t>
      </w:r>
      <w:r w:rsidR="00134A91" w:rsidRPr="00133020">
        <w:rPr>
          <w:i/>
          <w:iCs/>
        </w:rPr>
        <w:t xml:space="preserve">Le </w:t>
      </w:r>
      <w:proofErr w:type="spellStart"/>
      <w:r w:rsidR="00134A91" w:rsidRPr="00133020">
        <w:rPr>
          <w:i/>
          <w:iCs/>
        </w:rPr>
        <w:t>Patourel</w:t>
      </w:r>
      <w:proofErr w:type="spellEnd"/>
      <w:r w:rsidR="00134A91" w:rsidRPr="00133020">
        <w:rPr>
          <w:i/>
          <w:iCs/>
        </w:rPr>
        <w:t xml:space="preserve"> v BT Group Plc</w:t>
      </w:r>
      <w:r w:rsidR="00134A91">
        <w:t xml:space="preserve"> </w:t>
      </w:r>
      <w:r w:rsidR="00133020">
        <w:t xml:space="preserve">[2022] </w:t>
      </w:r>
      <w:proofErr w:type="spellStart"/>
      <w:r w:rsidR="00133020">
        <w:t>EWCA</w:t>
      </w:r>
      <w:proofErr w:type="spellEnd"/>
      <w:r w:rsidR="00133020">
        <w:t xml:space="preserve"> </w:t>
      </w:r>
      <w:proofErr w:type="spellStart"/>
      <w:r w:rsidR="00133020">
        <w:t>Civ</w:t>
      </w:r>
      <w:proofErr w:type="spellEnd"/>
      <w:r w:rsidR="00133020">
        <w:t xml:space="preserve"> 593, </w:t>
      </w:r>
      <w:r w:rsidR="00134A91">
        <w:t xml:space="preserve">[2022] Bus LR </w:t>
      </w:r>
      <w:r w:rsidR="00133020">
        <w:t xml:space="preserve">660, </w:t>
      </w:r>
      <w:r w:rsidR="00134A91">
        <w:t>para 89)</w:t>
      </w:r>
      <w:r w:rsidR="00426FBC">
        <w:t>,</w:t>
      </w:r>
      <w:r w:rsidR="00B1577C">
        <w:t xml:space="preserve"> </w:t>
      </w:r>
      <w:r w:rsidR="008762CF">
        <w:t xml:space="preserve">and </w:t>
      </w:r>
      <w:r w:rsidR="00B1577C">
        <w:t>in the exercise of ‘wide unrestricted powers’</w:t>
      </w:r>
      <w:r w:rsidR="00AA5D6E">
        <w:t xml:space="preserve"> (</w:t>
      </w:r>
      <w:r w:rsidR="00426FBC" w:rsidRPr="00E064F0">
        <w:rPr>
          <w:i/>
          <w:iCs/>
        </w:rPr>
        <w:t>Gutmann v Apple Inc</w:t>
      </w:r>
      <w:r w:rsidR="00426FBC">
        <w:t xml:space="preserve"> [2025] </w:t>
      </w:r>
      <w:proofErr w:type="spellStart"/>
      <w:r w:rsidR="00426FBC">
        <w:t>EWCA</w:t>
      </w:r>
      <w:proofErr w:type="spellEnd"/>
      <w:r w:rsidR="00426FBC">
        <w:t xml:space="preserve"> </w:t>
      </w:r>
      <w:proofErr w:type="spellStart"/>
      <w:r w:rsidR="00426FBC">
        <w:t>Civ</w:t>
      </w:r>
      <w:proofErr w:type="spellEnd"/>
      <w:r w:rsidR="00426FBC">
        <w:t xml:space="preserve"> 459, [2025] Bus LR 1292, para </w:t>
      </w:r>
      <w:r w:rsidR="00B1577C">
        <w:t>78</w:t>
      </w:r>
      <w:r w:rsidR="00AA5D6E">
        <w:t>)</w:t>
      </w:r>
      <w:r w:rsidR="00134A91">
        <w:t xml:space="preserve">. </w:t>
      </w:r>
    </w:p>
    <w:p w14:paraId="338D1C31" w14:textId="49235D76" w:rsidR="0090018B" w:rsidRDefault="00EA134F" w:rsidP="00CF561B">
      <w:pPr>
        <w:pStyle w:val="ParaLevel1"/>
      </w:pPr>
      <w:proofErr w:type="gramStart"/>
      <w:r>
        <w:t>Accordingly</w:t>
      </w:r>
      <w:proofErr w:type="gramEnd"/>
      <w:r>
        <w:t xml:space="preserve"> the CAT has a very wide </w:t>
      </w:r>
      <w:r w:rsidR="005A693A">
        <w:t>scope</w:t>
      </w:r>
      <w:r w:rsidR="007A7CB8">
        <w:t xml:space="preserve"> to decide how the proceeds of settlement should be distributed as between</w:t>
      </w:r>
      <w:r w:rsidR="00313739">
        <w:t xml:space="preserve"> the funder and the members of the class.</w:t>
      </w:r>
      <w:r w:rsidR="00AA1379">
        <w:t xml:space="preserve"> Th</w:t>
      </w:r>
      <w:r w:rsidR="00C16C76">
        <w:t>is</w:t>
      </w:r>
      <w:r w:rsidR="005537A5">
        <w:t xml:space="preserve"> has sometimes been described</w:t>
      </w:r>
      <w:r w:rsidR="007F4B0D">
        <w:t xml:space="preserve"> as </w:t>
      </w:r>
      <w:r w:rsidR="00380205">
        <w:t>an</w:t>
      </w:r>
      <w:r w:rsidR="007F4B0D">
        <w:t xml:space="preserve"> exercise of discretion. It</w:t>
      </w:r>
      <w:r w:rsidR="00AA1379">
        <w:t xml:space="preserve"> may be better viewed</w:t>
      </w:r>
      <w:r w:rsidR="00566A00">
        <w:t xml:space="preserve"> as an evaluative assessment,</w:t>
      </w:r>
      <w:r w:rsidR="00001959">
        <w:t xml:space="preserve"> although for practical purposes this will make little if any difference. </w:t>
      </w:r>
    </w:p>
    <w:p w14:paraId="5BDDF020" w14:textId="6668C8E9" w:rsidR="00A1460F" w:rsidRDefault="00001959" w:rsidP="00CF561B">
      <w:pPr>
        <w:pStyle w:val="ParaLevel1"/>
      </w:pPr>
      <w:r>
        <w:t>The important point</w:t>
      </w:r>
      <w:r w:rsidR="0032177F">
        <w:t xml:space="preserve"> </w:t>
      </w:r>
      <w:r w:rsidR="0090018B">
        <w:t xml:space="preserve">for present purposes </w:t>
      </w:r>
      <w:r w:rsidR="007C1C90">
        <w:t>is</w:t>
      </w:r>
      <w:r>
        <w:t xml:space="preserve"> that the</w:t>
      </w:r>
      <w:r w:rsidR="00CC47CC">
        <w:t xml:space="preserve"> CAT’s decisi</w:t>
      </w:r>
      <w:r w:rsidR="00C16C76">
        <w:t>on</w:t>
      </w:r>
      <w:r w:rsidR="002668E7">
        <w:t xml:space="preserve"> </w:t>
      </w:r>
      <w:r w:rsidR="00D35F60">
        <w:t>w</w:t>
      </w:r>
      <w:r w:rsidR="00380205">
        <w:t>ill</w:t>
      </w:r>
      <w:r w:rsidR="00D35F60">
        <w:t xml:space="preserve"> only be open to challenge on appeal if there </w:t>
      </w:r>
      <w:r w:rsidR="00380205">
        <w:t>is</w:t>
      </w:r>
      <w:r w:rsidR="00D35F60">
        <w:t xml:space="preserve"> some identifiable flaw in its treatment of the question to be decided, such as a gap in logic,</w:t>
      </w:r>
      <w:r w:rsidR="00233B3A">
        <w:t xml:space="preserve"> a lack of consistency, or a failure to take account of some material factor, which undermines </w:t>
      </w:r>
      <w:r w:rsidR="00233B3A" w:rsidRPr="005C4046">
        <w:t xml:space="preserve">the cogency of its </w:t>
      </w:r>
      <w:r w:rsidR="00233B3A">
        <w:t>conclusion</w:t>
      </w:r>
      <w:r w:rsidR="00A8109F">
        <w:t xml:space="preserve"> (</w:t>
      </w:r>
      <w:r w:rsidR="00A8109F" w:rsidRPr="0030008D">
        <w:rPr>
          <w:i/>
          <w:iCs/>
        </w:rPr>
        <w:t xml:space="preserve">In re </w:t>
      </w:r>
      <w:proofErr w:type="spellStart"/>
      <w:r w:rsidR="00A8109F" w:rsidRPr="0030008D">
        <w:rPr>
          <w:i/>
          <w:iCs/>
        </w:rPr>
        <w:t>Sprintroom</w:t>
      </w:r>
      <w:proofErr w:type="spellEnd"/>
      <w:r w:rsidR="00A8109F" w:rsidRPr="0030008D">
        <w:rPr>
          <w:i/>
          <w:iCs/>
        </w:rPr>
        <w:t xml:space="preserve"> Ltd</w:t>
      </w:r>
      <w:r w:rsidR="00A8109F">
        <w:t xml:space="preserve"> [2019] </w:t>
      </w:r>
      <w:proofErr w:type="spellStart"/>
      <w:r w:rsidR="00A8109F">
        <w:t>EWCA</w:t>
      </w:r>
      <w:proofErr w:type="spellEnd"/>
      <w:r w:rsidR="00A8109F">
        <w:t xml:space="preserve"> </w:t>
      </w:r>
      <w:proofErr w:type="spellStart"/>
      <w:r w:rsidR="00A8109F">
        <w:t>Civ</w:t>
      </w:r>
      <w:proofErr w:type="spellEnd"/>
      <w:r w:rsidR="00A8109F">
        <w:t xml:space="preserve"> 932</w:t>
      </w:r>
      <w:r w:rsidR="00233B3A">
        <w:t xml:space="preserve">, </w:t>
      </w:r>
      <w:r w:rsidR="001653FA">
        <w:t>[2019] BCC 1031</w:t>
      </w:r>
      <w:r w:rsidR="000254FC">
        <w:t xml:space="preserve">, </w:t>
      </w:r>
      <w:r w:rsidR="00233B3A">
        <w:t>para</w:t>
      </w:r>
      <w:r w:rsidR="0030008D">
        <w:t>s</w:t>
      </w:r>
      <w:r w:rsidR="00233B3A">
        <w:t xml:space="preserve"> </w:t>
      </w:r>
      <w:r w:rsidR="0032177F">
        <w:t>76</w:t>
      </w:r>
      <w:r w:rsidR="0030008D">
        <w:t xml:space="preserve"> to 78</w:t>
      </w:r>
      <w:r w:rsidR="004110B8">
        <w:t>)</w:t>
      </w:r>
      <w:r w:rsidR="00E12368">
        <w:t>.</w:t>
      </w:r>
      <w:r w:rsidR="00A1460F" w:rsidRPr="00A1460F">
        <w:t xml:space="preserve"> </w:t>
      </w:r>
      <w:proofErr w:type="gramStart"/>
      <w:r w:rsidR="00A1460F">
        <w:t>Thus</w:t>
      </w:r>
      <w:proofErr w:type="gramEnd"/>
      <w:r w:rsidR="00A1460F">
        <w:t xml:space="preserve"> it is not any error which requires a decision of the CAT to be set aside on appeal. The error </w:t>
      </w:r>
      <w:r w:rsidR="00A1460F">
        <w:lastRenderedPageBreak/>
        <w:t>must be material, in the sense that it is sufficiently important t</w:t>
      </w:r>
      <w:r w:rsidR="00370463">
        <w:t>o</w:t>
      </w:r>
      <w:r w:rsidR="00A1460F">
        <w:t xml:space="preserve"> undermine the cogency of the CAT’s conclusion.</w:t>
      </w:r>
    </w:p>
    <w:p w14:paraId="4186521E" w14:textId="2980A7C2" w:rsidR="00942843" w:rsidRDefault="00406F7E" w:rsidP="00CF561B">
      <w:pPr>
        <w:pStyle w:val="ParaLevel1"/>
      </w:pPr>
      <w:proofErr w:type="gramStart"/>
      <w:r>
        <w:t>Accordingly</w:t>
      </w:r>
      <w:proofErr w:type="gramEnd"/>
      <w:r>
        <w:t xml:space="preserve"> </w:t>
      </w:r>
      <w:r w:rsidR="008079FC">
        <w:t>an appellate court</w:t>
      </w:r>
      <w:r w:rsidR="00A43E16">
        <w:t xml:space="preserve"> would need to be cautious</w:t>
      </w:r>
      <w:r w:rsidR="0060534A">
        <w:t xml:space="preserve"> before interfering with the decision of a specialist tribunal such as the CAT on a question</w:t>
      </w:r>
      <w:r w:rsidR="0092366B">
        <w:t xml:space="preserve"> </w:t>
      </w:r>
      <w:r w:rsidR="000254FC">
        <w:t>whether</w:t>
      </w:r>
      <w:r w:rsidR="00EC7808">
        <w:t xml:space="preserve"> the arrangements for distributing the proceeds of a settlement are </w:t>
      </w:r>
      <w:r w:rsidR="0092366B">
        <w:t>just and reasonable</w:t>
      </w:r>
      <w:r w:rsidR="0030008D">
        <w:t>.</w:t>
      </w:r>
      <w:r w:rsidR="00BE7F9C">
        <w:t xml:space="preserve"> In the case of an appeal from the</w:t>
      </w:r>
      <w:r w:rsidR="00F23319">
        <w:t xml:space="preserve"> CAT,</w:t>
      </w:r>
      <w:r w:rsidR="00974917">
        <w:t xml:space="preserve"> </w:t>
      </w:r>
      <w:r w:rsidR="003D3945">
        <w:t>a further limiting factor is that an appeal will only lie on a point of law</w:t>
      </w:r>
      <w:r w:rsidR="00740735">
        <w:t>, although it has been said that this</w:t>
      </w:r>
      <w:r w:rsidR="00EC5FDD">
        <w:t xml:space="preserve"> requirement should be construed broadly</w:t>
      </w:r>
      <w:r w:rsidR="00317DFD">
        <w:t xml:space="preserve"> (Competition Act</w:t>
      </w:r>
      <w:r w:rsidR="00ED1275">
        <w:t xml:space="preserve"> 1998</w:t>
      </w:r>
      <w:r w:rsidR="00317DFD">
        <w:t>, section 49(1A)(a)</w:t>
      </w:r>
      <w:r w:rsidR="001332DE">
        <w:t xml:space="preserve"> and </w:t>
      </w:r>
      <w:r w:rsidR="001332DE" w:rsidRPr="00406F7E">
        <w:rPr>
          <w:i/>
          <w:iCs/>
        </w:rPr>
        <w:t xml:space="preserve">O’Higgins </w:t>
      </w:r>
      <w:r w:rsidR="00486F1C" w:rsidRPr="00406F7E">
        <w:rPr>
          <w:i/>
          <w:iCs/>
        </w:rPr>
        <w:t>v</w:t>
      </w:r>
      <w:r w:rsidR="001332DE" w:rsidRPr="00406F7E">
        <w:rPr>
          <w:i/>
          <w:iCs/>
        </w:rPr>
        <w:t xml:space="preserve"> Barclays Bank Plc</w:t>
      </w:r>
      <w:r w:rsidR="001332DE">
        <w:t xml:space="preserve"> [</w:t>
      </w:r>
      <w:r w:rsidR="00C57B3D">
        <w:t xml:space="preserve">2023] </w:t>
      </w:r>
      <w:proofErr w:type="spellStart"/>
      <w:r w:rsidR="00C57B3D">
        <w:t>EWCA</w:t>
      </w:r>
      <w:proofErr w:type="spellEnd"/>
      <w:r w:rsidR="00C57B3D">
        <w:t xml:space="preserve"> </w:t>
      </w:r>
      <w:proofErr w:type="spellStart"/>
      <w:r w:rsidR="00C57B3D">
        <w:t>Civ</w:t>
      </w:r>
      <w:proofErr w:type="spellEnd"/>
      <w:r w:rsidR="00C57B3D">
        <w:t xml:space="preserve"> 876, [2024] Bus LR 366</w:t>
      </w:r>
      <w:r w:rsidR="00486F1C">
        <w:t>,</w:t>
      </w:r>
      <w:r w:rsidR="00C57B3D">
        <w:t xml:space="preserve"> </w:t>
      </w:r>
      <w:r w:rsidR="00486F1C">
        <w:t>paras 44 to 47</w:t>
      </w:r>
      <w:r w:rsidR="00EC5FDD">
        <w:t xml:space="preserve"> and </w:t>
      </w:r>
      <w:r w:rsidR="0090018B">
        <w:t>57</w:t>
      </w:r>
      <w:r w:rsidR="00317DFD">
        <w:t>).</w:t>
      </w:r>
      <w:r w:rsidR="00C373C1">
        <w:t xml:space="preserve"> </w:t>
      </w:r>
    </w:p>
    <w:p w14:paraId="42D94B7A" w14:textId="75F8DE4A" w:rsidR="00EA134F" w:rsidRDefault="00C373C1" w:rsidP="00CF561B">
      <w:pPr>
        <w:pStyle w:val="ParaLevel1"/>
      </w:pPr>
      <w:r>
        <w:t>The limited scope</w:t>
      </w:r>
      <w:r w:rsidR="00F262B1">
        <w:t xml:space="preserve"> of an appeal from an evaluative judgment of the CAT</w:t>
      </w:r>
      <w:r w:rsidR="00942843">
        <w:t xml:space="preserve"> was emphasised in</w:t>
      </w:r>
      <w:r w:rsidR="00356B50">
        <w:t xml:space="preserve"> </w:t>
      </w:r>
      <w:r w:rsidR="00356B50" w:rsidRPr="00050C63">
        <w:rPr>
          <w:i/>
          <w:iCs/>
        </w:rPr>
        <w:t xml:space="preserve">Evans v Barclays </w:t>
      </w:r>
      <w:r w:rsidR="00050C63" w:rsidRPr="00050C63">
        <w:rPr>
          <w:i/>
          <w:iCs/>
        </w:rPr>
        <w:t>B</w:t>
      </w:r>
      <w:r w:rsidR="00356B50" w:rsidRPr="00050C63">
        <w:rPr>
          <w:i/>
          <w:iCs/>
        </w:rPr>
        <w:t>ank Plc</w:t>
      </w:r>
      <w:r w:rsidR="00356B50">
        <w:t xml:space="preserve"> </w:t>
      </w:r>
      <w:r w:rsidR="00D86C91">
        <w:t xml:space="preserve">[2025] </w:t>
      </w:r>
      <w:proofErr w:type="spellStart"/>
      <w:r w:rsidR="00D86C91">
        <w:t>UKSC</w:t>
      </w:r>
      <w:proofErr w:type="spellEnd"/>
      <w:r w:rsidR="00D86C91">
        <w:t xml:space="preserve"> 48, [2026] Bus LR 328</w:t>
      </w:r>
      <w:r w:rsidR="00AF1925">
        <w:t xml:space="preserve"> (on appeal from </w:t>
      </w:r>
      <w:r w:rsidR="00AF1925">
        <w:rPr>
          <w:i/>
          <w:iCs/>
        </w:rPr>
        <w:t>O’Higgins</w:t>
      </w:r>
      <w:r w:rsidR="00AF1925">
        <w:t>)</w:t>
      </w:r>
      <w:r w:rsidR="00D86C91">
        <w:t>:</w:t>
      </w:r>
    </w:p>
    <w:p w14:paraId="0341F56F" w14:textId="7DC0DEA8" w:rsidR="00AF1925" w:rsidRDefault="00962777" w:rsidP="00CF561B">
      <w:pPr>
        <w:pStyle w:val="Quote"/>
      </w:pPr>
      <w:r>
        <w:t>‘</w:t>
      </w:r>
      <w:r w:rsidR="00444F6C" w:rsidRPr="00444F6C">
        <w:t xml:space="preserve">128. In our view, the essential error made by the Court of Appeal in its analysis of practicability was that it failed to follow the sound guidance given in its earlier judgment in </w:t>
      </w:r>
      <w:r w:rsidR="00444F6C" w:rsidRPr="00AF1925">
        <w:rPr>
          <w:i/>
          <w:iCs/>
        </w:rPr>
        <w:t xml:space="preserve">Le </w:t>
      </w:r>
      <w:proofErr w:type="spellStart"/>
      <w:r w:rsidR="00444F6C" w:rsidRPr="00AF1925">
        <w:rPr>
          <w:i/>
          <w:iCs/>
        </w:rPr>
        <w:t>Patourel</w:t>
      </w:r>
      <w:proofErr w:type="spellEnd"/>
      <w:r w:rsidR="00444F6C" w:rsidRPr="00444F6C">
        <w:t xml:space="preserve"> about the approach the Court of Appeal should adopt when considering evaluative judgments made by the Tribunal and instead made its own assessment of the evidence, substituting its own evaluation for that of the Tribunal. </w:t>
      </w:r>
    </w:p>
    <w:p w14:paraId="79E43384" w14:textId="77777777" w:rsidR="00F44055" w:rsidRDefault="00444F6C" w:rsidP="00CF561B">
      <w:pPr>
        <w:pStyle w:val="Quote"/>
      </w:pPr>
      <w:r w:rsidRPr="00444F6C">
        <w:t xml:space="preserve">129. In </w:t>
      </w:r>
      <w:r w:rsidRPr="00AF1925">
        <w:rPr>
          <w:i/>
          <w:iCs/>
        </w:rPr>
        <w:t xml:space="preserve">Le </w:t>
      </w:r>
      <w:proofErr w:type="spellStart"/>
      <w:r w:rsidRPr="00AF1925">
        <w:rPr>
          <w:i/>
          <w:iCs/>
        </w:rPr>
        <w:t>Patourel</w:t>
      </w:r>
      <w:proofErr w:type="spellEnd"/>
      <w:r w:rsidRPr="00444F6C">
        <w:t xml:space="preserve">, at para 57, the Court of Appeal considered the circumstances in which it is legitimate for the Court of Appeal to interfere with the evaluation of facts made by the Tribunal. Green LJ said that: </w:t>
      </w:r>
    </w:p>
    <w:p w14:paraId="48A2D0C5" w14:textId="7AEF82AB" w:rsidR="00C34CF2" w:rsidRDefault="00444F6C" w:rsidP="00CF561B">
      <w:pPr>
        <w:pStyle w:val="Quote"/>
        <w:ind w:left="1701"/>
      </w:pPr>
      <w:r w:rsidRPr="00444F6C">
        <w:t xml:space="preserve">“when it comes to the weighing up of the various factors relevant to the choice of opt-out or opt-in this is essentially an exercise of judgment over facts and evidence by an expert, specialist, body, that will over time accrue an increasing well of experience in how to handle these complex cases. The appellate courts recognise that the case management decisions of the [Tribunal] are exercises in pragmatism and that undue formalism and precision are not required … These considerations broaden the Tribunal’s margin of discretion or judgment. This </w:t>
      </w:r>
      <w:r w:rsidR="00AE5834">
        <w:t>c</w:t>
      </w:r>
      <w:r w:rsidRPr="00444F6C">
        <w:t xml:space="preserve">ourt should not interfere simply because it might, for the sake of argument, have drawn a different conclusion from the weighing exercise. We would expect that most opt-out/opt-in decisions will involve a weighing exercise of this nature.” </w:t>
      </w:r>
    </w:p>
    <w:p w14:paraId="1EE41B5E" w14:textId="77777777" w:rsidR="00FE2582" w:rsidRDefault="00444F6C" w:rsidP="00CF561B">
      <w:pPr>
        <w:pStyle w:val="Quote"/>
      </w:pPr>
      <w:r w:rsidRPr="00444F6C">
        <w:t xml:space="preserve">130. In </w:t>
      </w:r>
      <w:r w:rsidRPr="00D43DA2">
        <w:rPr>
          <w:i/>
          <w:iCs/>
        </w:rPr>
        <w:t xml:space="preserve">Le </w:t>
      </w:r>
      <w:proofErr w:type="spellStart"/>
      <w:r w:rsidRPr="00D43DA2">
        <w:rPr>
          <w:i/>
          <w:iCs/>
        </w:rPr>
        <w:t>Patourel</w:t>
      </w:r>
      <w:proofErr w:type="spellEnd"/>
      <w:r w:rsidRPr="00D43DA2">
        <w:rPr>
          <w:i/>
          <w:iCs/>
        </w:rPr>
        <w:t xml:space="preserve"> </w:t>
      </w:r>
      <w:r w:rsidRPr="00444F6C">
        <w:t xml:space="preserve">the Court of Appeal also pointed out, at para 83, that the concept of practicability is “highly fact and context sensitive and will include, as one facet of this broad analysis, the Tribunal using its expert judgement to envisage how the costs and benefits of litigation will play out upon an opt-out or opt-in basis. The view the Tribunal takes will be a conclusion reached by an expert body with a growing depth of experience in the conduct of collective proceedings”. In that case the Tribunal had </w:t>
      </w:r>
      <w:r w:rsidRPr="00444F6C">
        <w:lastRenderedPageBreak/>
        <w:t xml:space="preserve">examined relevant factors such as size of class, the scale of a possible award and the impact of these on funding as important considerations. The Court of Appeal concluded, at para 74: </w:t>
      </w:r>
    </w:p>
    <w:p w14:paraId="423FBC3D" w14:textId="6FFD5EAB" w:rsidR="00050C63" w:rsidRDefault="00444F6C" w:rsidP="00CF561B">
      <w:pPr>
        <w:pStyle w:val="Quote"/>
        <w:ind w:left="1701"/>
      </w:pPr>
      <w:r w:rsidRPr="00444F6C">
        <w:t>“The [Tribunal] came to specialist conclusions which lay squarely within its broad margin of judgement. There is in our judgment no basis in law upon which this court can properly interfere</w:t>
      </w:r>
      <w:r w:rsidR="00FE2582">
        <w:t>”</w:t>
      </w:r>
      <w:r w:rsidRPr="00444F6C">
        <w:t>.</w:t>
      </w:r>
      <w:r w:rsidR="00FE2582">
        <w:t>’</w:t>
      </w:r>
    </w:p>
    <w:p w14:paraId="64274F71" w14:textId="789947E6" w:rsidR="00863FE3" w:rsidRDefault="004A62FF" w:rsidP="00CF561B">
      <w:pPr>
        <w:pStyle w:val="ParaLevel1"/>
      </w:pPr>
      <w:r>
        <w:t>Although the context</w:t>
      </w:r>
      <w:r w:rsidR="000201E2">
        <w:t xml:space="preserve"> for </w:t>
      </w:r>
      <w:r w:rsidR="00863FE3">
        <w:t xml:space="preserve">these remarks </w:t>
      </w:r>
      <w:r w:rsidR="000201E2">
        <w:t xml:space="preserve">is whether to certify </w:t>
      </w:r>
      <w:r w:rsidR="00863FE3">
        <w:t xml:space="preserve">collective </w:t>
      </w:r>
      <w:r w:rsidR="000201E2">
        <w:t>proceedings as opt</w:t>
      </w:r>
      <w:r w:rsidR="00863FE3">
        <w:t>-</w:t>
      </w:r>
      <w:r w:rsidR="000201E2">
        <w:t>in or opt</w:t>
      </w:r>
      <w:r w:rsidR="00863FE3">
        <w:t>-</w:t>
      </w:r>
      <w:r w:rsidR="000201E2">
        <w:t xml:space="preserve">out, </w:t>
      </w:r>
      <w:r w:rsidR="00F75D4B">
        <w:t>they are equally applicable to the question whether a decision</w:t>
      </w:r>
      <w:r w:rsidR="00A858B1">
        <w:t xml:space="preserve"> as to the distribution of settlement proceeds is just and reasonable.</w:t>
      </w:r>
    </w:p>
    <w:p w14:paraId="01C4936E" w14:textId="06610EBF" w:rsidR="00666228" w:rsidRDefault="00666228" w:rsidP="00CF561B">
      <w:pPr>
        <w:pStyle w:val="ParaLevel1"/>
      </w:pPr>
      <w:r>
        <w:t>Of</w:t>
      </w:r>
      <w:r w:rsidR="00EA0543">
        <w:t xml:space="preserve"> course, this is not an appeal, but a claim for judicial review.</w:t>
      </w:r>
      <w:r w:rsidR="00935857">
        <w:t xml:space="preserve"> Accordingly Mr Charles Béar </w:t>
      </w:r>
      <w:r w:rsidR="007C10BE">
        <w:t xml:space="preserve">KC </w:t>
      </w:r>
      <w:r w:rsidR="00935857">
        <w:t xml:space="preserve">for the claimant </w:t>
      </w:r>
      <w:r w:rsidR="00990E11">
        <w:t>invoked principles of public law,</w:t>
      </w:r>
      <w:r w:rsidR="00F76B45">
        <w:t xml:space="preserve"> including</w:t>
      </w:r>
      <w:r w:rsidR="00CF395A">
        <w:t xml:space="preserve"> the twin concepts of process rationality and outcome rationality explained by Mr Justice Chamberlain in</w:t>
      </w:r>
      <w:r w:rsidR="00606467">
        <w:t xml:space="preserve"> </w:t>
      </w:r>
      <w:r w:rsidR="00606467" w:rsidRPr="00215ED2">
        <w:rPr>
          <w:i/>
          <w:iCs/>
        </w:rPr>
        <w:t>R (</w:t>
      </w:r>
      <w:proofErr w:type="spellStart"/>
      <w:r w:rsidR="00606467" w:rsidRPr="00215ED2">
        <w:rPr>
          <w:i/>
          <w:iCs/>
        </w:rPr>
        <w:t>KP</w:t>
      </w:r>
      <w:proofErr w:type="spellEnd"/>
      <w:r w:rsidR="00606467" w:rsidRPr="00215ED2">
        <w:rPr>
          <w:i/>
          <w:iCs/>
        </w:rPr>
        <w:t>)v Secretary of State for Foreign, Commonwealth and Development Affairs</w:t>
      </w:r>
      <w:r w:rsidR="00CC41A7">
        <w:t xml:space="preserve"> [2025] </w:t>
      </w:r>
      <w:proofErr w:type="spellStart"/>
      <w:r w:rsidR="00CC41A7">
        <w:t>EWHC</w:t>
      </w:r>
      <w:proofErr w:type="spellEnd"/>
      <w:r w:rsidR="00CC41A7">
        <w:t xml:space="preserve"> 370 (Admin), paras 56 and 57, </w:t>
      </w:r>
      <w:r w:rsidR="00640FDD">
        <w:t xml:space="preserve">and reiterated in </w:t>
      </w:r>
      <w:r w:rsidR="00FB3CAD" w:rsidRPr="00215ED2">
        <w:rPr>
          <w:i/>
          <w:iCs/>
        </w:rPr>
        <w:t>R</w:t>
      </w:r>
      <w:r w:rsidR="00640FDD" w:rsidRPr="00215ED2">
        <w:rPr>
          <w:i/>
          <w:iCs/>
        </w:rPr>
        <w:t xml:space="preserve"> </w:t>
      </w:r>
      <w:r w:rsidR="00FB3CAD" w:rsidRPr="00215ED2">
        <w:rPr>
          <w:i/>
          <w:iCs/>
        </w:rPr>
        <w:t>(</w:t>
      </w:r>
      <w:r w:rsidR="00640FDD" w:rsidRPr="00215ED2">
        <w:rPr>
          <w:i/>
          <w:iCs/>
        </w:rPr>
        <w:t xml:space="preserve">BEL) </w:t>
      </w:r>
      <w:r w:rsidR="00FB3CAD" w:rsidRPr="00215ED2">
        <w:rPr>
          <w:i/>
          <w:iCs/>
        </w:rPr>
        <w:t>v Secretary of State for Foreign, Commonwealth and Development Affairs</w:t>
      </w:r>
      <w:r w:rsidR="00FB3CAD">
        <w:t xml:space="preserve"> [2025] </w:t>
      </w:r>
      <w:proofErr w:type="spellStart"/>
      <w:r w:rsidR="00FB3CAD">
        <w:t>EWHC</w:t>
      </w:r>
      <w:proofErr w:type="spellEnd"/>
      <w:r w:rsidR="00215ED2">
        <w:t xml:space="preserve"> 1970</w:t>
      </w:r>
      <w:r w:rsidR="00FB3CAD">
        <w:t xml:space="preserve"> </w:t>
      </w:r>
      <w:r w:rsidR="00215ED2">
        <w:t>(</w:t>
      </w:r>
      <w:r w:rsidR="00FB3CAD">
        <w:t>Admin)</w:t>
      </w:r>
      <w:r w:rsidR="00640FDD">
        <w:t xml:space="preserve"> para 108.</w:t>
      </w:r>
      <w:r w:rsidR="00131EB1">
        <w:t xml:space="preserve"> </w:t>
      </w:r>
    </w:p>
    <w:p w14:paraId="6C5E813C" w14:textId="23E7693B" w:rsidR="0063585D" w:rsidRPr="00EA134F" w:rsidRDefault="00A825AA" w:rsidP="00CF561B">
      <w:pPr>
        <w:pStyle w:val="ParaLevel1"/>
      </w:pPr>
      <w:r>
        <w:t>It</w:t>
      </w:r>
      <w:r w:rsidR="003339E9">
        <w:t xml:space="preserve"> may be that it does not matter much, if at all, which of these approaches is followed. As Lord Justice Green observed in </w:t>
      </w:r>
      <w:r w:rsidR="003339E9" w:rsidRPr="003339E9">
        <w:rPr>
          <w:i/>
          <w:iCs/>
        </w:rPr>
        <w:t>O’Higgins</w:t>
      </w:r>
      <w:r w:rsidR="003339E9">
        <w:t>, para 58, i</w:t>
      </w:r>
      <w:r w:rsidR="0063585D">
        <w:t xml:space="preserve">n practical terms there is not a great deal of difference </w:t>
      </w:r>
      <w:r w:rsidR="008142E6">
        <w:t xml:space="preserve">between </w:t>
      </w:r>
      <w:r w:rsidR="0063585D">
        <w:t>an appeal on a point of law and judicial revie</w:t>
      </w:r>
      <w:r w:rsidR="003339E9">
        <w:t>w.</w:t>
      </w:r>
      <w:r w:rsidR="002E3EDB">
        <w:t xml:space="preserve"> However,</w:t>
      </w:r>
      <w:r w:rsidR="00DA610F">
        <w:t xml:space="preserve"> if and to the extent that it does matter, it would seem to me to be perverse to allow </w:t>
      </w:r>
      <w:r w:rsidR="00F464AE">
        <w:t>a non</w:t>
      </w:r>
      <w:r w:rsidR="007347C0">
        <w:t>-</w:t>
      </w:r>
      <w:r w:rsidR="00F464AE">
        <w:t xml:space="preserve">party to the collective proceedings </w:t>
      </w:r>
      <w:r w:rsidR="00DA610F">
        <w:t>a greater scope for challenging the decision of the CAT by way of judicial review than would be possible on an appeal</w:t>
      </w:r>
      <w:r w:rsidR="00F464AE">
        <w:t xml:space="preserve"> on a question of law by a party to the proceedings.</w:t>
      </w:r>
      <w:r w:rsidR="009152F0">
        <w:t xml:space="preserve"> </w:t>
      </w:r>
      <w:r w:rsidR="00AA2661">
        <w:t>Accordingly, in considering the</w:t>
      </w:r>
      <w:r w:rsidR="007473F1">
        <w:t xml:space="preserve"> lawfulness, including the</w:t>
      </w:r>
      <w:r w:rsidR="00AA2661">
        <w:t xml:space="preserve"> rationality</w:t>
      </w:r>
      <w:r w:rsidR="007473F1">
        <w:t>,</w:t>
      </w:r>
      <w:r w:rsidR="00AA2661">
        <w:t xml:space="preserve"> of the CAT’s decision for public law purposes,</w:t>
      </w:r>
      <w:r w:rsidR="0055253D">
        <w:t xml:space="preserve"> we should adopt the same approach as would apply on an appeal.</w:t>
      </w:r>
    </w:p>
    <w:p w14:paraId="462D3769" w14:textId="1B4A3F57" w:rsidR="00085F6A" w:rsidRPr="00685174" w:rsidRDefault="00085F6A" w:rsidP="00CF561B">
      <w:pPr>
        <w:pStyle w:val="ParaLevel1"/>
        <w:numPr>
          <w:ilvl w:val="0"/>
          <w:numId w:val="0"/>
        </w:numPr>
        <w:rPr>
          <w:b/>
          <w:bCs/>
        </w:rPr>
      </w:pPr>
      <w:r w:rsidRPr="00685174">
        <w:rPr>
          <w:b/>
          <w:bCs/>
          <w:i/>
          <w:iCs/>
        </w:rPr>
        <w:t>Ground 1</w:t>
      </w:r>
      <w:r w:rsidRPr="00685174">
        <w:rPr>
          <w:b/>
          <w:bCs/>
        </w:rPr>
        <w:t>: The Australian authorit</w:t>
      </w:r>
      <w:r w:rsidR="00445E79">
        <w:rPr>
          <w:b/>
          <w:bCs/>
        </w:rPr>
        <w:t>ies</w:t>
      </w:r>
    </w:p>
    <w:p w14:paraId="2F0D0F51" w14:textId="1A525A0A" w:rsidR="00CD54F0" w:rsidRDefault="003E117B" w:rsidP="00CF561B">
      <w:pPr>
        <w:pStyle w:val="ParaLevel1"/>
      </w:pPr>
      <w:r>
        <w:t>As I have explained,</w:t>
      </w:r>
      <w:r w:rsidR="00050F27">
        <w:t xml:space="preserve"> one of the factors which the CAT </w:t>
      </w:r>
      <w:proofErr w:type="gramStart"/>
      <w:r w:rsidR="00050F27">
        <w:t>took into account</w:t>
      </w:r>
      <w:proofErr w:type="gramEnd"/>
      <w:r w:rsidR="00050F27">
        <w:t xml:space="preserve"> in arriving at the appropriate profit for the claimant</w:t>
      </w:r>
      <w:r w:rsidR="00E31C5A">
        <w:t xml:space="preserve"> was</w:t>
      </w:r>
      <w:r w:rsidR="008D6701" w:rsidRPr="008D6701">
        <w:t xml:space="preserve"> </w:t>
      </w:r>
      <w:r w:rsidR="008D6701">
        <w:t xml:space="preserve">evidence from Australian case law </w:t>
      </w:r>
      <w:r w:rsidR="00E31C5A">
        <w:t xml:space="preserve">which </w:t>
      </w:r>
      <w:r w:rsidR="008D6701">
        <w:t>suggested that a</w:t>
      </w:r>
      <w:r w:rsidR="00E31C5A">
        <w:t>n</w:t>
      </w:r>
      <w:r w:rsidR="008D6701">
        <w:t xml:space="preserve"> ROI of between 1.2 and 1.9 was typical for one </w:t>
      </w:r>
      <w:r w:rsidR="008D6701" w:rsidRPr="00DE1C2E">
        <w:t>substantial litigation funder</w:t>
      </w:r>
      <w:r w:rsidR="0065619A">
        <w:t>. Mr Béar</w:t>
      </w:r>
      <w:r w:rsidR="00DA2973">
        <w:t xml:space="preserve"> submitted that the CAT misunderstood this case law</w:t>
      </w:r>
      <w:r w:rsidR="00B03533">
        <w:t xml:space="preserve">, </w:t>
      </w:r>
      <w:r w:rsidR="003C50B8">
        <w:t>because the ROI</w:t>
      </w:r>
      <w:r w:rsidR="009C0EF5">
        <w:t xml:space="preserve"> referred to in the Australian cases was not </w:t>
      </w:r>
      <w:r w:rsidR="004E27C4">
        <w:t xml:space="preserve">what I shall call </w:t>
      </w:r>
      <w:r w:rsidR="009C0EF5">
        <w:t xml:space="preserve">the total return (i.e. expenditure plus profit) </w:t>
      </w:r>
      <w:r w:rsidR="007B1A48">
        <w:t xml:space="preserve">expressed </w:t>
      </w:r>
      <w:r w:rsidR="009C0EF5" w:rsidRPr="00922A0A">
        <w:t xml:space="preserve">as a multiple </w:t>
      </w:r>
      <w:r w:rsidR="009C0EF5">
        <w:t xml:space="preserve">of the </w:t>
      </w:r>
      <w:r w:rsidR="002B1C4F">
        <w:t>expenditure</w:t>
      </w:r>
      <w:r w:rsidR="00FD707B">
        <w:t>, but the profit element</w:t>
      </w:r>
      <w:r w:rsidR="00D66ADB">
        <w:t xml:space="preserve"> only</w:t>
      </w:r>
      <w:r w:rsidR="009C0EF5">
        <w:t>.</w:t>
      </w:r>
    </w:p>
    <w:p w14:paraId="2EDCB87C" w14:textId="093013B2" w:rsidR="00264E21" w:rsidRDefault="00035F31" w:rsidP="00CF561B">
      <w:pPr>
        <w:pStyle w:val="ParaLevel1"/>
      </w:pPr>
      <w:r>
        <w:t>The</w:t>
      </w:r>
      <w:r w:rsidR="00980CBA">
        <w:t xml:space="preserve"> case to which </w:t>
      </w:r>
      <w:r w:rsidR="00735AD7">
        <w:t xml:space="preserve">the CAT referred was </w:t>
      </w:r>
      <w:r w:rsidR="00382882" w:rsidRPr="003267AD">
        <w:rPr>
          <w:i/>
          <w:iCs/>
        </w:rPr>
        <w:t>Street v State of Western Australia</w:t>
      </w:r>
      <w:r w:rsidR="00382882">
        <w:t xml:space="preserve"> </w:t>
      </w:r>
      <w:r w:rsidR="0065637B">
        <w:t>[202</w:t>
      </w:r>
      <w:r w:rsidR="00291F6E">
        <w:t>4</w:t>
      </w:r>
      <w:r w:rsidR="0065637B">
        <w:t xml:space="preserve">] </w:t>
      </w:r>
      <w:proofErr w:type="spellStart"/>
      <w:r w:rsidR="0065637B">
        <w:t>FCA</w:t>
      </w:r>
      <w:proofErr w:type="spellEnd"/>
      <w:r w:rsidR="0065637B">
        <w:t xml:space="preserve"> 1368, a decision of Justice Murphy</w:t>
      </w:r>
      <w:r w:rsidR="003267AD">
        <w:t xml:space="preserve"> in the Federal Court of Australia. It was an application for court approval</w:t>
      </w:r>
      <w:r w:rsidR="00187E0F">
        <w:t xml:space="preserve"> of a settlement of a claim made on behalf of Australian First Nations</w:t>
      </w:r>
      <w:r w:rsidR="00D2535E">
        <w:t xml:space="preserve"> peoples for widespread non-payment and underpayment of wages</w:t>
      </w:r>
      <w:r w:rsidR="000B312A">
        <w:t xml:space="preserve"> between 1936 and 1972.</w:t>
      </w:r>
      <w:r w:rsidR="00B069F6">
        <w:t xml:space="preserve"> </w:t>
      </w:r>
      <w:r w:rsidR="00876722">
        <w:t xml:space="preserve">Justice Murphy regarded the claim </w:t>
      </w:r>
      <w:r w:rsidR="00E83FE4">
        <w:t>a</w:t>
      </w:r>
      <w:r w:rsidR="00876722">
        <w:t>s one which faced substantial legal hurdles and substantial risks.</w:t>
      </w:r>
      <w:r w:rsidR="008E7DA1">
        <w:t xml:space="preserve"> On that basis, he approved a settlement of </w:t>
      </w:r>
      <w:r w:rsidR="005F0BB6">
        <w:t>AU</w:t>
      </w:r>
      <w:r w:rsidR="008E7DA1">
        <w:t>$159 million as fair and reasonable,</w:t>
      </w:r>
      <w:r w:rsidR="00E82837">
        <w:t xml:space="preserve"> even though this represented a very substantial discount on full compensation.</w:t>
      </w:r>
      <w:r w:rsidR="00DF4C1A">
        <w:t xml:space="preserve"> </w:t>
      </w:r>
    </w:p>
    <w:p w14:paraId="37537CBB" w14:textId="081ABC35" w:rsidR="00006897" w:rsidRDefault="005D4C37" w:rsidP="00CF561B">
      <w:pPr>
        <w:pStyle w:val="ParaLevel1"/>
      </w:pPr>
      <w:r>
        <w:lastRenderedPageBreak/>
        <w:t xml:space="preserve">Dealing with </w:t>
      </w:r>
      <w:r w:rsidR="00D83DD7">
        <w:t xml:space="preserve">the profit (referred to as the funding commission) </w:t>
      </w:r>
      <w:r w:rsidR="008012A5">
        <w:t xml:space="preserve">for the funder </w:t>
      </w:r>
      <w:r w:rsidR="00D83DD7">
        <w:t>to be paid out of th</w:t>
      </w:r>
      <w:r w:rsidR="008012A5">
        <w:t>e settlement proceeds,</w:t>
      </w:r>
      <w:r w:rsidR="00D83DD7">
        <w:t xml:space="preserve"> </w:t>
      </w:r>
      <w:r w:rsidR="00006897">
        <w:t xml:space="preserve">Justice </w:t>
      </w:r>
      <w:r w:rsidR="007A33C7">
        <w:t xml:space="preserve">Murphy </w:t>
      </w:r>
      <w:r w:rsidR="00006897">
        <w:t>said this:</w:t>
      </w:r>
    </w:p>
    <w:p w14:paraId="264CC2B6" w14:textId="56A5A7F1" w:rsidR="002C7C92" w:rsidRDefault="006276CC" w:rsidP="00CF561B">
      <w:pPr>
        <w:pStyle w:val="Quote"/>
      </w:pPr>
      <w:r>
        <w:t>‘</w:t>
      </w:r>
      <w:r w:rsidR="00006897">
        <w:t>358. Assuming there are 8</w:t>
      </w:r>
      <w:r w:rsidR="003E3FB9">
        <w:t>,</w:t>
      </w:r>
      <w:r w:rsidR="00006897">
        <w:t xml:space="preserve">750 </w:t>
      </w:r>
      <w:proofErr w:type="spellStart"/>
      <w:r w:rsidR="00006897">
        <w:t>OECs</w:t>
      </w:r>
      <w:proofErr w:type="spellEnd"/>
      <w:r w:rsidR="00FD65D1">
        <w:t xml:space="preserve"> [Original Eligible Claimants] </w:t>
      </w:r>
      <w:r w:rsidR="00D1437D">
        <w:t>the gross settlement</w:t>
      </w:r>
      <w:r w:rsidR="003255BC">
        <w:t xml:space="preserve"> amount is $159,775,000 millio</w:t>
      </w:r>
      <w:r w:rsidR="001720BA">
        <w:t xml:space="preserve">n … and the Funder seeks a 20% funding commission being $31,955,000. </w:t>
      </w:r>
    </w:p>
    <w:p w14:paraId="30FBEB39" w14:textId="48CE0FA7" w:rsidR="00006897" w:rsidRDefault="002C7C92" w:rsidP="00CF561B">
      <w:pPr>
        <w:pStyle w:val="Quote"/>
      </w:pPr>
      <w:r>
        <w:t xml:space="preserve">359. </w:t>
      </w:r>
      <w:r w:rsidR="001720BA">
        <w:t xml:space="preserve">That funding commission, combined with reimbursement of the </w:t>
      </w:r>
      <w:r w:rsidR="00E4274B">
        <w:t xml:space="preserve">legal costs and ATE Costs the Funder paid ($14,403,868), would mean that the Funder would receive </w:t>
      </w:r>
      <w:r w:rsidR="002C56F1">
        <w:t>$46,358,868 million from the proposed settlement, based on an investment of $14.403 million</w:t>
      </w:r>
      <w:r w:rsidR="00164F49">
        <w:t xml:space="preserve"> </w:t>
      </w:r>
      <w:r w:rsidR="002C56F1">
        <w:t xml:space="preserve">… That would </w:t>
      </w:r>
      <w:r w:rsidR="00F73ED6">
        <w:t>give the Funder an ROI of approximately 3.22 times</w:t>
      </w:r>
      <w:r w:rsidR="00164F49">
        <w:t xml:space="preserve"> </w:t>
      </w:r>
      <w:r w:rsidR="00F73ED6">
        <w:t>…’</w:t>
      </w:r>
      <w:r w:rsidR="00D1437D">
        <w:t xml:space="preserve">  </w:t>
      </w:r>
    </w:p>
    <w:p w14:paraId="76F3B6F8" w14:textId="77777777" w:rsidR="00AF5E4C" w:rsidRDefault="007B3A98" w:rsidP="00CF561B">
      <w:pPr>
        <w:pStyle w:val="ParaLevel1"/>
      </w:pPr>
      <w:r>
        <w:t>Justice Murphy determined that an ROI of 3.22 was too high</w:t>
      </w:r>
      <w:r w:rsidR="00AF5E4C">
        <w:t xml:space="preserve">: </w:t>
      </w:r>
    </w:p>
    <w:p w14:paraId="1271D5FE" w14:textId="77777777" w:rsidR="00146264" w:rsidRDefault="008C7272" w:rsidP="00CF561B">
      <w:pPr>
        <w:pStyle w:val="Quote"/>
      </w:pPr>
      <w:r>
        <w:t>‘361. In the circumstances of the case, particularly the quantum of the settlement and the way the funding terms operated in practice, I do not consider a funding rate of 20% representing a commission of almost $32 million and at a 3.22 times ROI to be fair and reasonable. I consider a funding rate of 16%</w:t>
      </w:r>
      <w:r w:rsidR="003F0B9D">
        <w:t xml:space="preserve"> </w:t>
      </w:r>
      <w:r w:rsidR="00AE09D1">
        <w:t xml:space="preserve">… </w:t>
      </w:r>
      <w:r>
        <w:t>to be commercially realistic and to properly reflect the costs and risks taken on by the Funder</w:t>
      </w:r>
      <w:r w:rsidR="00164F49">
        <w:t xml:space="preserve">. </w:t>
      </w:r>
      <w:r w:rsidR="00514FBB">
        <w:rPr>
          <w:i/>
          <w:iCs/>
        </w:rPr>
        <w:t>Money Max</w:t>
      </w:r>
      <w:r w:rsidR="00B1009D">
        <w:t xml:space="preserve"> at [82].</w:t>
      </w:r>
    </w:p>
    <w:p w14:paraId="6F12D8B6" w14:textId="03357F50" w:rsidR="00146264" w:rsidRDefault="00146264" w:rsidP="00CF561B">
      <w:pPr>
        <w:pStyle w:val="Quote"/>
      </w:pPr>
      <w:r>
        <w:t>362. I accept that a 20% headline funding rate is toward the bottom of the range of the rates available on the market and, intuitively, a funding rate of 16% seems too low. However, having regard to the quantum of the settlement, the costs and risks the Funder took on, and the operation of the funding terms in the circumstances of the case I consider that funding rate of 16% to be “just”. In particular:</w:t>
      </w:r>
    </w:p>
    <w:p w14:paraId="52F3D3D8" w14:textId="3D08EBD7" w:rsidR="00146264" w:rsidRDefault="00860BE2" w:rsidP="00CF561B">
      <w:pPr>
        <w:pStyle w:val="ParaLevel1"/>
        <w:numPr>
          <w:ilvl w:val="0"/>
          <w:numId w:val="0"/>
        </w:numPr>
        <w:ind w:left="1440"/>
      </w:pPr>
      <w:r>
        <w:t>…</w:t>
      </w:r>
    </w:p>
    <w:p w14:paraId="6EB5A27F" w14:textId="39D1BEE1" w:rsidR="003549A8" w:rsidRDefault="00B231BC" w:rsidP="00CF561B">
      <w:pPr>
        <w:pStyle w:val="Quote"/>
        <w:ind w:left="1701"/>
      </w:pPr>
      <w:r>
        <w:t xml:space="preserve">(g) </w:t>
      </w:r>
      <w:r w:rsidR="004462C3">
        <w:t>t</w:t>
      </w:r>
      <w:r w:rsidR="003549A8">
        <w:t xml:space="preserve">hat funding rate provides the Funder an ROI of 2.77. That is not a niggardly return. Recently, in </w:t>
      </w:r>
      <w:r w:rsidR="003549A8" w:rsidRPr="00B231BC">
        <w:rPr>
          <w:i/>
          <w:iCs/>
        </w:rPr>
        <w:t>Allen &amp; Anor v GB Education Ltd (No 4)</w:t>
      </w:r>
      <w:r w:rsidR="003549A8">
        <w:t xml:space="preserve"> [2024] </w:t>
      </w:r>
      <w:proofErr w:type="spellStart"/>
      <w:r w:rsidR="003549A8">
        <w:t>VSC</w:t>
      </w:r>
      <w:proofErr w:type="spellEnd"/>
      <w:r w:rsidR="003549A8">
        <w:t xml:space="preserve"> 487 at [110] Watson J noted the following</w:t>
      </w:r>
      <w:r w:rsidR="00147E57">
        <w:t>:</w:t>
      </w:r>
    </w:p>
    <w:p w14:paraId="4927CDA9" w14:textId="35F59BD1" w:rsidR="003549A8" w:rsidRDefault="003549A8" w:rsidP="00CF561B">
      <w:pPr>
        <w:pStyle w:val="Quote"/>
        <w:ind w:left="2628"/>
      </w:pPr>
      <w:r>
        <w:t xml:space="preserve">“Omni Bridgeway, an ASX listed litigation funder, publishes data regarding its MOIC which is the total amount it receives (including </w:t>
      </w:r>
      <w:proofErr w:type="gramStart"/>
      <w:r>
        <w:t>an</w:t>
      </w:r>
      <w:proofErr w:type="gramEnd"/>
      <w:r>
        <w:t xml:space="preserve"> return of its investment amount) divided by the amount invested (but not including finance costs). In other words, the MOIC is the ROI plus one if finance costs are excluded. The evidence shows that Omni Bridgeway’s ROI on all completed cases (including those on which it loses some or </w:t>
      </w:r>
      <w:proofErr w:type="gramStart"/>
      <w:r>
        <w:t>all of</w:t>
      </w:r>
      <w:proofErr w:type="gramEnd"/>
      <w:r>
        <w:t xml:space="preserve"> its capital) is 1.2 and approximately 1.9 on those cases which did not produce a negative return. Approximately 15% </w:t>
      </w:r>
      <w:r>
        <w:lastRenderedPageBreak/>
        <w:t>of its cases have an ROI exceeding 4.0 with some cases having an ROI exceeding 9.0.”</w:t>
      </w:r>
    </w:p>
    <w:p w14:paraId="66D9FF20" w14:textId="796911DD" w:rsidR="008C7272" w:rsidRDefault="003549A8" w:rsidP="00CF561B">
      <w:pPr>
        <w:pStyle w:val="Quote"/>
      </w:pPr>
      <w:r>
        <w:t xml:space="preserve">363. A 16% funding rate means (on the assumption of 8,750 </w:t>
      </w:r>
      <w:proofErr w:type="spellStart"/>
      <w:r>
        <w:t>OECs</w:t>
      </w:r>
      <w:proofErr w:type="spellEnd"/>
      <w:r>
        <w:t>) that the Funder will receive a total of $39,967,868 (representing a funding commission of $25,564,000 and the reimbursement of its investment of $14,403,868).</w:t>
      </w:r>
      <w:r w:rsidR="00463BBC">
        <w:t>’</w:t>
      </w:r>
      <w:r w:rsidR="008C7272">
        <w:t xml:space="preserve"> </w:t>
      </w:r>
    </w:p>
    <w:p w14:paraId="7F6DABFE" w14:textId="68F1BE6E" w:rsidR="00B4093B" w:rsidRDefault="0083713B" w:rsidP="00CF561B">
      <w:pPr>
        <w:pStyle w:val="ParaLevel1"/>
      </w:pPr>
      <w:r>
        <w:t>It is crystal clear</w:t>
      </w:r>
      <w:r w:rsidR="00C1501A">
        <w:t xml:space="preserve"> from the arithmetic in </w:t>
      </w:r>
      <w:r w:rsidR="002D3840">
        <w:t xml:space="preserve">these </w:t>
      </w:r>
      <w:r w:rsidR="00C1501A">
        <w:t>passage</w:t>
      </w:r>
      <w:r w:rsidR="002D3840">
        <w:t>s</w:t>
      </w:r>
      <w:r w:rsidR="00C1501A">
        <w:t>, that the ROI of 2.77</w:t>
      </w:r>
      <w:r w:rsidR="00EB66B6">
        <w:t xml:space="preserve"> </w:t>
      </w:r>
      <w:r w:rsidR="00764433">
        <w:t>(</w:t>
      </w:r>
      <w:r w:rsidR="00EB66B6">
        <w:t>‘not a niggardly return’</w:t>
      </w:r>
      <w:r w:rsidR="00764433">
        <w:t>)</w:t>
      </w:r>
      <w:r w:rsidR="00EB66B6">
        <w:t xml:space="preserve"> </w:t>
      </w:r>
      <w:r w:rsidR="00516B67">
        <w:t>represented</w:t>
      </w:r>
      <w:r w:rsidR="00B4093B">
        <w:t xml:space="preserve"> the total return (expenditure plus profit) expressed as a multiple of the funder’s expenditure</w:t>
      </w:r>
      <w:r w:rsidR="001075DB">
        <w:t xml:space="preserve">. In round </w:t>
      </w:r>
      <w:r w:rsidR="001075DB" w:rsidRPr="00112B2B">
        <w:t>figures</w:t>
      </w:r>
      <w:r w:rsidR="00115AF6" w:rsidRPr="00112B2B">
        <w:t>, e</w:t>
      </w:r>
      <w:r w:rsidR="0075413F" w:rsidRPr="00112B2B">
        <w:t>xpenditure of $14 m</w:t>
      </w:r>
      <w:r w:rsidR="00112B2B">
        <w:t>illion</w:t>
      </w:r>
      <w:r w:rsidR="0075413F" w:rsidRPr="00112B2B">
        <w:t xml:space="preserve"> plus profit of </w:t>
      </w:r>
      <w:r w:rsidR="0091064A" w:rsidRPr="00112B2B">
        <w:t>$25.5 million</w:t>
      </w:r>
      <w:r w:rsidR="00112B2B" w:rsidRPr="00112B2B">
        <w:t xml:space="preserve"> amounted </w:t>
      </w:r>
      <w:r w:rsidR="00112B2B">
        <w:t>to a total return of $39.5 million</w:t>
      </w:r>
      <w:r w:rsidR="00E671BD">
        <w:t>, which was 2.77 times the funder’s expenditure</w:t>
      </w:r>
      <w:r w:rsidR="009A6184">
        <w:t xml:space="preserve"> of $14 million</w:t>
      </w:r>
      <w:r w:rsidR="00E671BD">
        <w:t>.</w:t>
      </w:r>
      <w:r w:rsidR="00A14316">
        <w:t xml:space="preserve"> </w:t>
      </w:r>
      <w:r w:rsidR="00610935">
        <w:t>Expressing the profit alone as a multiple of expenditure would have resulted in a figure of</w:t>
      </w:r>
      <w:r w:rsidR="009F414B">
        <w:t xml:space="preserve"> 1.77.</w:t>
      </w:r>
    </w:p>
    <w:p w14:paraId="7D309FE9" w14:textId="77D18661" w:rsidR="006D30AE" w:rsidRDefault="006C650E" w:rsidP="00CF561B">
      <w:pPr>
        <w:pStyle w:val="ParaLevel1"/>
      </w:pPr>
      <w:r>
        <w:t xml:space="preserve">In contrast, </w:t>
      </w:r>
      <w:r w:rsidR="00694636">
        <w:t xml:space="preserve">in the earlier Australian case of </w:t>
      </w:r>
      <w:r w:rsidR="00694636" w:rsidRPr="00C0274A">
        <w:rPr>
          <w:i/>
          <w:iCs/>
        </w:rPr>
        <w:t>Allen v G8 Education Ltd (No. 4)</w:t>
      </w:r>
      <w:r w:rsidR="00694636">
        <w:t xml:space="preserve"> [2024] </w:t>
      </w:r>
      <w:proofErr w:type="spellStart"/>
      <w:r w:rsidR="00694636">
        <w:t>VSC</w:t>
      </w:r>
      <w:proofErr w:type="spellEnd"/>
      <w:r w:rsidR="00694636">
        <w:t xml:space="preserve"> 487</w:t>
      </w:r>
      <w:r w:rsidR="00C0274A">
        <w:t xml:space="preserve"> cited by Justice Murphy, it appears that ROI was used in a different sense</w:t>
      </w:r>
      <w:r w:rsidR="00C87780">
        <w:t xml:space="preserve">, </w:t>
      </w:r>
      <w:r w:rsidR="00510046">
        <w:t xml:space="preserve">and did </w:t>
      </w:r>
      <w:r w:rsidR="00C87780">
        <w:t>express the profit alone as a multiple of the expenditure</w:t>
      </w:r>
      <w:r w:rsidR="002A5956">
        <w:t>:</w:t>
      </w:r>
      <w:r w:rsidR="001D0AA7">
        <w:t xml:space="preserve"> hence the comment in </w:t>
      </w:r>
      <w:r w:rsidR="007437EF" w:rsidRPr="007437EF">
        <w:rPr>
          <w:i/>
          <w:iCs/>
        </w:rPr>
        <w:t>Allen</w:t>
      </w:r>
      <w:r w:rsidR="001D0AA7">
        <w:t xml:space="preserve"> that ‘the MOIC </w:t>
      </w:r>
      <w:r w:rsidR="005A5C8A">
        <w:t xml:space="preserve">[multiple on invested capital] </w:t>
      </w:r>
      <w:r w:rsidR="001D0AA7">
        <w:t>is the ROI plus one</w:t>
      </w:r>
      <w:r w:rsidR="005A5C8A">
        <w:t>’.</w:t>
      </w:r>
      <w:r w:rsidR="00606909">
        <w:t xml:space="preserve"> </w:t>
      </w:r>
      <w:r w:rsidR="00F00596">
        <w:t xml:space="preserve">This was made explicit at para 78, </w:t>
      </w:r>
      <w:r w:rsidR="006D30AE">
        <w:t>which explained that:</w:t>
      </w:r>
    </w:p>
    <w:p w14:paraId="06D31883" w14:textId="1EDE4824" w:rsidR="006D30AE" w:rsidRDefault="004C4A00" w:rsidP="00CF561B">
      <w:pPr>
        <w:pStyle w:val="Quote"/>
      </w:pPr>
      <w:r>
        <w:t>‘</w:t>
      </w:r>
      <w:r w:rsidR="006D30AE">
        <w:t>The ROI (return on investment) is simply the profit or return from the investment divided by the cost of the investment</w:t>
      </w:r>
      <w:r>
        <w:t>.’</w:t>
      </w:r>
      <w:r w:rsidR="006D30AE">
        <w:t xml:space="preserve"> </w:t>
      </w:r>
    </w:p>
    <w:p w14:paraId="3B92C0A7" w14:textId="77777777" w:rsidR="006E4667" w:rsidRDefault="00AC328A" w:rsidP="00CF561B">
      <w:pPr>
        <w:pStyle w:val="ParaLevel1"/>
      </w:pPr>
      <w:r>
        <w:t xml:space="preserve">Although this definition of ROI was repeated in </w:t>
      </w:r>
      <w:r w:rsidRPr="00FF0E8F">
        <w:rPr>
          <w:i/>
          <w:iCs/>
        </w:rPr>
        <w:t>Street</w:t>
      </w:r>
      <w:r>
        <w:t xml:space="preserve"> at para 269, </w:t>
      </w:r>
      <w:r w:rsidR="00C21F9E">
        <w:t xml:space="preserve">and although I hesitate to say so </w:t>
      </w:r>
      <w:proofErr w:type="gramStart"/>
      <w:r w:rsidR="00851384">
        <w:t>in view of the fact that</w:t>
      </w:r>
      <w:proofErr w:type="gramEnd"/>
      <w:r w:rsidR="00851384">
        <w:t xml:space="preserve"> Justice Murphy is evidently very experienced in dealing with this kind of case, </w:t>
      </w:r>
      <w:r w:rsidR="00FF0E8F">
        <w:t xml:space="preserve">it appears from the figures set out above that </w:t>
      </w:r>
      <w:r w:rsidR="00851384">
        <w:t xml:space="preserve">he did not use </w:t>
      </w:r>
      <w:r w:rsidR="00FF0E8F">
        <w:t>the term consistently.</w:t>
      </w:r>
      <w:r w:rsidR="00770606">
        <w:t xml:space="preserve"> </w:t>
      </w:r>
      <w:r w:rsidR="006E4667">
        <w:t>He said that:</w:t>
      </w:r>
    </w:p>
    <w:p w14:paraId="75143D42" w14:textId="133D65EE" w:rsidR="006E4667" w:rsidRDefault="006E4667" w:rsidP="00CF561B">
      <w:pPr>
        <w:pStyle w:val="Quote"/>
      </w:pPr>
      <w:r>
        <w:t xml:space="preserve">‘269. </w:t>
      </w:r>
      <w:r w:rsidR="00B837A8">
        <w:t xml:space="preserve">A payment of $46,358,868 </w:t>
      </w:r>
      <w:r w:rsidR="00906A3A">
        <w:t>for an investment of $14,403,868 would provide an ROI of 3.22 times (although that does not include adverse costs risk).</w:t>
      </w:r>
      <w:r w:rsidR="00151FD1">
        <w:t xml:space="preserve"> By ROI (return on investment) I mean the profit or return for the Funder from the investment divided by the cost of the investment</w:t>
      </w:r>
      <w:r w:rsidR="00EC5DF9">
        <w:t>.’</w:t>
      </w:r>
      <w:r w:rsidR="00B837A8">
        <w:t xml:space="preserve"> </w:t>
      </w:r>
    </w:p>
    <w:p w14:paraId="2B1D53DB" w14:textId="195C8C4E" w:rsidR="00FF0E8F" w:rsidRDefault="00887EA1" w:rsidP="00CF561B">
      <w:pPr>
        <w:pStyle w:val="ParaLevel1"/>
      </w:pPr>
      <w:r>
        <w:t xml:space="preserve">Although the explanation of what is meant by ROI </w:t>
      </w:r>
      <w:r w:rsidR="003E424E">
        <w:t xml:space="preserve">appears to </w:t>
      </w:r>
      <w:r w:rsidR="0059117C">
        <w:t>equat</w:t>
      </w:r>
      <w:r>
        <w:t>e</w:t>
      </w:r>
      <w:r w:rsidR="0059117C">
        <w:t xml:space="preserve"> return with profit</w:t>
      </w:r>
      <w:r>
        <w:t xml:space="preserve">, </w:t>
      </w:r>
      <w:r w:rsidR="00E0102E">
        <w:t xml:space="preserve">it is apparent from the figures that the ROI of 3.22 to which </w:t>
      </w:r>
      <w:r w:rsidR="00005AF7">
        <w:t>J</w:t>
      </w:r>
      <w:r w:rsidR="00E0102E">
        <w:t>ustice Murphy referred</w:t>
      </w:r>
      <w:r w:rsidR="00005AF7">
        <w:t xml:space="preserve"> was the total return as a multiple of the investment (</w:t>
      </w:r>
      <w:r w:rsidR="00A45A2A">
        <w:t xml:space="preserve">Investment of </w:t>
      </w:r>
      <w:r w:rsidR="00823D47">
        <w:t>c.</w:t>
      </w:r>
      <w:r w:rsidR="00A45A2A">
        <w:t xml:space="preserve">$14 million x 3.22 = </w:t>
      </w:r>
      <w:r w:rsidR="00823D47">
        <w:t>Re</w:t>
      </w:r>
      <w:r w:rsidR="00421130">
        <w:t>t</w:t>
      </w:r>
      <w:r w:rsidR="00823D47">
        <w:t>urn of c.$46 million)</w:t>
      </w:r>
      <w:r w:rsidR="0059117C">
        <w:t xml:space="preserve">. </w:t>
      </w:r>
      <w:r w:rsidR="00AC1841">
        <w:t>Similarly</w:t>
      </w:r>
      <w:r w:rsidR="00770606">
        <w:t>,</w:t>
      </w:r>
      <w:r w:rsidR="00C620D6">
        <w:t xml:space="preserve"> when he came to the critical paragraphs which I have set out above, the figures demonstrate that he was using</w:t>
      </w:r>
      <w:r w:rsidR="00EB597E">
        <w:t xml:space="preserve"> ROI to refer to total return expressed as a multiple of expenditure.</w:t>
      </w:r>
      <w:r w:rsidR="00FF0E8F">
        <w:t xml:space="preserve"> </w:t>
      </w:r>
    </w:p>
    <w:p w14:paraId="3887E6A3" w14:textId="250E26F9" w:rsidR="0091064A" w:rsidRDefault="00606909" w:rsidP="00CF561B">
      <w:pPr>
        <w:pStyle w:val="ParaLevel1"/>
      </w:pPr>
      <w:r>
        <w:t xml:space="preserve">It was </w:t>
      </w:r>
      <w:r w:rsidRPr="00AD31F0">
        <w:rPr>
          <w:i/>
          <w:iCs/>
        </w:rPr>
        <w:t>Allen</w:t>
      </w:r>
      <w:r w:rsidR="00D2495F">
        <w:t xml:space="preserve"> which set out the evidence showing an ROI of between 1.2 and 1.9 for </w:t>
      </w:r>
      <w:r w:rsidR="00FF0E8F">
        <w:t xml:space="preserve">what </w:t>
      </w:r>
      <w:r w:rsidR="00813B26">
        <w:t xml:space="preserve">the CAT described as </w:t>
      </w:r>
      <w:r w:rsidR="00D2495F">
        <w:t>‘a substantial litigation funder</w:t>
      </w:r>
      <w:r w:rsidR="00EB6331">
        <w:t>’</w:t>
      </w:r>
      <w:r w:rsidR="007B265C">
        <w:t xml:space="preserve"> (see para 17(5) above)</w:t>
      </w:r>
      <w:r w:rsidR="00813B26">
        <w:t>. T</w:t>
      </w:r>
      <w:r w:rsidR="00DA60BF">
        <w:t>he full passage is as follows</w:t>
      </w:r>
      <w:r w:rsidR="00AD31F0">
        <w:t>:</w:t>
      </w:r>
    </w:p>
    <w:p w14:paraId="047B2074" w14:textId="77777777" w:rsidR="00F82986" w:rsidRDefault="00AD31F0" w:rsidP="00CF561B">
      <w:pPr>
        <w:pStyle w:val="Quote"/>
      </w:pPr>
      <w:r>
        <w:t>‘108</w:t>
      </w:r>
      <w:r w:rsidR="008F5E9A">
        <w:t xml:space="preserve">. In its materials Slater and Gordon </w:t>
      </w:r>
      <w:r w:rsidR="00F82986">
        <w:t>compares its ROI to the multiples which third party litigation funders seek and to Omni Bridgeway’s published multiple on invested capital (‘MOIC’).</w:t>
      </w:r>
    </w:p>
    <w:p w14:paraId="067B196E" w14:textId="77777777" w:rsidR="00204F88" w:rsidRDefault="00F82986" w:rsidP="00CF561B">
      <w:pPr>
        <w:pStyle w:val="Quote"/>
      </w:pPr>
      <w:r>
        <w:lastRenderedPageBreak/>
        <w:t>109. Litigation funders generally seek funding opportunities at a multiple of at</w:t>
      </w:r>
      <w:r w:rsidR="00AC3287">
        <w:t xml:space="preserve"> least two or three times, equating to an ROI of 2.0 or 3.0. Actual </w:t>
      </w:r>
      <w:proofErr w:type="gramStart"/>
      <w:r w:rsidR="00AC3287">
        <w:t>ROI’s</w:t>
      </w:r>
      <w:proofErr w:type="gramEnd"/>
      <w:r w:rsidR="00AC3287">
        <w:t xml:space="preserve"> for litigation funders </w:t>
      </w:r>
      <w:proofErr w:type="gramStart"/>
      <w:r w:rsidR="00AC3287">
        <w:t>are</w:t>
      </w:r>
      <w:proofErr w:type="gramEnd"/>
      <w:r w:rsidR="00AC3287">
        <w:t xml:space="preserve"> presumably less, because some cases will not produce those returns but nonetheless it provides a point of comparison for Slater and Gordon’s ROI in this proceeding. Slater and Gordon’s calculated range for its ROI for this </w:t>
      </w:r>
      <w:r w:rsidR="00204F88">
        <w:t>is reasonable and appropriate having regard to that evidence.</w:t>
      </w:r>
    </w:p>
    <w:p w14:paraId="59FE195F" w14:textId="188F25D9" w:rsidR="00AD31F0" w:rsidRPr="0091064A" w:rsidRDefault="00204F88" w:rsidP="00CF561B">
      <w:pPr>
        <w:pStyle w:val="Quote"/>
      </w:pPr>
      <w:r>
        <w:t xml:space="preserve">110. Omni Bridgeway, an ASX listed litigation funder, </w:t>
      </w:r>
      <w:r w:rsidRPr="00204F88">
        <w:t xml:space="preserve">publishes data regarding its MOIC which is the total amount it receives (including any return of its investment amount) divided by the amount invested (but not including finance costs). In other words, the MOIC is the ROI plus one if finance costs are excluded. The evidence shows that Omni Bridgeway’s ROI on all completed cases (including those on which it loses some or </w:t>
      </w:r>
      <w:proofErr w:type="gramStart"/>
      <w:r w:rsidRPr="00204F88">
        <w:t>all of</w:t>
      </w:r>
      <w:proofErr w:type="gramEnd"/>
      <w:r w:rsidRPr="00204F88">
        <w:t xml:space="preserve"> its capital) is 1.2 and approximately 1.9 on those cases which did not produce a negative return. Approximately 15% of its cases have an ROI exceeding 4.0, with some cases having an ROI exceeding 9.0. Slater and Gordon’s calculated range for its ROI excluding finance costs is reasonable and appropriate having regard to that evidence.</w:t>
      </w:r>
      <w:r w:rsidR="00AD31F0">
        <w:t>’</w:t>
      </w:r>
      <w:r w:rsidR="00C4720F">
        <w:t xml:space="preserve"> </w:t>
      </w:r>
    </w:p>
    <w:p w14:paraId="34E02DB4" w14:textId="3AC4D53A" w:rsidR="00807C33" w:rsidRDefault="00DA7BA2" w:rsidP="00CF561B">
      <w:pPr>
        <w:pStyle w:val="ParaLevel1"/>
      </w:pPr>
      <w:r>
        <w:t xml:space="preserve">It appears, therefore, </w:t>
      </w:r>
      <w:r w:rsidR="00B7687C">
        <w:t>that the term ROI is not used consistently</w:t>
      </w:r>
      <w:r w:rsidR="000E34E1">
        <w:t xml:space="preserve"> in the Australian cases</w:t>
      </w:r>
      <w:r w:rsidR="00B7687C">
        <w:t>. In</w:t>
      </w:r>
      <w:r w:rsidR="00DC3755">
        <w:t xml:space="preserve"> </w:t>
      </w:r>
      <w:r w:rsidR="00DC3755" w:rsidRPr="00933230">
        <w:rPr>
          <w:i/>
          <w:iCs/>
        </w:rPr>
        <w:t>Allen</w:t>
      </w:r>
      <w:r w:rsidR="00DC3755">
        <w:t xml:space="preserve"> it always refers to the funder’s profit expressed as a multiple of expenditure</w:t>
      </w:r>
      <w:r w:rsidR="00A46681">
        <w:t xml:space="preserve">. In </w:t>
      </w:r>
      <w:r w:rsidR="00A46681" w:rsidRPr="00933230">
        <w:rPr>
          <w:i/>
          <w:iCs/>
        </w:rPr>
        <w:t>Street</w:t>
      </w:r>
      <w:r w:rsidR="00A46681">
        <w:t xml:space="preserve"> it is sometimes described in this way, but in fact</w:t>
      </w:r>
      <w:r w:rsidR="0023115D">
        <w:t xml:space="preserve"> the sum awarded, al</w:t>
      </w:r>
      <w:r w:rsidR="005E09E7">
        <w:t>so</w:t>
      </w:r>
      <w:r w:rsidR="0023115D">
        <w:t xml:space="preserve"> described</w:t>
      </w:r>
      <w:r w:rsidR="00C76D14">
        <w:t xml:space="preserve"> as an ROI, is the total return (</w:t>
      </w:r>
      <w:r w:rsidR="00933230">
        <w:t>expenditure plus profit) expressed as a multiple of expenditure</w:t>
      </w:r>
      <w:r w:rsidR="00912B5C">
        <w:t xml:space="preserve"> – what in </w:t>
      </w:r>
      <w:r w:rsidR="00912B5C" w:rsidRPr="00912B5C">
        <w:rPr>
          <w:i/>
          <w:iCs/>
        </w:rPr>
        <w:t>Allen</w:t>
      </w:r>
      <w:r w:rsidR="00912B5C">
        <w:t xml:space="preserve"> was referred to as the MOIC</w:t>
      </w:r>
      <w:r w:rsidR="00B17871">
        <w:t xml:space="preserve"> (or ROI +1)</w:t>
      </w:r>
      <w:r w:rsidR="00933230">
        <w:t>.</w:t>
      </w:r>
      <w:r w:rsidR="007B34AC">
        <w:t xml:space="preserve"> </w:t>
      </w:r>
    </w:p>
    <w:p w14:paraId="41419B26" w14:textId="4B621C1A" w:rsidR="00B4093B" w:rsidRDefault="004D55DD" w:rsidP="00CF561B">
      <w:pPr>
        <w:pStyle w:val="ParaLevel1"/>
      </w:pPr>
      <w:r>
        <w:t>W</w:t>
      </w:r>
      <w:r w:rsidR="00F13F4C">
        <w:t>hat the CAT drew from these cases</w:t>
      </w:r>
      <w:r w:rsidR="00807C33">
        <w:t xml:space="preserve"> was </w:t>
      </w:r>
      <w:r w:rsidR="007B2327">
        <w:t xml:space="preserve">that </w:t>
      </w:r>
      <w:r w:rsidR="00807C33">
        <w:t>an ROI of between 1.2 and 1.9</w:t>
      </w:r>
      <w:r w:rsidR="007B2327">
        <w:t xml:space="preserve"> </w:t>
      </w:r>
      <w:r w:rsidR="00140A0F">
        <w:t xml:space="preserve">on </w:t>
      </w:r>
      <w:r w:rsidR="007B2327">
        <w:t>all completed cases</w:t>
      </w:r>
      <w:r w:rsidR="00140A0F">
        <w:t xml:space="preserve"> experienced by a substantial litigation funder</w:t>
      </w:r>
      <w:r w:rsidR="008336D5">
        <w:t xml:space="preserve"> was a relevant </w:t>
      </w:r>
      <w:r w:rsidR="00272DB9">
        <w:t>metri</w:t>
      </w:r>
      <w:r w:rsidR="00096DC6">
        <w:t>c</w:t>
      </w:r>
      <w:r w:rsidR="005A0D05">
        <w:t xml:space="preserve"> in deciding</w:t>
      </w:r>
      <w:r w:rsidR="00DC5A0E">
        <w:t xml:space="preserve"> what would be an appropriate profit for the claimant in the present case.</w:t>
      </w:r>
      <w:r w:rsidR="00352A65">
        <w:t xml:space="preserve"> It is clear from </w:t>
      </w:r>
      <w:r w:rsidR="00352A65" w:rsidRPr="00457C3B">
        <w:rPr>
          <w:i/>
          <w:iCs/>
        </w:rPr>
        <w:t>Allen</w:t>
      </w:r>
      <w:r w:rsidR="00457C3B">
        <w:t xml:space="preserve">, </w:t>
      </w:r>
      <w:r w:rsidR="004A7C20">
        <w:t>in which these figures are referred to</w:t>
      </w:r>
      <w:r w:rsidR="00457C3B">
        <w:t>,</w:t>
      </w:r>
      <w:r w:rsidR="0065442E">
        <w:t xml:space="preserve"> that they represent profit </w:t>
      </w:r>
      <w:r w:rsidR="00CD3E28">
        <w:t xml:space="preserve">(and not expenditure plus profit) </w:t>
      </w:r>
      <w:r w:rsidR="0065442E">
        <w:t>expressed as a multiple of expenditure</w:t>
      </w:r>
      <w:r w:rsidR="00F914F9">
        <w:t>.</w:t>
      </w:r>
      <w:r w:rsidR="004A7C20">
        <w:t xml:space="preserve"> </w:t>
      </w:r>
      <w:r w:rsidR="00552B70">
        <w:t>If the CAT understood these figures</w:t>
      </w:r>
      <w:r w:rsidR="00074BB5">
        <w:t xml:space="preserve"> as referring to </w:t>
      </w:r>
      <w:r w:rsidR="00C03751">
        <w:t>total return (</w:t>
      </w:r>
      <w:r w:rsidR="00074BB5">
        <w:t>expenditure plus profit</w:t>
      </w:r>
      <w:r w:rsidR="00C03751">
        <w:t>)</w:t>
      </w:r>
      <w:r w:rsidR="00074BB5">
        <w:t xml:space="preserve"> expressed as a multiple</w:t>
      </w:r>
      <w:r w:rsidR="00233B38">
        <w:t xml:space="preserve"> of expenditure, as seems likely, it was mistaken</w:t>
      </w:r>
      <w:r w:rsidR="00DD3F4A">
        <w:t xml:space="preserve">. </w:t>
      </w:r>
    </w:p>
    <w:p w14:paraId="640022D3" w14:textId="6B0A438B" w:rsidR="001D5873" w:rsidRDefault="001D5873" w:rsidP="00CF561B">
      <w:pPr>
        <w:pStyle w:val="ParaLevel1"/>
      </w:pPr>
      <w:r>
        <w:t xml:space="preserve">In his </w:t>
      </w:r>
      <w:proofErr w:type="gramStart"/>
      <w:r>
        <w:t>reply</w:t>
      </w:r>
      <w:proofErr w:type="gramEnd"/>
      <w:r>
        <w:t xml:space="preserve"> submissions Mr Béar sought to put before us the published data from Omni Bridgeway referred to in </w:t>
      </w:r>
      <w:r w:rsidRPr="001701CF">
        <w:rPr>
          <w:i/>
          <w:iCs/>
        </w:rPr>
        <w:t>Allen</w:t>
      </w:r>
      <w:r>
        <w:t xml:space="preserve">, submitting that this confirmed that the ROI referred to was indeed the profit expressed as a multiple of expenditure. </w:t>
      </w:r>
      <w:r w:rsidR="00EF7A50">
        <w:t xml:space="preserve">This provoked a vigorous debate in </w:t>
      </w:r>
      <w:r w:rsidR="00BD7E3E">
        <w:t>post hearing submissions</w:t>
      </w:r>
      <w:r w:rsidR="008862B8">
        <w:t xml:space="preserve"> as to what th</w:t>
      </w:r>
      <w:r w:rsidR="00164F49">
        <w:t>e</w:t>
      </w:r>
      <w:r w:rsidR="008862B8">
        <w:t xml:space="preserve"> data </w:t>
      </w:r>
      <w:proofErr w:type="gramStart"/>
      <w:r w:rsidR="008862B8">
        <w:t>actually shows</w:t>
      </w:r>
      <w:proofErr w:type="gramEnd"/>
      <w:r w:rsidR="00BD7E3E">
        <w:t xml:space="preserve">. </w:t>
      </w:r>
      <w:r>
        <w:t xml:space="preserve">In the event it is unnecessary to consider this </w:t>
      </w:r>
      <w:r w:rsidR="005B1768">
        <w:t>material</w:t>
      </w:r>
      <w:r>
        <w:t xml:space="preserve">, because the position is clear from the judgment itself. </w:t>
      </w:r>
      <w:r w:rsidR="00AB76F6">
        <w:t xml:space="preserve">There is no getting away from the formula that </w:t>
      </w:r>
      <w:r w:rsidR="008B060E">
        <w:t xml:space="preserve">‘MOIC is the ROI plus one’. </w:t>
      </w:r>
      <w:r>
        <w:t>Had it been necessary, however, I would not have been prepared to admit this evidence, which came far too late and was not before the CAT.</w:t>
      </w:r>
    </w:p>
    <w:p w14:paraId="00FADE96" w14:textId="6A379CB3" w:rsidR="00DD3F4A" w:rsidRDefault="00DD3F4A" w:rsidP="00CF561B">
      <w:pPr>
        <w:pStyle w:val="ParaLevel1"/>
      </w:pPr>
      <w:r>
        <w:t>In my view</w:t>
      </w:r>
      <w:r w:rsidR="0084531B">
        <w:t>, however, th</w:t>
      </w:r>
      <w:r w:rsidR="00D47D0A">
        <w:t xml:space="preserve">e CAT’s misunderstanding </w:t>
      </w:r>
      <w:r w:rsidR="00E9336C">
        <w:t xml:space="preserve">does not </w:t>
      </w:r>
      <w:r w:rsidR="0055486A">
        <w:t xml:space="preserve">come close to </w:t>
      </w:r>
      <w:r w:rsidR="00E9336C">
        <w:t>undermin</w:t>
      </w:r>
      <w:r w:rsidR="0055486A">
        <w:t>ing</w:t>
      </w:r>
      <w:r w:rsidR="00E9336C">
        <w:t xml:space="preserve"> the cogency of </w:t>
      </w:r>
      <w:r w:rsidR="0055486A">
        <w:t>its</w:t>
      </w:r>
      <w:r w:rsidR="00E9336C">
        <w:t xml:space="preserve"> conclusion</w:t>
      </w:r>
      <w:r w:rsidR="001C5BB4">
        <w:t xml:space="preserve"> that a profit of 50% of the claimant’s expenditure would be just and reasonable.</w:t>
      </w:r>
      <w:r w:rsidR="00092380">
        <w:t xml:space="preserve"> As the</w:t>
      </w:r>
      <w:r w:rsidR="00A51B8E">
        <w:t xml:space="preserve"> CAT made clear, its conclusion was based on </w:t>
      </w:r>
      <w:proofErr w:type="gramStart"/>
      <w:r w:rsidR="00A51B8E">
        <w:t>all of</w:t>
      </w:r>
      <w:proofErr w:type="gramEnd"/>
      <w:r w:rsidR="00A51B8E">
        <w:t xml:space="preserve"> the factors which it had identified</w:t>
      </w:r>
      <w:r w:rsidR="002A0B72">
        <w:t>, and not on the Australian evidence alone</w:t>
      </w:r>
      <w:r w:rsidR="00D95623">
        <w:t xml:space="preserve">. </w:t>
      </w:r>
      <w:r w:rsidR="00B828D4">
        <w:t>I set out again the relevant paragraph of the judgment</w:t>
      </w:r>
      <w:r w:rsidR="006E41EE">
        <w:t>, with added emphasis</w:t>
      </w:r>
      <w:r w:rsidR="00A51B8E">
        <w:t>:</w:t>
      </w:r>
    </w:p>
    <w:p w14:paraId="4D02FBBD" w14:textId="47442470" w:rsidR="00A51B8E" w:rsidRPr="006276CC" w:rsidRDefault="002A0B72" w:rsidP="00CF561B">
      <w:pPr>
        <w:pStyle w:val="Quote"/>
      </w:pPr>
      <w:r>
        <w:lastRenderedPageBreak/>
        <w:t xml:space="preserve">‘188. </w:t>
      </w:r>
      <w:r w:rsidR="00E07921">
        <w:t xml:space="preserve">On that basis, in our judgment a ROI of 1.5 is here appropriate, </w:t>
      </w:r>
      <w:r w:rsidR="00E07921" w:rsidRPr="006E41EE">
        <w:rPr>
          <w:i/>
          <w:iCs/>
        </w:rPr>
        <w:t>taking account of all the above factors</w:t>
      </w:r>
      <w:r w:rsidR="00E07921">
        <w:t xml:space="preserve"> and recognising the significant risk but </w:t>
      </w:r>
      <w:r w:rsidR="00E07921" w:rsidRPr="006E41EE">
        <w:rPr>
          <w:i/>
          <w:iCs/>
        </w:rPr>
        <w:t>reflecting also the poor outcome</w:t>
      </w:r>
      <w:r w:rsidR="00E07921">
        <w:t xml:space="preserve">. If the reimbursement of costs and expenses (i.e. Pot </w:t>
      </w:r>
      <w:r w:rsidR="001652B2">
        <w:t>2</w:t>
      </w:r>
      <w:r w:rsidR="00E07921">
        <w:t>)</w:t>
      </w:r>
      <w:r w:rsidR="001652B2">
        <w:t xml:space="preserve"> should </w:t>
      </w:r>
      <w:proofErr w:type="gramStart"/>
      <w:r w:rsidR="001652B2">
        <w:t>amounted</w:t>
      </w:r>
      <w:proofErr w:type="gramEnd"/>
      <w:r w:rsidR="001652B2">
        <w:t xml:space="preserve"> to £45.5 million as estimated in the Application, then, applying a ROI of 1.5 will provide </w:t>
      </w:r>
      <w:proofErr w:type="spellStart"/>
      <w:r w:rsidR="00AF5623">
        <w:t>I</w:t>
      </w:r>
      <w:r w:rsidR="001652B2">
        <w:t>n</w:t>
      </w:r>
      <w:r w:rsidR="00AF5623">
        <w:t>n</w:t>
      </w:r>
      <w:r w:rsidR="001652B2">
        <w:t>sworth</w:t>
      </w:r>
      <w:proofErr w:type="spellEnd"/>
      <w:r>
        <w:t xml:space="preserve"> with a total return of £68 million. …’</w:t>
      </w:r>
    </w:p>
    <w:p w14:paraId="3CF1C761" w14:textId="27AF8B8F" w:rsidR="00D047AB" w:rsidRDefault="00B2087B" w:rsidP="00CF561B">
      <w:pPr>
        <w:pStyle w:val="ParaLevel1"/>
      </w:pPr>
      <w:r>
        <w:t xml:space="preserve">It is clear, therefore, that the Australian evidence was only one factor </w:t>
      </w:r>
      <w:r w:rsidR="00B1117B">
        <w:t xml:space="preserve">among several to which the CAT had regard. </w:t>
      </w:r>
      <w:r w:rsidR="006302F4">
        <w:t xml:space="preserve">Far more important than the Australian evidence </w:t>
      </w:r>
      <w:r w:rsidR="00083B13">
        <w:t xml:space="preserve">were the </w:t>
      </w:r>
      <w:r w:rsidR="00945BB6">
        <w:t xml:space="preserve">poor outcome of the proceedings for the class, </w:t>
      </w:r>
      <w:r w:rsidR="00E33EC8">
        <w:t>the</w:t>
      </w:r>
      <w:r w:rsidR="00DA1A03">
        <w:t xml:space="preserve"> fundamental</w:t>
      </w:r>
      <w:r w:rsidR="00E33EC8">
        <w:t xml:space="preserve"> principle that</w:t>
      </w:r>
      <w:r w:rsidR="00DA1A03">
        <w:t xml:space="preserve"> ‘the collective proceedings </w:t>
      </w:r>
      <w:r w:rsidR="00DF1E17">
        <w:t>regime should operate for the benefit of [class members] and not primarily for the benefit of lawyers and funders’</w:t>
      </w:r>
      <w:r w:rsidR="007378EC">
        <w:t xml:space="preserve"> (para 121)</w:t>
      </w:r>
      <w:r w:rsidR="00DF1E17">
        <w:t xml:space="preserve">, </w:t>
      </w:r>
      <w:r w:rsidR="002B01B5">
        <w:t>and the need to ensure that what is recovered by a funder is not excessive</w:t>
      </w:r>
      <w:r w:rsidR="007378EC">
        <w:t xml:space="preserve"> (</w:t>
      </w:r>
      <w:r w:rsidR="00560339" w:rsidRPr="00E064F0">
        <w:rPr>
          <w:i/>
          <w:iCs/>
        </w:rPr>
        <w:t>Gutmann v Apple Inc</w:t>
      </w:r>
      <w:r w:rsidR="00560339">
        <w:t>, para 81</w:t>
      </w:r>
      <w:r w:rsidR="007378EC">
        <w:t>)</w:t>
      </w:r>
      <w:r w:rsidR="00560339">
        <w:t>.</w:t>
      </w:r>
      <w:r w:rsidR="00E4546B">
        <w:t xml:space="preserve"> All of these were highly relevant considerations which pointed strongly to the</w:t>
      </w:r>
      <w:r w:rsidR="00240174">
        <w:t xml:space="preserve"> overall</w:t>
      </w:r>
      <w:r w:rsidR="00E4546B">
        <w:t xml:space="preserve"> justice and reasonableness</w:t>
      </w:r>
      <w:r w:rsidR="00753925">
        <w:t xml:space="preserve"> of the order made by the CAT</w:t>
      </w:r>
      <w:r w:rsidR="00A60A10">
        <w:t xml:space="preserve">, </w:t>
      </w:r>
      <w:r w:rsidR="00377A61">
        <w:t>including as one component of its order that the claimant would earn a profit of 50% of its expenditure</w:t>
      </w:r>
      <w:r w:rsidR="00753925">
        <w:t xml:space="preserve">. </w:t>
      </w:r>
      <w:r w:rsidR="00741446">
        <w:t xml:space="preserve">The CAT made clear that it fully recognised </w:t>
      </w:r>
      <w:r w:rsidR="003B4356">
        <w:t>the importance of litigation funding to the claim (para 176), but t</w:t>
      </w:r>
      <w:r w:rsidR="00F030F3">
        <w:t>o have awarded</w:t>
      </w:r>
      <w:r w:rsidR="00E02A7E">
        <w:t xml:space="preserve"> the claimant a profit materially </w:t>
      </w:r>
      <w:proofErr w:type="gramStart"/>
      <w:r w:rsidR="00E02A7E">
        <w:t>in excess of</w:t>
      </w:r>
      <w:proofErr w:type="gramEnd"/>
      <w:r w:rsidR="00E02A7E">
        <w:t xml:space="preserve"> 50% of its expenditure </w:t>
      </w:r>
      <w:r w:rsidR="001A4E2D">
        <w:t>would have subverted</w:t>
      </w:r>
      <w:r w:rsidR="00AB4362">
        <w:t xml:space="preserve"> these important principles.</w:t>
      </w:r>
    </w:p>
    <w:p w14:paraId="03FFAF9A" w14:textId="34F84423" w:rsidR="00E064F0" w:rsidRDefault="00A86AC4" w:rsidP="00CF561B">
      <w:pPr>
        <w:pStyle w:val="ParaLevel1"/>
      </w:pPr>
      <w:r>
        <w:t>Moreover, the ring</w:t>
      </w:r>
      <w:r w:rsidR="001844A1">
        <w:t>-</w:t>
      </w:r>
      <w:r>
        <w:t>fencing of the claimant’s return, including both its reimbursement of expenditure and its profit,</w:t>
      </w:r>
      <w:r w:rsidR="00217BE3">
        <w:t xml:space="preserve"> was a critical</w:t>
      </w:r>
      <w:r w:rsidR="00160A07">
        <w:t xml:space="preserve"> and valuable aspect of the package which the CAT awarded</w:t>
      </w:r>
      <w:r w:rsidR="00D047AB">
        <w:t>.</w:t>
      </w:r>
      <w:r w:rsidR="005D5333">
        <w:t xml:space="preserve"> </w:t>
      </w:r>
      <w:r w:rsidR="00AC0459">
        <w:t>Typically, a funder’s return will be paid out of</w:t>
      </w:r>
      <w:r w:rsidR="006E2DE0">
        <w:t xml:space="preserve"> the damages or settlement proceeds which are not distributed to class members, leaving the funder to bear the risk</w:t>
      </w:r>
      <w:r w:rsidR="0000325E">
        <w:t xml:space="preserve"> that the level of take-up by class members will leave it with insufficient funds remaining.</w:t>
      </w:r>
      <w:r w:rsidR="00C310F1">
        <w:t xml:space="preserve"> </w:t>
      </w:r>
      <w:r w:rsidR="00DD7D35">
        <w:t>Indeed, that was</w:t>
      </w:r>
      <w:r w:rsidR="00622EC0">
        <w:t xml:space="preserve"> the </w:t>
      </w:r>
      <w:r w:rsidR="003349A9">
        <w:t>regime</w:t>
      </w:r>
      <w:r w:rsidR="00622EC0">
        <w:t xml:space="preserve"> for which the claimant contended. </w:t>
      </w:r>
      <w:r w:rsidR="00C310F1">
        <w:t xml:space="preserve">But in the present case, that risk was removed. </w:t>
      </w:r>
      <w:proofErr w:type="gramStart"/>
      <w:r w:rsidR="00C310F1">
        <w:t>Accordingly</w:t>
      </w:r>
      <w:proofErr w:type="gramEnd"/>
      <w:r w:rsidR="00C310F1">
        <w:t xml:space="preserve"> the package awarded by the CAT was not directly comparable</w:t>
      </w:r>
      <w:r w:rsidR="00EA138F">
        <w:t xml:space="preserve"> with the typical case.</w:t>
      </w:r>
    </w:p>
    <w:p w14:paraId="1EA90C1A" w14:textId="77777777" w:rsidR="005032D5" w:rsidRDefault="005664DD" w:rsidP="00CF561B">
      <w:pPr>
        <w:pStyle w:val="ParaLevel1"/>
      </w:pPr>
      <w:r>
        <w:t>For these reasons</w:t>
      </w:r>
      <w:r w:rsidR="0038599A">
        <w:t xml:space="preserve"> I would reject this ground of challenge</w:t>
      </w:r>
      <w:r w:rsidR="005032D5">
        <w:t>.</w:t>
      </w:r>
    </w:p>
    <w:p w14:paraId="381F6F80" w14:textId="26F2347C" w:rsidR="00EA138F" w:rsidRDefault="005032D5" w:rsidP="00CF561B">
      <w:pPr>
        <w:pStyle w:val="ParaLevel1"/>
      </w:pPr>
      <w:r>
        <w:t>Alternatively, and</w:t>
      </w:r>
      <w:r w:rsidR="0038599A">
        <w:t xml:space="preserve"> if necessary,</w:t>
      </w:r>
      <w:r w:rsidR="00644C92">
        <w:t xml:space="preserve"> I would refuse to grant relief on this application pursuant to section 31(2A) of the Senior Courts Act 1981. This provides:</w:t>
      </w:r>
    </w:p>
    <w:p w14:paraId="112F4EE1" w14:textId="10835DCC" w:rsidR="00512B75" w:rsidRDefault="000174E4" w:rsidP="00CF561B">
      <w:pPr>
        <w:pStyle w:val="Quote"/>
      </w:pPr>
      <w:r>
        <w:t>‘The High Court</w:t>
      </w:r>
      <w:r w:rsidR="00036DBE" w:rsidRPr="00036DBE">
        <w:t>—</w:t>
      </w:r>
      <w:r>
        <w:t xml:space="preserve"> </w:t>
      </w:r>
    </w:p>
    <w:p w14:paraId="4495518B" w14:textId="77777777" w:rsidR="00512B75" w:rsidRDefault="000174E4" w:rsidP="00CF561B">
      <w:pPr>
        <w:pStyle w:val="Quote"/>
        <w:ind w:left="1701"/>
      </w:pPr>
      <w:r>
        <w:t xml:space="preserve">(a) must refuse to grant relief on an application for judicial review, and </w:t>
      </w:r>
    </w:p>
    <w:p w14:paraId="50DD8879" w14:textId="36786A5D" w:rsidR="00512B75" w:rsidRDefault="000174E4" w:rsidP="00CF561B">
      <w:pPr>
        <w:pStyle w:val="Quote"/>
        <w:ind w:left="1701"/>
      </w:pPr>
      <w:r>
        <w:t>(b) may not make an award under subsection (</w:t>
      </w:r>
      <w:r w:rsidR="00271351">
        <w:t xml:space="preserve">4) on such an application, </w:t>
      </w:r>
    </w:p>
    <w:p w14:paraId="2AE9F0FB" w14:textId="270DA0C6" w:rsidR="00644C92" w:rsidRDefault="00271351" w:rsidP="00CF561B">
      <w:pPr>
        <w:pStyle w:val="Quote"/>
      </w:pPr>
      <w:r>
        <w:t>if it appears to the court to be highly likely that the outcome for the applicant would not have been substantially different if the conduct complained of had not occurred.’</w:t>
      </w:r>
    </w:p>
    <w:p w14:paraId="4DF0FBF2" w14:textId="231918BB" w:rsidR="00F30036" w:rsidRDefault="0008563C" w:rsidP="00CF561B">
      <w:pPr>
        <w:pStyle w:val="ParaLevel1"/>
      </w:pPr>
      <w:r>
        <w:t>It appears to me to be highly likely</w:t>
      </w:r>
      <w:r w:rsidR="00D70909">
        <w:t>, indeed almost inevitable,</w:t>
      </w:r>
      <w:r>
        <w:t xml:space="preserve"> that the outcome in this case would not have been substantially different if the CAT </w:t>
      </w:r>
      <w:r w:rsidR="00CD7864">
        <w:t>had</w:t>
      </w:r>
      <w:r>
        <w:t xml:space="preserve"> correctly understood</w:t>
      </w:r>
      <w:r w:rsidR="00F47C11">
        <w:t xml:space="preserve"> </w:t>
      </w:r>
      <w:r w:rsidR="00CC5B14">
        <w:t>the</w:t>
      </w:r>
      <w:r w:rsidR="006B607B">
        <w:t xml:space="preserve"> effect of the</w:t>
      </w:r>
      <w:r w:rsidR="00CC5B14">
        <w:t xml:space="preserve"> evidence </w:t>
      </w:r>
      <w:r w:rsidR="00F47C11">
        <w:t>in the Australian cases or if it had not referred to that material at all.</w:t>
      </w:r>
      <w:r w:rsidR="00A02704">
        <w:t xml:space="preserve"> </w:t>
      </w:r>
      <w:r w:rsidR="0044126B">
        <w:t xml:space="preserve">The factors to which I have already referred </w:t>
      </w:r>
      <w:r w:rsidR="00143078">
        <w:t xml:space="preserve">point clearly to that conclusion. </w:t>
      </w:r>
      <w:r w:rsidR="00A02704">
        <w:lastRenderedPageBreak/>
        <w:t>Indeed, as I understood his submissions, Mr</w:t>
      </w:r>
      <w:r w:rsidR="008370FC">
        <w:t xml:space="preserve"> Béar </w:t>
      </w:r>
      <w:r w:rsidR="006C38D4">
        <w:t>was inclined to accept,</w:t>
      </w:r>
      <w:r w:rsidR="00044EFE">
        <w:t xml:space="preserve"> subject to his other grounds to which I shall come, that a process of reasoning as straightforward</w:t>
      </w:r>
      <w:r w:rsidR="00395A8F">
        <w:t xml:space="preserve"> as saying that the case had turned out badly and that the funder should recover what it had paid </w:t>
      </w:r>
      <w:r w:rsidR="005F229B">
        <w:t>together with a profit of 50%</w:t>
      </w:r>
      <w:r w:rsidR="007704D6">
        <w:t xml:space="preserve"> could not have been challenged</w:t>
      </w:r>
      <w:r w:rsidR="00F7433E">
        <w:t xml:space="preserve"> as being unfair or unreasonable.</w:t>
      </w:r>
      <w:r w:rsidR="00E1228A">
        <w:t xml:space="preserve"> </w:t>
      </w:r>
    </w:p>
    <w:p w14:paraId="6AD8D506" w14:textId="77777777" w:rsidR="00CD54F0" w:rsidRPr="00685174" w:rsidRDefault="00085F6A" w:rsidP="00CF561B">
      <w:pPr>
        <w:pStyle w:val="ParaLevel1"/>
        <w:numPr>
          <w:ilvl w:val="0"/>
          <w:numId w:val="0"/>
        </w:numPr>
        <w:rPr>
          <w:b/>
          <w:bCs/>
        </w:rPr>
      </w:pPr>
      <w:r w:rsidRPr="00685174">
        <w:rPr>
          <w:b/>
          <w:bCs/>
          <w:i/>
          <w:iCs/>
        </w:rPr>
        <w:t>Ground 2(a)</w:t>
      </w:r>
      <w:r w:rsidRPr="00685174">
        <w:rPr>
          <w:b/>
          <w:bCs/>
        </w:rPr>
        <w:t>: The net proceeds</w:t>
      </w:r>
    </w:p>
    <w:p w14:paraId="7FA4E343" w14:textId="5D039404" w:rsidR="001D22AE" w:rsidRDefault="001D22AE" w:rsidP="00CF561B">
      <w:pPr>
        <w:pStyle w:val="ParaLevel1"/>
      </w:pPr>
      <w:r>
        <w:t>T</w:t>
      </w:r>
      <w:r w:rsidR="00612CCF">
        <w:t>he case advanced (</w:t>
      </w:r>
      <w:r>
        <w:t xml:space="preserve">or which appeared to be advanced) in the claimant’s Statement of Facts and Grounds </w:t>
      </w:r>
      <w:r w:rsidR="007E0B4F">
        <w:t>was that the CAT</w:t>
      </w:r>
      <w:r w:rsidR="00442DE9">
        <w:t>’s</w:t>
      </w:r>
      <w:r w:rsidR="00265724">
        <w:t xml:space="preserve"> starting point should have been to identify the net proceeds (i.e. </w:t>
      </w:r>
      <w:r w:rsidR="00F12DBB">
        <w:t xml:space="preserve">£154 million, being </w:t>
      </w:r>
      <w:r w:rsidR="00265724">
        <w:t>the gross settlement proceeds of</w:t>
      </w:r>
      <w:r w:rsidR="00BD2DCE">
        <w:t xml:space="preserve"> £200 million less the claimant’s expenditure);</w:t>
      </w:r>
      <w:r w:rsidR="00EF110C">
        <w:t xml:space="preserve"> it should have awarded reimbursement of expenditure as its first step</w:t>
      </w:r>
      <w:r w:rsidR="00E9562D">
        <w:t>;</w:t>
      </w:r>
      <w:r w:rsidR="004F1899">
        <w:t xml:space="preserve"> and only then </w:t>
      </w:r>
      <w:r w:rsidR="00E9562D">
        <w:t xml:space="preserve">should it have </w:t>
      </w:r>
      <w:r w:rsidR="004F1899">
        <w:t>considered how to divide the net proceeds between the class and the funder</w:t>
      </w:r>
      <w:r w:rsidR="0050205D">
        <w:t>. I would have rejected this submission because it</w:t>
      </w:r>
      <w:r w:rsidR="00842186">
        <w:t xml:space="preserve"> imposes an inappropriate straitjacket on the CAT’s determination of what is just and reasonable</w:t>
      </w:r>
      <w:r w:rsidR="00426C7D">
        <w:t>, contrary to the ‘wide unrestricted powers’ (see above) conferred on it</w:t>
      </w:r>
      <w:r w:rsidR="00D749DE">
        <w:t>.</w:t>
      </w:r>
    </w:p>
    <w:p w14:paraId="0599FE21" w14:textId="77777777" w:rsidR="00B02D80" w:rsidRDefault="00D749DE" w:rsidP="00CF561B">
      <w:pPr>
        <w:pStyle w:val="ParaLevel1"/>
      </w:pPr>
      <w:r>
        <w:t xml:space="preserve">In the event, however, </w:t>
      </w:r>
      <w:r w:rsidR="00CD0304">
        <w:t>Mr Béar</w:t>
      </w:r>
      <w:r>
        <w:t xml:space="preserve"> made clear that this was not the claimant’s</w:t>
      </w:r>
      <w:r w:rsidR="00D52C23">
        <w:t xml:space="preserve"> submission. Rather, it was</w:t>
      </w:r>
      <w:r w:rsidR="00CD0304">
        <w:t xml:space="preserve"> that t</w:t>
      </w:r>
      <w:r w:rsidR="003247F2">
        <w:t xml:space="preserve">he CAT </w:t>
      </w:r>
      <w:r w:rsidR="00D52C23">
        <w:t xml:space="preserve">was required </w:t>
      </w:r>
      <w:r w:rsidR="003247F2">
        <w:t>to have regard to the net proceeds of the settlement</w:t>
      </w:r>
      <w:r w:rsidR="00B02D80">
        <w:t xml:space="preserve"> as a factor to be </w:t>
      </w:r>
      <w:proofErr w:type="gramStart"/>
      <w:r w:rsidR="00B02D80">
        <w:t>taken into account</w:t>
      </w:r>
      <w:proofErr w:type="gramEnd"/>
      <w:r w:rsidR="00B02D80">
        <w:t xml:space="preserve"> in determining the allocation of the settlement proceeds</w:t>
      </w:r>
      <w:r w:rsidR="003247F2">
        <w:t>,</w:t>
      </w:r>
      <w:r w:rsidR="00B02D80">
        <w:t xml:space="preserve"> and that it had failed to do so.</w:t>
      </w:r>
    </w:p>
    <w:p w14:paraId="48B35229" w14:textId="4510CC86" w:rsidR="00DC211A" w:rsidRDefault="00C0054F" w:rsidP="00CF561B">
      <w:pPr>
        <w:pStyle w:val="ParaLevel1"/>
      </w:pPr>
      <w:r>
        <w:t>I would reject this submission.</w:t>
      </w:r>
      <w:r w:rsidR="00680296">
        <w:t xml:space="preserve"> It is obvious</w:t>
      </w:r>
      <w:r w:rsidR="004C7C9A">
        <w:t xml:space="preserve"> that the CAT was </w:t>
      </w:r>
      <w:proofErr w:type="gramStart"/>
      <w:r w:rsidR="004C7C9A">
        <w:t>well aware</w:t>
      </w:r>
      <w:proofErr w:type="gramEnd"/>
      <w:r w:rsidR="00B01A73">
        <w:t xml:space="preserve"> of the expenditure incurred by the claimant</w:t>
      </w:r>
      <w:r w:rsidR="007C7B60">
        <w:t xml:space="preserve">. It was </w:t>
      </w:r>
      <w:proofErr w:type="gramStart"/>
      <w:r w:rsidR="007C7B60">
        <w:t>well aware</w:t>
      </w:r>
      <w:proofErr w:type="gramEnd"/>
      <w:r w:rsidR="007C7B60">
        <w:t xml:space="preserve"> also</w:t>
      </w:r>
      <w:r w:rsidR="00B01A73">
        <w:t xml:space="preserve"> that the net proceeds for division between the class members and the</w:t>
      </w:r>
      <w:r w:rsidR="003E62A4">
        <w:t xml:space="preserve"> claimant </w:t>
      </w:r>
      <w:r w:rsidR="00170F0B">
        <w:t xml:space="preserve">after reimbursement of the claimant’s expenditure </w:t>
      </w:r>
      <w:r w:rsidR="003E62A4">
        <w:t>were of the order of £15</w:t>
      </w:r>
      <w:r w:rsidR="00DE6D4E">
        <w:t>4</w:t>
      </w:r>
      <w:r w:rsidR="003E62A4">
        <w:t xml:space="preserve"> million.</w:t>
      </w:r>
      <w:r w:rsidR="00DE6D4E">
        <w:t xml:space="preserve"> The fact that t</w:t>
      </w:r>
      <w:r w:rsidR="003E223C">
        <w:t>he CAT</w:t>
      </w:r>
      <w:r w:rsidR="001A7B8D">
        <w:t xml:space="preserve"> </w:t>
      </w:r>
      <w:r w:rsidR="00C82A5B">
        <w:t xml:space="preserve">began by </w:t>
      </w:r>
      <w:r w:rsidR="001A7B8D">
        <w:t>award</w:t>
      </w:r>
      <w:r w:rsidR="00C82A5B">
        <w:t>ing</w:t>
      </w:r>
      <w:r w:rsidR="001A7B8D">
        <w:t xml:space="preserve"> £100 million to the class and referred to this as Pot 1</w:t>
      </w:r>
      <w:r w:rsidR="00CA1C39">
        <w:t xml:space="preserve"> </w:t>
      </w:r>
      <w:r w:rsidR="008609C3">
        <w:t xml:space="preserve">(rather than Pot </w:t>
      </w:r>
      <w:r w:rsidR="00F1135F">
        <w:t xml:space="preserve">2) </w:t>
      </w:r>
      <w:r w:rsidR="00CA1C39">
        <w:t>does not begin to suggest that it failed to have regard to the net proceeds of the settlement</w:t>
      </w:r>
      <w:r w:rsidR="00170F0B">
        <w:t>.</w:t>
      </w:r>
      <w:r w:rsidR="001B03F3">
        <w:t xml:space="preserve"> </w:t>
      </w:r>
    </w:p>
    <w:p w14:paraId="68061482" w14:textId="756D52D9" w:rsidR="003247F2" w:rsidRDefault="004C0510" w:rsidP="00CF561B">
      <w:pPr>
        <w:pStyle w:val="ParaLevel1"/>
      </w:pPr>
      <w:r>
        <w:t>Rather,</w:t>
      </w:r>
      <w:r w:rsidR="001F40BF">
        <w:t xml:space="preserve"> the CAT took the view that </w:t>
      </w:r>
      <w:r w:rsidR="00BD12A3">
        <w:t>reimbursement of t</w:t>
      </w:r>
      <w:r w:rsidR="00DC211A">
        <w:t>he claimant’</w:t>
      </w:r>
      <w:r w:rsidR="00BD12A3">
        <w:t xml:space="preserve">s expenditure </w:t>
      </w:r>
      <w:r w:rsidR="000C3916">
        <w:t xml:space="preserve">(Pot 2) </w:t>
      </w:r>
      <w:r w:rsidR="00BD12A3">
        <w:t xml:space="preserve">plus </w:t>
      </w:r>
      <w:r w:rsidR="001F40BF">
        <w:t>a profit of 50% of t</w:t>
      </w:r>
      <w:r w:rsidR="00826A02">
        <w:t>h</w:t>
      </w:r>
      <w:r w:rsidR="000C3916">
        <w:t>at</w:t>
      </w:r>
      <w:r w:rsidR="001F40BF">
        <w:t xml:space="preserve"> expenditure </w:t>
      </w:r>
      <w:r w:rsidR="00A32880">
        <w:t xml:space="preserve">(to be drawn from what it called Pot </w:t>
      </w:r>
      <w:r w:rsidR="001F74E1">
        <w:t xml:space="preserve">3) </w:t>
      </w:r>
      <w:r w:rsidR="001F40BF">
        <w:t>represented a fair and reasonable return for the claimant</w:t>
      </w:r>
      <w:r w:rsidR="00BF4271">
        <w:t xml:space="preserve"> in view of the ‘very poor result’ of the case</w:t>
      </w:r>
      <w:r w:rsidR="0023661C">
        <w:t>;</w:t>
      </w:r>
      <w:r w:rsidR="00BF4271">
        <w:t xml:space="preserve"> that anything more</w:t>
      </w:r>
      <w:r w:rsidR="0037474F">
        <w:t xml:space="preserve"> would not have been appropriate</w:t>
      </w:r>
      <w:r w:rsidR="001C30C0">
        <w:t>; and that the balance of Pot 3</w:t>
      </w:r>
      <w:r w:rsidR="000177A1">
        <w:t xml:space="preserve"> should be available to class members</w:t>
      </w:r>
      <w:r w:rsidR="0037474F">
        <w:t>.</w:t>
      </w:r>
      <w:r w:rsidR="00724C14">
        <w:t xml:space="preserve"> That was a conclusion which it was entitled to reach.</w:t>
      </w:r>
      <w:r w:rsidR="0034213A">
        <w:t xml:space="preserve"> </w:t>
      </w:r>
      <w:r w:rsidR="00C87CB4">
        <w:t>It was consistent with the objective of the collective proceedings regime, which is to facilitate access to justice for those</w:t>
      </w:r>
      <w:r w:rsidR="001D4D62">
        <w:t xml:space="preserve"> (in particular consumers) who would otherwise not be able to access legal redress (</w:t>
      </w:r>
      <w:r w:rsidR="00F638E1">
        <w:rPr>
          <w:i/>
          <w:iCs/>
        </w:rPr>
        <w:t xml:space="preserve">Le </w:t>
      </w:r>
      <w:proofErr w:type="spellStart"/>
      <w:r w:rsidR="00F638E1">
        <w:rPr>
          <w:i/>
          <w:iCs/>
        </w:rPr>
        <w:t>Patourel</w:t>
      </w:r>
      <w:proofErr w:type="spellEnd"/>
      <w:r w:rsidR="00F638E1">
        <w:rPr>
          <w:i/>
          <w:iCs/>
        </w:rPr>
        <w:t xml:space="preserve"> v BT Group Inc</w:t>
      </w:r>
      <w:r w:rsidR="00737421">
        <w:t xml:space="preserve">, para </w:t>
      </w:r>
      <w:r w:rsidR="009B4905">
        <w:t>29</w:t>
      </w:r>
      <w:r w:rsidR="001D4D62">
        <w:t>)</w:t>
      </w:r>
      <w:r w:rsidR="00EB1F1E">
        <w:t>;</w:t>
      </w:r>
      <w:r w:rsidR="00D41A73">
        <w:t xml:space="preserve"> with its view</w:t>
      </w:r>
      <w:r w:rsidR="0027552A">
        <w:t xml:space="preserve"> that ‘the return cannot disregard the degree of success or failure of the proceedings’</w:t>
      </w:r>
      <w:r w:rsidR="006F3C8E">
        <w:t xml:space="preserve"> (para 184)</w:t>
      </w:r>
      <w:r w:rsidR="0027552A">
        <w:t>;</w:t>
      </w:r>
      <w:r w:rsidR="00EB1F1E">
        <w:t xml:space="preserve"> and with</w:t>
      </w:r>
      <w:r w:rsidR="00A35149">
        <w:t xml:space="preserve"> </w:t>
      </w:r>
      <w:r w:rsidR="00EB1F1E">
        <w:t>the need to ensure that what is recovered by a funder is not excessive</w:t>
      </w:r>
      <w:r w:rsidR="00A35149">
        <w:t xml:space="preserve"> (</w:t>
      </w:r>
      <w:r w:rsidR="00EB1F1E" w:rsidRPr="00E064F0">
        <w:rPr>
          <w:i/>
          <w:iCs/>
        </w:rPr>
        <w:t>Gutmann v Apple Inc</w:t>
      </w:r>
      <w:r w:rsidR="00A35149">
        <w:t>, para 81)</w:t>
      </w:r>
      <w:r w:rsidR="001D4D62">
        <w:t>.</w:t>
      </w:r>
      <w:r w:rsidR="00F638E1">
        <w:t xml:space="preserve"> </w:t>
      </w:r>
    </w:p>
    <w:p w14:paraId="38439468" w14:textId="329E89AA" w:rsidR="00085F6A" w:rsidRPr="00685174" w:rsidRDefault="00085F6A" w:rsidP="00CF561B">
      <w:pPr>
        <w:pStyle w:val="ParaLevel1"/>
        <w:numPr>
          <w:ilvl w:val="0"/>
          <w:numId w:val="0"/>
        </w:numPr>
        <w:rPr>
          <w:b/>
          <w:bCs/>
        </w:rPr>
      </w:pPr>
      <w:r w:rsidRPr="00685174">
        <w:rPr>
          <w:b/>
          <w:bCs/>
          <w:i/>
          <w:iCs/>
        </w:rPr>
        <w:t>Ground 4</w:t>
      </w:r>
      <w:r w:rsidRPr="00685174">
        <w:rPr>
          <w:b/>
          <w:bCs/>
        </w:rPr>
        <w:t xml:space="preserve">: </w:t>
      </w:r>
      <w:r w:rsidR="009F51A9" w:rsidRPr="00685174">
        <w:rPr>
          <w:b/>
          <w:bCs/>
        </w:rPr>
        <w:t>Colfax</w:t>
      </w:r>
    </w:p>
    <w:p w14:paraId="6B50440F" w14:textId="4BC82C5D" w:rsidR="00B74C48" w:rsidRDefault="002F1A90" w:rsidP="00CF561B">
      <w:pPr>
        <w:pStyle w:val="ParaLevel1"/>
      </w:pPr>
      <w:r>
        <w:t xml:space="preserve">When the </w:t>
      </w:r>
      <w:r w:rsidR="006F1A1F">
        <w:t xml:space="preserve">claim against Mastercard </w:t>
      </w:r>
      <w:r>
        <w:t>began</w:t>
      </w:r>
      <w:r w:rsidR="006F1A1F">
        <w:t xml:space="preserve"> in 2016</w:t>
      </w:r>
      <w:r>
        <w:t>,</w:t>
      </w:r>
      <w:r w:rsidR="004A54E9">
        <w:t xml:space="preserve"> the proceedings were not funded by</w:t>
      </w:r>
      <w:r>
        <w:t xml:space="preserve"> the claimant</w:t>
      </w:r>
      <w:r w:rsidR="004A54E9">
        <w:t xml:space="preserve"> but by another litigation funder called Colfax. Colfax </w:t>
      </w:r>
      <w:r w:rsidR="00BA24E3">
        <w:t>terminated its funding arrangements with Mr Merricks in July 2017</w:t>
      </w:r>
      <w:r w:rsidR="00316363">
        <w:t xml:space="preserve"> after the CAT had refused to certify the proceedings as collective proceedings</w:t>
      </w:r>
      <w:r w:rsidR="00785BDC">
        <w:t>,</w:t>
      </w:r>
      <w:r w:rsidR="00B84A48">
        <w:t xml:space="preserve"> a decision later reversed on appeal</w:t>
      </w:r>
      <w:r w:rsidR="00316363">
        <w:t>.</w:t>
      </w:r>
      <w:r w:rsidR="00C05981">
        <w:t xml:space="preserve"> The claimant then stepped in to replace</w:t>
      </w:r>
      <w:r w:rsidR="00873295">
        <w:t xml:space="preserve"> Colfax. Despite the termination of its funding agreement</w:t>
      </w:r>
      <w:r w:rsidR="005E0A38">
        <w:t>, Colfax</w:t>
      </w:r>
      <w:r w:rsidR="0097004D">
        <w:t xml:space="preserve"> maintained that it would be entitled</w:t>
      </w:r>
      <w:r w:rsidR="0046068B">
        <w:t xml:space="preserve"> to share in any proceeds of the litigation. Mr Merricks denied</w:t>
      </w:r>
      <w:r w:rsidR="003377CB">
        <w:t xml:space="preserve"> that Colfax retained any such entitlement.</w:t>
      </w:r>
    </w:p>
    <w:p w14:paraId="7CAB7C2D" w14:textId="216F8020" w:rsidR="00E30C6A" w:rsidRDefault="00E30C6A" w:rsidP="00CF561B">
      <w:pPr>
        <w:pStyle w:val="ParaLevel1"/>
      </w:pPr>
      <w:r>
        <w:lastRenderedPageBreak/>
        <w:t>Without asking or informing Mr Merricks, the claimant entered into an agreement with Colfax</w:t>
      </w:r>
      <w:r w:rsidR="00517B76">
        <w:t xml:space="preserve"> dated 4</w:t>
      </w:r>
      <w:r w:rsidR="00517B76" w:rsidRPr="00517B76">
        <w:rPr>
          <w:vertAlign w:val="superscript"/>
        </w:rPr>
        <w:t>th</w:t>
      </w:r>
      <w:r w:rsidR="00517B76">
        <w:t xml:space="preserve"> February 2021, by which Colfax released Mr Merricks from any rights</w:t>
      </w:r>
      <w:r w:rsidR="0084700F">
        <w:t xml:space="preserve"> </w:t>
      </w:r>
      <w:r w:rsidR="00314DC4">
        <w:t xml:space="preserve">it had against him </w:t>
      </w:r>
      <w:r w:rsidR="0084700F">
        <w:t>under its original funding agreement and assigned any such rights to the claimant</w:t>
      </w:r>
      <w:r w:rsidR="0063403D">
        <w:t>.</w:t>
      </w:r>
      <w:r w:rsidR="00641C52">
        <w:t xml:space="preserve"> Under this agreement the claimant</w:t>
      </w:r>
      <w:r w:rsidR="009447B7">
        <w:t xml:space="preserve"> has an obligation to pay a specified sum of money to Colfax</w:t>
      </w:r>
      <w:r w:rsidR="00AD785B">
        <w:t xml:space="preserve"> out of any profit it receives from the litigation after reimbursement of </w:t>
      </w:r>
      <w:r w:rsidR="006F478F">
        <w:t xml:space="preserve">its </w:t>
      </w:r>
      <w:r w:rsidR="00AD785B">
        <w:t>expenditure</w:t>
      </w:r>
      <w:r w:rsidR="008821D6">
        <w:t>.</w:t>
      </w:r>
    </w:p>
    <w:p w14:paraId="2614E821" w14:textId="50788DD8" w:rsidR="008821D6" w:rsidRDefault="008821D6" w:rsidP="00CF561B">
      <w:pPr>
        <w:pStyle w:val="ParaLevel1"/>
      </w:pPr>
      <w:r>
        <w:t>The claimant</w:t>
      </w:r>
      <w:r w:rsidR="00D936F8">
        <w:t>’s</w:t>
      </w:r>
      <w:r w:rsidR="00C90312">
        <w:t xml:space="preserve"> principal</w:t>
      </w:r>
      <w:r>
        <w:t xml:space="preserve"> submi</w:t>
      </w:r>
      <w:r w:rsidR="00C90312">
        <w:t xml:space="preserve">ssion to </w:t>
      </w:r>
      <w:r>
        <w:t>the CAT</w:t>
      </w:r>
      <w:r w:rsidR="00C90312">
        <w:t>, as already explained,</w:t>
      </w:r>
      <w:r w:rsidR="002231DA">
        <w:t xml:space="preserve"> was that there should be an equal division of the settlement proceeds between all the class members</w:t>
      </w:r>
      <w:r w:rsidR="00F0182E">
        <w:t xml:space="preserve"> and that its return (reimbursement of expenses plus profit</w:t>
      </w:r>
      <w:r w:rsidR="00C367B0">
        <w:t>) should be paid out of the undistributed proceeds of the settlement. If that approach was adopted,</w:t>
      </w:r>
      <w:r w:rsidR="007B77DD">
        <w:t xml:space="preserve"> it was content to pay whatever it was obliged to pay to Colfax out of its profit</w:t>
      </w:r>
      <w:r w:rsidR="00DD323B">
        <w:t>. However, if the CAT adopted the approach for which Mr Merricks contended, as it did,</w:t>
      </w:r>
      <w:r w:rsidR="00C919B4">
        <w:t xml:space="preserve"> the claimant suggested t</w:t>
      </w:r>
      <w:r>
        <w:t>hat it should be paid</w:t>
      </w:r>
      <w:r w:rsidR="00014C2B">
        <w:t xml:space="preserve"> </w:t>
      </w:r>
      <w:r w:rsidR="00C919B4">
        <w:t>i</w:t>
      </w:r>
      <w:r w:rsidR="00014C2B">
        <w:t>t</w:t>
      </w:r>
      <w:r w:rsidR="00C919B4">
        <w:t>s</w:t>
      </w:r>
      <w:r w:rsidR="005F6995">
        <w:t xml:space="preserve"> liability to Colfax </w:t>
      </w:r>
      <w:r w:rsidR="00014C2B">
        <w:t xml:space="preserve">out of Pot 3, </w:t>
      </w:r>
      <w:r w:rsidR="00DD57FC">
        <w:t xml:space="preserve">in </w:t>
      </w:r>
      <w:r w:rsidR="00C4778A">
        <w:t>addition to its profit</w:t>
      </w:r>
      <w:r w:rsidR="005F6995">
        <w:t xml:space="preserve">. </w:t>
      </w:r>
      <w:r w:rsidR="00C549F7">
        <w:t>T</w:t>
      </w:r>
      <w:r w:rsidR="00014C2B">
        <w:t>he CAT</w:t>
      </w:r>
      <w:r w:rsidR="00653801">
        <w:t xml:space="preserve"> rejected this su</w:t>
      </w:r>
      <w:r w:rsidR="004F585B">
        <w:t>ggest</w:t>
      </w:r>
      <w:r w:rsidR="00653801">
        <w:t>ion</w:t>
      </w:r>
      <w:r w:rsidR="007C523D">
        <w:t xml:space="preserve"> (</w:t>
      </w:r>
      <w:r w:rsidR="00ED33E5">
        <w:t>the CAT’s</w:t>
      </w:r>
      <w:r w:rsidR="007C523D">
        <w:t xml:space="preserve"> emphasis)</w:t>
      </w:r>
      <w:r w:rsidR="00653801">
        <w:t>:</w:t>
      </w:r>
    </w:p>
    <w:p w14:paraId="2017300C" w14:textId="6746D47F" w:rsidR="00653801" w:rsidRDefault="00653801" w:rsidP="00CF561B">
      <w:pPr>
        <w:pStyle w:val="Quote"/>
      </w:pPr>
      <w:r>
        <w:t>‘</w:t>
      </w:r>
      <w:r w:rsidR="00FE4A24">
        <w:t xml:space="preserve">192. … </w:t>
      </w:r>
      <w:r>
        <w:t xml:space="preserve">On [the claimant’s] </w:t>
      </w:r>
      <w:r w:rsidR="0079244B">
        <w:t xml:space="preserve">evidence quoted above, the liability </w:t>
      </w:r>
      <w:proofErr w:type="spellStart"/>
      <w:r w:rsidR="0079244B">
        <w:t>Innsworth</w:t>
      </w:r>
      <w:proofErr w:type="spellEnd"/>
      <w:r w:rsidR="0079244B">
        <w:t xml:space="preserve"> assumed to Colfax is to be discharged </w:t>
      </w:r>
      <w:r w:rsidR="0079244B" w:rsidRPr="0079244B">
        <w:rPr>
          <w:i/>
          <w:iCs/>
        </w:rPr>
        <w:t>out of</w:t>
      </w:r>
      <w:r w:rsidR="0079244B">
        <w:t xml:space="preserve"> the profit return </w:t>
      </w:r>
      <w:proofErr w:type="spellStart"/>
      <w:r w:rsidR="0079244B">
        <w:t>Innsworth</w:t>
      </w:r>
      <w:proofErr w:type="spellEnd"/>
      <w:r w:rsidR="0079244B">
        <w:t xml:space="preserve"> receives.</w:t>
      </w:r>
      <w:r w:rsidR="008B661A">
        <w:t xml:space="preserve"> In effect, this amounts to an agreed but limited sharing of that profit return.</w:t>
      </w:r>
      <w:r w:rsidR="00A411D1">
        <w:t xml:space="preserve"> …’ </w:t>
      </w:r>
    </w:p>
    <w:p w14:paraId="7AC7D955" w14:textId="3FDDC9C3" w:rsidR="00653801" w:rsidRDefault="0055471F" w:rsidP="00CF561B">
      <w:pPr>
        <w:pStyle w:val="ParaLevel1"/>
      </w:pPr>
      <w:r>
        <w:t>Mr Béar</w:t>
      </w:r>
      <w:r w:rsidR="00A71E79">
        <w:t xml:space="preserve"> </w:t>
      </w:r>
      <w:r w:rsidR="00430E69">
        <w:t xml:space="preserve">submitted that </w:t>
      </w:r>
      <w:r w:rsidR="00A95C4A">
        <w:t>the CAT</w:t>
      </w:r>
      <w:r w:rsidR="00430E69">
        <w:t xml:space="preserve"> was wrong to characterise the claimant’s liability to Colfax as a profit share. Rather,</w:t>
      </w:r>
      <w:r w:rsidR="00367B76">
        <w:t xml:space="preserve"> it was an expense incurred for the benefit of the class,</w:t>
      </w:r>
      <w:r w:rsidR="007F0511">
        <w:t xml:space="preserve"> which </w:t>
      </w:r>
      <w:r w:rsidR="00780154">
        <w:t xml:space="preserve">released the class from </w:t>
      </w:r>
      <w:r w:rsidR="007F0511">
        <w:t>what was at least a potential liability to Colfax.</w:t>
      </w:r>
      <w:r w:rsidR="00D21CFA">
        <w:t xml:space="preserve"> The claimant should therefore have been entitled</w:t>
      </w:r>
      <w:r w:rsidR="002A7682">
        <w:t xml:space="preserve"> to recover what it was obliged to pay Colfax out of </w:t>
      </w:r>
      <w:r w:rsidR="009863C7">
        <w:t>P</w:t>
      </w:r>
      <w:r w:rsidR="002A7682">
        <w:t>ot</w:t>
      </w:r>
      <w:r w:rsidR="009863C7">
        <w:t xml:space="preserve"> 3 before any of the funds in Pot </w:t>
      </w:r>
      <w:r w:rsidR="005F162A">
        <w:t xml:space="preserve">3 </w:t>
      </w:r>
      <w:r w:rsidR="009863C7">
        <w:t>were made available</w:t>
      </w:r>
      <w:r w:rsidR="00C466CB">
        <w:t xml:space="preserve"> to the class.</w:t>
      </w:r>
    </w:p>
    <w:p w14:paraId="03607515" w14:textId="544225AC" w:rsidR="00C466CB" w:rsidRDefault="00C30DE8" w:rsidP="00CF561B">
      <w:pPr>
        <w:pStyle w:val="ParaLevel1"/>
      </w:pPr>
      <w:r>
        <w:t>I would reject that submission. The claimant chose to enter into its agreement with Colfax without reference to Mr Merricks.</w:t>
      </w:r>
      <w:r w:rsidR="00BD2483">
        <w:t xml:space="preserve"> The CAT was right, or at any rate was entitled, to characterise this agreement as an agreed sharing of any profit</w:t>
      </w:r>
      <w:r w:rsidR="00C83797">
        <w:t xml:space="preserve"> which the claimant would obtain. There was no error of law in holding the claimant to that agreement</w:t>
      </w:r>
      <w:r w:rsidR="007E7915">
        <w:t xml:space="preserve"> and it was not irrational to do so</w:t>
      </w:r>
      <w:r w:rsidR="00C83797">
        <w:t>.</w:t>
      </w:r>
    </w:p>
    <w:p w14:paraId="3D0A7714" w14:textId="7DDADAC7" w:rsidR="00D61E95" w:rsidRPr="00D61E95" w:rsidRDefault="00D61E95" w:rsidP="00CF561B">
      <w:pPr>
        <w:pStyle w:val="ParaLevel1"/>
        <w:numPr>
          <w:ilvl w:val="0"/>
          <w:numId w:val="0"/>
        </w:numPr>
        <w:rPr>
          <w:b/>
          <w:bCs/>
        </w:rPr>
      </w:pPr>
      <w:r>
        <w:rPr>
          <w:b/>
          <w:bCs/>
        </w:rPr>
        <w:t>The renewed application for permission: procedural issues</w:t>
      </w:r>
    </w:p>
    <w:p w14:paraId="10570736" w14:textId="10AE5338" w:rsidR="00D61E95" w:rsidRDefault="00FE1937" w:rsidP="00CF561B">
      <w:pPr>
        <w:pStyle w:val="ParaLevel1"/>
      </w:pPr>
      <w:r>
        <w:t>As</w:t>
      </w:r>
      <w:r w:rsidR="00C059CF">
        <w:t xml:space="preserve"> I have explained, the claimant seeks to renew its application for permission to bring its claim for judicial review on two of the grounds for which Mr Justice</w:t>
      </w:r>
      <w:r w:rsidR="00500F92">
        <w:t xml:space="preserve"> Linden refused permission at an oral hearing. </w:t>
      </w:r>
      <w:r w:rsidR="00F8401A">
        <w:t>Mr Brealey, supported by Mr Gerard Rothschild</w:t>
      </w:r>
      <w:r w:rsidR="00DC4F6E">
        <w:t xml:space="preserve"> for the Access to Justice Foundation, oppose</w:t>
      </w:r>
      <w:r w:rsidR="00B01DFB">
        <w:t>d</w:t>
      </w:r>
      <w:r w:rsidR="00DC4F6E">
        <w:t xml:space="preserve"> this application on </w:t>
      </w:r>
      <w:r w:rsidR="00B01DFB">
        <w:t xml:space="preserve">both </w:t>
      </w:r>
      <w:r w:rsidR="00DC4F6E">
        <w:t>procedural and substantive grounds.</w:t>
      </w:r>
      <w:r w:rsidR="00C05E0E">
        <w:t xml:space="preserve"> As to the procedure,</w:t>
      </w:r>
      <w:r w:rsidR="00D166A4">
        <w:t xml:space="preserve"> they submitted that any application should have been made to the Court of Appeal, referring to CPR 52.8</w:t>
      </w:r>
      <w:r w:rsidR="00DC5387">
        <w:t>:</w:t>
      </w:r>
    </w:p>
    <w:p w14:paraId="6C9181F8" w14:textId="77777777" w:rsidR="00896C0E" w:rsidRDefault="00DC5387" w:rsidP="00CF561B">
      <w:pPr>
        <w:pStyle w:val="Quote"/>
      </w:pPr>
      <w:r>
        <w:t>‘(1) Where</w:t>
      </w:r>
      <w:r w:rsidR="00C81BCB">
        <w:t xml:space="preserve"> permission to apply for judicial review has been refused at a hearing in the High Court, an application for permission to appeal may be made to the Court of Appeal except </w:t>
      </w:r>
      <w:proofErr w:type="gramStart"/>
      <w:r w:rsidR="00C81BCB">
        <w:t>where</w:t>
      </w:r>
      <w:proofErr w:type="gramEnd"/>
      <w:r w:rsidR="00C81BCB">
        <w:t xml:space="preserve"> precluded by</w:t>
      </w:r>
      <w:r w:rsidR="00C376BE">
        <w:t xml:space="preserve"> section 18(1) of the Senior Courts Act 1981. </w:t>
      </w:r>
    </w:p>
    <w:p w14:paraId="4F7B2EB2" w14:textId="77777777" w:rsidR="00E369C7" w:rsidRDefault="00E369C7" w:rsidP="00CF561B">
      <w:pPr>
        <w:pStyle w:val="Quote"/>
      </w:pPr>
      <w:r>
        <w:t>…</w:t>
      </w:r>
    </w:p>
    <w:p w14:paraId="01D6297D" w14:textId="11D386F1" w:rsidR="00E369C7" w:rsidRDefault="00C376BE" w:rsidP="00CF561B">
      <w:pPr>
        <w:pStyle w:val="Quote"/>
      </w:pPr>
      <w:r>
        <w:lastRenderedPageBreak/>
        <w:t>(3) An application under paragraph</w:t>
      </w:r>
      <w:r w:rsidR="00B4483D">
        <w:t xml:space="preserve"> (1) must be made within 7 days of the decision of the High Court to refuse to give permission to apply for judicial review. </w:t>
      </w:r>
    </w:p>
    <w:p w14:paraId="3328D616" w14:textId="77777777" w:rsidR="00E369C7" w:rsidRDefault="00B4483D" w:rsidP="00CF561B">
      <w:pPr>
        <w:pStyle w:val="Quote"/>
      </w:pPr>
      <w:r>
        <w:t xml:space="preserve">… </w:t>
      </w:r>
    </w:p>
    <w:p w14:paraId="25BDE0AF" w14:textId="163F61CC" w:rsidR="00DC5387" w:rsidRDefault="000F38DA" w:rsidP="00CF561B">
      <w:pPr>
        <w:pStyle w:val="Quote"/>
      </w:pPr>
      <w:r>
        <w:t xml:space="preserve">(5) </w:t>
      </w:r>
      <w:r w:rsidR="00896C0E">
        <w:t xml:space="preserve">On an application under paragraph (1) … the Court of Appeal </w:t>
      </w:r>
      <w:r w:rsidR="006D1320">
        <w:t>may</w:t>
      </w:r>
      <w:r w:rsidR="00896C0E">
        <w:t>, instead of giving permission to appeal, give permission to apply for judicial review.’</w:t>
      </w:r>
    </w:p>
    <w:p w14:paraId="6FAC565B" w14:textId="17E59581" w:rsidR="00A821B4" w:rsidRDefault="0016796C" w:rsidP="00CF561B">
      <w:pPr>
        <w:pStyle w:val="ParaLevel1"/>
      </w:pPr>
      <w:r>
        <w:t>The claimant sought</w:t>
      </w:r>
      <w:r w:rsidR="00A36AFC">
        <w:t xml:space="preserve"> (and was refused) an extension of the </w:t>
      </w:r>
      <w:proofErr w:type="gramStart"/>
      <w:r w:rsidR="00A36AFC">
        <w:t>seven day</w:t>
      </w:r>
      <w:proofErr w:type="gramEnd"/>
      <w:r w:rsidR="00A36AFC">
        <w:t xml:space="preserve"> deadline for making an application to the Court of Appeal</w:t>
      </w:r>
      <w:r w:rsidR="009A74B4">
        <w:t xml:space="preserve"> from Mr Justice </w:t>
      </w:r>
      <w:proofErr w:type="gramStart"/>
      <w:r w:rsidR="009A74B4">
        <w:t>Linden, but</w:t>
      </w:r>
      <w:proofErr w:type="gramEnd"/>
      <w:r w:rsidR="009A74B4">
        <w:t xml:space="preserve"> did not then make any application to the Court of Appeal. </w:t>
      </w:r>
      <w:r w:rsidR="00B94EF5">
        <w:t>Instead, on 12</w:t>
      </w:r>
      <w:r w:rsidR="00315E52" w:rsidRPr="00315E52">
        <w:rPr>
          <w:vertAlign w:val="superscript"/>
        </w:rPr>
        <w:t>th</w:t>
      </w:r>
      <w:r w:rsidR="00B94EF5">
        <w:t xml:space="preserve"> March 2026, 31 days after</w:t>
      </w:r>
      <w:r w:rsidR="007E389C">
        <w:t xml:space="preserve"> the permission hearing, it made a renewed application for permission</w:t>
      </w:r>
      <w:r w:rsidR="008C497B">
        <w:t xml:space="preserve"> to this </w:t>
      </w:r>
      <w:r w:rsidR="00BC4394">
        <w:t>c</w:t>
      </w:r>
      <w:r w:rsidR="008C497B">
        <w:t>ourt on two grounds, relying on CPR 54.15:</w:t>
      </w:r>
    </w:p>
    <w:p w14:paraId="40F83695" w14:textId="13151C43" w:rsidR="008C497B" w:rsidRDefault="008C497B" w:rsidP="00CF561B">
      <w:pPr>
        <w:pStyle w:val="Quote"/>
      </w:pPr>
      <w:r>
        <w:t>‘The</w:t>
      </w:r>
      <w:r w:rsidR="006D050B">
        <w:t xml:space="preserve"> court’s permission is required if a claimant seeks to rely on grounds other than those for which he has been given permission to proceed.’</w:t>
      </w:r>
    </w:p>
    <w:p w14:paraId="494C69B7" w14:textId="4B5BA1C9" w:rsidR="008C497B" w:rsidRDefault="00425931" w:rsidP="00CF561B">
      <w:pPr>
        <w:pStyle w:val="ParaLevel1"/>
      </w:pPr>
      <w:r>
        <w:t>A note</w:t>
      </w:r>
      <w:r w:rsidR="000B740B">
        <w:t xml:space="preserve"> in the White Book (</w:t>
      </w:r>
      <w:r w:rsidR="005971D3" w:rsidRPr="00AD70F2">
        <w:rPr>
          <w:i/>
          <w:iCs/>
        </w:rPr>
        <w:t>Civil Procedure</w:t>
      </w:r>
      <w:r w:rsidR="005971D3">
        <w:t xml:space="preserve"> </w:t>
      </w:r>
      <w:r w:rsidR="00AD70F2">
        <w:t>(</w:t>
      </w:r>
      <w:r w:rsidR="005971D3">
        <w:t>202</w:t>
      </w:r>
      <w:r w:rsidR="00AD70F2">
        <w:t xml:space="preserve">6), </w:t>
      </w:r>
      <w:r w:rsidR="000B740B">
        <w:t>para 54.15.1)</w:t>
      </w:r>
      <w:r w:rsidR="00AD70F2">
        <w:t xml:space="preserve"> suggests that this is</w:t>
      </w:r>
      <w:r w:rsidR="003B42AA">
        <w:t xml:space="preserve"> possible in what are described as exceptional circumstances:</w:t>
      </w:r>
    </w:p>
    <w:p w14:paraId="5A958FD4" w14:textId="2553461F" w:rsidR="003B42AA" w:rsidRDefault="003B42AA" w:rsidP="00CF561B">
      <w:pPr>
        <w:pStyle w:val="Quote"/>
      </w:pPr>
      <w:r>
        <w:t>‘Where permission to argue a particular ground has been expressly refused</w:t>
      </w:r>
      <w:r w:rsidR="0088101F">
        <w:t xml:space="preserve"> at a</w:t>
      </w:r>
      <w:r w:rsidR="007665D7">
        <w:t>n</w:t>
      </w:r>
      <w:r w:rsidR="0088101F">
        <w:t xml:space="preserve"> </w:t>
      </w:r>
      <w:r w:rsidR="007665D7">
        <w:t xml:space="preserve">oral </w:t>
      </w:r>
      <w:r w:rsidR="0088101F">
        <w:t>permission hearing, a claimant wishing to challenge that refusal should normally do so by appealing against the refusal</w:t>
      </w:r>
      <w:r w:rsidR="00786382">
        <w:t xml:space="preserve"> to the Court of Appeal. Exceptionally, however, the court hearing the substantive</w:t>
      </w:r>
      <w:r w:rsidR="005A7DBE">
        <w:t xml:space="preserve"> application of the grounds where permission was given, may exercise its discretion under</w:t>
      </w:r>
      <w:r w:rsidR="00B137B9">
        <w:t xml:space="preserve"> CPR r.54.15 to permit the claimant to argue</w:t>
      </w:r>
      <w:r w:rsidR="00D017CF">
        <w:t xml:space="preserve"> the specific ground in relation to which permission was refused if there has been a significant change of circumstances, the claimant has become aware of significant new facts which they could not reasonably have known or found out about</w:t>
      </w:r>
      <w:r w:rsidR="00263159">
        <w:t xml:space="preserve"> at the time of the permission hearing, if a proposition of law is now maintainable which was not previously open to the claimant (for example, where the Court of Appeal has overturned a decision of the High Court),</w:t>
      </w:r>
      <w:r w:rsidR="00A1401D">
        <w:t xml:space="preserve"> or where there is some other substantial justification for allowing the point to be argued.’</w:t>
      </w:r>
    </w:p>
    <w:p w14:paraId="4C9031C3" w14:textId="727F5445" w:rsidR="003B42AA" w:rsidRDefault="00C35C72" w:rsidP="00CF561B">
      <w:pPr>
        <w:pStyle w:val="ParaLevel1"/>
      </w:pPr>
      <w:r>
        <w:t>The principal case cited in support</w:t>
      </w:r>
      <w:r w:rsidR="00414D8B">
        <w:t xml:space="preserve"> is </w:t>
      </w:r>
      <w:r w:rsidR="00414D8B" w:rsidRPr="000D5FED">
        <w:rPr>
          <w:i/>
          <w:iCs/>
        </w:rPr>
        <w:t>R (Smith) v Parole Board</w:t>
      </w:r>
      <w:r w:rsidR="00414D8B">
        <w:t xml:space="preserve"> [2023] </w:t>
      </w:r>
      <w:proofErr w:type="spellStart"/>
      <w:r w:rsidR="00414D8B">
        <w:t>EWCA</w:t>
      </w:r>
      <w:proofErr w:type="spellEnd"/>
      <w:r w:rsidR="00414D8B">
        <w:t xml:space="preserve"> </w:t>
      </w:r>
      <w:proofErr w:type="spellStart"/>
      <w:r w:rsidR="00414D8B">
        <w:t>Civ</w:t>
      </w:r>
      <w:proofErr w:type="spellEnd"/>
      <w:r w:rsidR="00414D8B">
        <w:t xml:space="preserve"> 1014, [2003] 1 WLR </w:t>
      </w:r>
      <w:r w:rsidR="000D5FED">
        <w:t>2548</w:t>
      </w:r>
      <w:r w:rsidR="00DA7B20">
        <w:t xml:space="preserve">, where Lord Woolf CJ </w:t>
      </w:r>
      <w:r w:rsidR="00B45324">
        <w:t>referred to the discretion</w:t>
      </w:r>
      <w:r w:rsidR="00DC6646">
        <w:t xml:space="preserve"> in somewhat wider terms:</w:t>
      </w:r>
    </w:p>
    <w:p w14:paraId="33304269" w14:textId="08A73E53" w:rsidR="00DC6646" w:rsidRDefault="00D23283" w:rsidP="00CF561B">
      <w:pPr>
        <w:pStyle w:val="Quote"/>
      </w:pPr>
      <w:r>
        <w:t>‘</w:t>
      </w:r>
      <w:r w:rsidR="00DC6646">
        <w:t xml:space="preserve">16. … </w:t>
      </w:r>
      <w:r w:rsidR="009A2A35">
        <w:t>Of course, where, as here, a judge has heard detailed argument, any judge who is conducting the hearing of the main application</w:t>
      </w:r>
      <w:r w:rsidR="001313C6">
        <w:t xml:space="preserve"> is going to require significant justification before taking a different view from the judge who granted permission. However, if he </w:t>
      </w:r>
      <w:proofErr w:type="gramStart"/>
      <w:r w:rsidR="001313C6">
        <w:t>comes to the conclusion</w:t>
      </w:r>
      <w:proofErr w:type="gramEnd"/>
      <w:r w:rsidR="001313C6">
        <w:t xml:space="preserve"> that there is good reason to allow argument on an additional ground,</w:t>
      </w:r>
      <w:r w:rsidR="00FF5BD2">
        <w:t xml:space="preserve"> bearing in mind the interests of the defendant, the judge can give permission for that </w:t>
      </w:r>
      <w:r w:rsidR="00FF5BD2">
        <w:lastRenderedPageBreak/>
        <w:t xml:space="preserve">to happen. It is not unusual for a situation to arise, even in the course of the hearing, where it becomes apparent to the judge conducting </w:t>
      </w:r>
      <w:r w:rsidR="007E21AB">
        <w:t xml:space="preserve">that </w:t>
      </w:r>
      <w:r w:rsidR="00FF5BD2">
        <w:t>hearing that the interests of justice would be best served by the hearing taking into account</w:t>
      </w:r>
      <w:r w:rsidR="007771C5">
        <w:t xml:space="preserve"> arguments on matters which relate to a ground in respect of which permission has been refused. There obviously </w:t>
      </w:r>
      <w:proofErr w:type="gramStart"/>
      <w:r w:rsidR="007771C5">
        <w:t>has to</w:t>
      </w:r>
      <w:proofErr w:type="gramEnd"/>
      <w:r w:rsidR="007771C5">
        <w:t xml:space="preserve"> be real justification for permitting that to happen; but judges can be relied upon to ensure that the discretion is not misused.</w:t>
      </w:r>
      <w:r w:rsidR="00217176">
        <w:t xml:space="preserve"> … I would not seek to anticipate all situations where that could happen. </w:t>
      </w:r>
      <w:proofErr w:type="gramStart"/>
      <w:r w:rsidR="00217176">
        <w:t>As long as</w:t>
      </w:r>
      <w:proofErr w:type="gramEnd"/>
      <w:r w:rsidR="00217176">
        <w:t xml:space="preserve"> a judge recognises the need for there to be good reason for altering the view of the single judge taken at the permission stage, no further sensible guidance can be provided.</w:t>
      </w:r>
      <w:r w:rsidR="00FC05C3">
        <w:t xml:space="preserve"> The circumstances which can occur </w:t>
      </w:r>
      <w:proofErr w:type="gramStart"/>
      <w:r w:rsidR="00FC05C3">
        <w:t>are capable of varying</w:t>
      </w:r>
      <w:proofErr w:type="gramEnd"/>
      <w:r w:rsidR="00FC05C3">
        <w:t xml:space="preserve"> almost without limit, and so each case must be considered having regard to its circumstances. The idea that there </w:t>
      </w:r>
      <w:proofErr w:type="gramStart"/>
      <w:r w:rsidR="00FC05C3">
        <w:t>has to</w:t>
      </w:r>
      <w:proofErr w:type="gramEnd"/>
      <w:r w:rsidR="00FC05C3">
        <w:t xml:space="preserve"> be a </w:t>
      </w:r>
      <w:r w:rsidR="00FC05C3" w:rsidRPr="00FC05C3">
        <w:rPr>
          <w:i/>
          <w:iCs/>
        </w:rPr>
        <w:t>new situation</w:t>
      </w:r>
      <w:r w:rsidR="00FC05C3">
        <w:t xml:space="preserve"> for the permission to be extended as one which I would regard as wrong.’</w:t>
      </w:r>
    </w:p>
    <w:p w14:paraId="7D2AEFCB" w14:textId="0AFB43A3" w:rsidR="00DC6646" w:rsidRPr="00A821B4" w:rsidRDefault="002866C9" w:rsidP="00CF561B">
      <w:pPr>
        <w:pStyle w:val="ParaLevel1"/>
      </w:pPr>
      <w:r>
        <w:t>In</w:t>
      </w:r>
      <w:r w:rsidR="00A97D96">
        <w:t xml:space="preserve"> the present case permission</w:t>
      </w:r>
      <w:r w:rsidR="00C94B59">
        <w:t xml:space="preserve"> to bring a claim for judicial review on grounds 1, 2(a) and 4 was granted; </w:t>
      </w:r>
      <w:r w:rsidR="00074A20">
        <w:t>the substantive claim was expedited</w:t>
      </w:r>
      <w:r w:rsidR="00BC6F01">
        <w:t>; and the case was directed to be heard by a Divisional Court. It would have been possible for the claimant</w:t>
      </w:r>
      <w:r w:rsidR="00FF1533">
        <w:t xml:space="preserve"> to request that a single judge of the Court of Appeal</w:t>
      </w:r>
      <w:r w:rsidR="0017133A">
        <w:t xml:space="preserve"> should consider an application for permission to appeal urgently, with a view to </w:t>
      </w:r>
      <w:r w:rsidR="00C465DA">
        <w:t xml:space="preserve">giving a </w:t>
      </w:r>
      <w:r w:rsidR="0017133A">
        <w:t>directi</w:t>
      </w:r>
      <w:r w:rsidR="00C465DA">
        <w:t>o</w:t>
      </w:r>
      <w:r w:rsidR="0017133A">
        <w:t>n under CPR 5</w:t>
      </w:r>
      <w:r w:rsidR="001675A7">
        <w:t>2.8(5) that</w:t>
      </w:r>
      <w:r w:rsidR="00344C2C">
        <w:t xml:space="preserve"> </w:t>
      </w:r>
      <w:r w:rsidR="00A85B0A">
        <w:t xml:space="preserve">the grounds on which </w:t>
      </w:r>
      <w:r w:rsidR="00344C2C">
        <w:t xml:space="preserve">permission </w:t>
      </w:r>
      <w:r w:rsidR="00A85B0A">
        <w:t xml:space="preserve">had been refused </w:t>
      </w:r>
      <w:r w:rsidR="000660F2">
        <w:t xml:space="preserve">should be </w:t>
      </w:r>
      <w:r w:rsidR="00BE2B62">
        <w:t>argued before</w:t>
      </w:r>
      <w:r w:rsidR="000660F2">
        <w:t xml:space="preserve"> the Divisional Court</w:t>
      </w:r>
      <w:r w:rsidR="00D03408">
        <w:t>. B</w:t>
      </w:r>
      <w:r w:rsidR="000660F2">
        <w:t>ut that does not strike me as an efficient use of judicial resources.</w:t>
      </w:r>
      <w:r w:rsidR="00E51925">
        <w:t xml:space="preserve"> In the unusual circumstances of this case, therefore,</w:t>
      </w:r>
      <w:r w:rsidR="008C104C">
        <w:t xml:space="preserve"> I would not have refused the application for permission on the</w:t>
      </w:r>
      <w:r w:rsidR="00B33468">
        <w:t xml:space="preserve"> basis that the application should have been made to the Court of Appeal. </w:t>
      </w:r>
    </w:p>
    <w:p w14:paraId="2A68AAE2" w14:textId="1A0B117B" w:rsidR="00085F6A" w:rsidRPr="00257CDF" w:rsidRDefault="00085F6A" w:rsidP="00CF561B">
      <w:pPr>
        <w:pStyle w:val="ParaLevel1"/>
        <w:numPr>
          <w:ilvl w:val="0"/>
          <w:numId w:val="0"/>
        </w:numPr>
        <w:rPr>
          <w:b/>
          <w:bCs/>
        </w:rPr>
      </w:pPr>
      <w:r w:rsidRPr="00257CDF">
        <w:rPr>
          <w:b/>
          <w:bCs/>
          <w:i/>
          <w:iCs/>
        </w:rPr>
        <w:t>Ground 2(</w:t>
      </w:r>
      <w:r w:rsidR="00D03408">
        <w:rPr>
          <w:b/>
          <w:bCs/>
          <w:i/>
          <w:iCs/>
        </w:rPr>
        <w:t>c</w:t>
      </w:r>
      <w:r w:rsidRPr="00257CDF">
        <w:rPr>
          <w:b/>
          <w:bCs/>
          <w:i/>
          <w:iCs/>
        </w:rPr>
        <w:t>)</w:t>
      </w:r>
      <w:r w:rsidRPr="00257CDF">
        <w:rPr>
          <w:b/>
          <w:bCs/>
        </w:rPr>
        <w:t xml:space="preserve">: The market value of the </w:t>
      </w:r>
      <w:r w:rsidR="00B74C48" w:rsidRPr="00257CDF">
        <w:rPr>
          <w:b/>
          <w:bCs/>
        </w:rPr>
        <w:t xml:space="preserve">claimant’s </w:t>
      </w:r>
      <w:r w:rsidRPr="00257CDF">
        <w:rPr>
          <w:b/>
          <w:bCs/>
        </w:rPr>
        <w:t>services</w:t>
      </w:r>
    </w:p>
    <w:p w14:paraId="714C15F8" w14:textId="6F77269B" w:rsidR="00B74C48" w:rsidRDefault="001C3FA0" w:rsidP="00CF561B">
      <w:pPr>
        <w:pStyle w:val="ParaLevel1"/>
      </w:pPr>
      <w:r>
        <w:t>Mr Béar submitted that the</w:t>
      </w:r>
      <w:r w:rsidRPr="001C3FA0">
        <w:t xml:space="preserve"> </w:t>
      </w:r>
      <w:r>
        <w:t>CAT failed to have regard to the market value of the services provided by the claimant under its Litigation Funding Agreement</w:t>
      </w:r>
      <w:r w:rsidR="00BD79B4">
        <w:t>, referring to principles of unjust enrichment</w:t>
      </w:r>
      <w:r>
        <w:t>.</w:t>
      </w:r>
      <w:r w:rsidR="00C34505">
        <w:t xml:space="preserve"> He submitted that the market standard for litigation funding profit in opt-out</w:t>
      </w:r>
      <w:r w:rsidR="00E77D81">
        <w:t xml:space="preserve"> collective proceedings at the time of the Agreement was the higher of 30% of total damages or three times</w:t>
      </w:r>
      <w:r w:rsidR="00CE1B41">
        <w:t xml:space="preserve"> the capital committed</w:t>
      </w:r>
      <w:r w:rsidR="00F641C4">
        <w:t xml:space="preserve"> (i.e. </w:t>
      </w:r>
      <w:r w:rsidR="00870A1D">
        <w:t>£179 million</w:t>
      </w:r>
      <w:r w:rsidR="0065496B">
        <w:t>)</w:t>
      </w:r>
      <w:r w:rsidR="00CE1B41">
        <w:t xml:space="preserve">. </w:t>
      </w:r>
    </w:p>
    <w:p w14:paraId="0F820520" w14:textId="14B38317" w:rsidR="004C4896" w:rsidRDefault="004C4896" w:rsidP="00CF561B">
      <w:pPr>
        <w:pStyle w:val="ParaLevel1"/>
      </w:pPr>
      <w:r>
        <w:t xml:space="preserve">Mr Justice Linden </w:t>
      </w:r>
      <w:r w:rsidR="00AC6ECC">
        <w:t xml:space="preserve">held that this ground was not arguable. </w:t>
      </w:r>
      <w:proofErr w:type="gramStart"/>
      <w:r w:rsidR="00AC6ECC">
        <w:t>In reality it</w:t>
      </w:r>
      <w:proofErr w:type="gramEnd"/>
      <w:r w:rsidR="00AC6ECC">
        <w:t xml:space="preserve"> was a repetition of ground 2(b), </w:t>
      </w:r>
      <w:r w:rsidR="008A62CB">
        <w:t>for which permission was refused,</w:t>
      </w:r>
      <w:r w:rsidR="006731CE">
        <w:t xml:space="preserve"> that the claimant was entitled </w:t>
      </w:r>
      <w:r w:rsidR="00693AA5">
        <w:t xml:space="preserve">to a </w:t>
      </w:r>
      <w:r w:rsidR="006731CE">
        <w:t>minimum floor return provided for in its Litigation Funding Agreement.</w:t>
      </w:r>
      <w:r w:rsidR="00101D94">
        <w:t xml:space="preserve"> I agree with that view.</w:t>
      </w:r>
    </w:p>
    <w:p w14:paraId="5D320779" w14:textId="300A950A" w:rsidR="0013303D" w:rsidRDefault="003775D8" w:rsidP="00CF561B">
      <w:pPr>
        <w:pStyle w:val="ParaLevel1"/>
      </w:pPr>
      <w:r>
        <w:t>In any event</w:t>
      </w:r>
      <w:r w:rsidR="006674A1">
        <w:t xml:space="preserve"> the CAT</w:t>
      </w:r>
      <w:r w:rsidR="00D7547B">
        <w:t xml:space="preserve"> did consider</w:t>
      </w:r>
      <w:r w:rsidR="009B39DC">
        <w:t xml:space="preserve"> this submission. It said in terms that it did not regard the principles of</w:t>
      </w:r>
      <w:r w:rsidR="008A7B97">
        <w:t xml:space="preserve"> unjust enrichment and </w:t>
      </w:r>
      <w:r w:rsidR="008A7B97" w:rsidRPr="008A7B97">
        <w:rPr>
          <w:i/>
          <w:iCs/>
        </w:rPr>
        <w:t>quantum merit</w:t>
      </w:r>
      <w:r w:rsidR="008A7B97">
        <w:t xml:space="preserve"> as relevant to its decision (para 186)</w:t>
      </w:r>
      <w:r w:rsidR="006E7185">
        <w:t xml:space="preserve"> and, as already explained,</w:t>
      </w:r>
      <w:r w:rsidR="00097657">
        <w:t xml:space="preserve"> it emphasised the importance of having regard to the degree of success or failure of the proceedings.</w:t>
      </w:r>
      <w:r w:rsidR="00910D83">
        <w:t xml:space="preserve"> That was a legitimate approach</w:t>
      </w:r>
      <w:r w:rsidR="002E6FF6">
        <w:t xml:space="preserve"> for all the reasons already discussed.</w:t>
      </w:r>
    </w:p>
    <w:p w14:paraId="0C706E68" w14:textId="42419119" w:rsidR="00085F6A" w:rsidRPr="001B7F13" w:rsidRDefault="00085F6A" w:rsidP="00CF561B">
      <w:pPr>
        <w:pStyle w:val="ParaLevel1"/>
        <w:numPr>
          <w:ilvl w:val="0"/>
          <w:numId w:val="0"/>
        </w:numPr>
        <w:rPr>
          <w:b/>
          <w:bCs/>
        </w:rPr>
      </w:pPr>
      <w:r w:rsidRPr="001B7F13">
        <w:rPr>
          <w:b/>
          <w:bCs/>
        </w:rPr>
        <w:t xml:space="preserve">Ground 2(e): The </w:t>
      </w:r>
      <w:r w:rsidR="001B7F13" w:rsidRPr="001B7F13">
        <w:rPr>
          <w:b/>
          <w:bCs/>
        </w:rPr>
        <w:t>Access to Justice Foundation</w:t>
      </w:r>
    </w:p>
    <w:p w14:paraId="621051C0" w14:textId="16B0B996" w:rsidR="00085F6A" w:rsidRDefault="002E6FF6" w:rsidP="00CF561B">
      <w:pPr>
        <w:pStyle w:val="ParaLevel1"/>
      </w:pPr>
      <w:r>
        <w:lastRenderedPageBreak/>
        <w:t>The</w:t>
      </w:r>
      <w:r w:rsidR="00525A4A">
        <w:t xml:space="preserve"> final ground which the claimant seeks to argue is that the</w:t>
      </w:r>
      <w:r>
        <w:t xml:space="preserve"> CAT failed to appreciate the basic distinction between (</w:t>
      </w:r>
      <w:proofErr w:type="spellStart"/>
      <w:r>
        <w:t>i</w:t>
      </w:r>
      <w:proofErr w:type="spellEnd"/>
      <w:r>
        <w:t>) allocation as between class and funder, and (ii) allocation as between funder and a windfall recipient such as a charity.</w:t>
      </w:r>
      <w:r w:rsidR="00C5358A" w:rsidRPr="00C5358A">
        <w:t xml:space="preserve"> </w:t>
      </w:r>
      <w:r w:rsidR="00C5358A">
        <w:t>Mr Béar submitted that</w:t>
      </w:r>
      <w:r w:rsidR="00146B11">
        <w:t xml:space="preserve"> there should be no provision for payment to a charity</w:t>
      </w:r>
      <w:r w:rsidR="001915B4">
        <w:t xml:space="preserve"> which had made no contribution to the claim and that any residue</w:t>
      </w:r>
      <w:r w:rsidR="00B619B2">
        <w:t xml:space="preserve"> should go to the funder, </w:t>
      </w:r>
      <w:r w:rsidR="00A403A3">
        <w:t>on the ground that</w:t>
      </w:r>
      <w:r w:rsidR="00B619B2">
        <w:t xml:space="preserve"> it was</w:t>
      </w:r>
      <w:r w:rsidR="00575DD7">
        <w:t xml:space="preserve"> only because of</w:t>
      </w:r>
      <w:r w:rsidR="00B619B2">
        <w:t xml:space="preserve"> the funder’s expenditure</w:t>
      </w:r>
      <w:r w:rsidR="00575DD7">
        <w:t xml:space="preserve"> that there were any settlement proceeds to distribute</w:t>
      </w:r>
      <w:r w:rsidR="00005B87">
        <w:t>.</w:t>
      </w:r>
    </w:p>
    <w:p w14:paraId="11B1F0BE" w14:textId="0BB3D7D5" w:rsidR="003D7C52" w:rsidRDefault="0022790B" w:rsidP="00CF561B">
      <w:pPr>
        <w:pStyle w:val="ParaLevel1"/>
      </w:pPr>
      <w:r>
        <w:t>Mr Justice Linden</w:t>
      </w:r>
      <w:r w:rsidR="00035D9D">
        <w:t xml:space="preserve"> considered that this ground added nothing to the claimant’s other grounds.</w:t>
      </w:r>
      <w:r w:rsidR="007477B8">
        <w:t xml:space="preserve"> As he put it:</w:t>
      </w:r>
    </w:p>
    <w:p w14:paraId="6A6FF778" w14:textId="44449B95" w:rsidR="0084142C" w:rsidRDefault="00432BF1" w:rsidP="00CF561B">
      <w:pPr>
        <w:pStyle w:val="Quote"/>
      </w:pPr>
      <w:r>
        <w:t>‘</w:t>
      </w:r>
      <w:r w:rsidR="00D36A82">
        <w:t xml:space="preserve">47. </w:t>
      </w:r>
      <w:r w:rsidR="007477B8">
        <w:t>I do not see how this Ground adds to the grounds which challenge the profit return which the CAT</w:t>
      </w:r>
      <w:r w:rsidR="001A0FF0">
        <w:t xml:space="preserve"> awarded to </w:t>
      </w:r>
      <w:proofErr w:type="spellStart"/>
      <w:r w:rsidR="001A0FF0">
        <w:t>Innsworth</w:t>
      </w:r>
      <w:proofErr w:type="spellEnd"/>
      <w:r w:rsidR="001A0FF0">
        <w:t>. If those grounds are sound, the claim may succeed, but not otherwise. The approach of the CAT</w:t>
      </w:r>
      <w:r w:rsidR="00E533FD">
        <w:t xml:space="preserve"> was separately to determine the just and reasonable figure which should be ringfenced to </w:t>
      </w:r>
      <w:proofErr w:type="spellStart"/>
      <w:r w:rsidR="00E533FD">
        <w:t>Innsworth</w:t>
      </w:r>
      <w:proofErr w:type="spellEnd"/>
      <w:r w:rsidR="00E533FD">
        <w:t>, applying the correct principles, including</w:t>
      </w:r>
      <w:r w:rsidR="00D36A82">
        <w:t xml:space="preserve"> that</w:t>
      </w:r>
      <w:r w:rsidR="00E533FD">
        <w:t xml:space="preserve"> what is recovered by the funder</w:t>
      </w:r>
      <w:r w:rsidR="005A6689">
        <w:t xml:space="preserve"> should not be excessive. It then awarded the sum which it arrived</w:t>
      </w:r>
      <w:r w:rsidR="00D36A82">
        <w:t xml:space="preserve"> at</w:t>
      </w:r>
      <w:r w:rsidR="005A6689">
        <w:t>, in priority not</w:t>
      </w:r>
      <w:r w:rsidR="00785598">
        <w:t xml:space="preserve"> </w:t>
      </w:r>
      <w:r w:rsidR="005A6689">
        <w:t>only over any further payment which may need to be made to the Class</w:t>
      </w:r>
      <w:r w:rsidR="00D72BFB">
        <w:t xml:space="preserve"> in the event of a </w:t>
      </w:r>
      <w:proofErr w:type="gramStart"/>
      <w:r w:rsidR="00D72BFB">
        <w:t>higher than expected</w:t>
      </w:r>
      <w:proofErr w:type="gramEnd"/>
      <w:r w:rsidR="00D72BFB">
        <w:t xml:space="preserve"> take-up, but also to any payments which might go to the Foundation.</w:t>
      </w:r>
      <w:r w:rsidR="00FF0138">
        <w:t xml:space="preserve"> </w:t>
      </w:r>
    </w:p>
    <w:p w14:paraId="79DCABAF" w14:textId="357F29B6" w:rsidR="007477B8" w:rsidRDefault="00FF0138" w:rsidP="00CF561B">
      <w:pPr>
        <w:pStyle w:val="Quote"/>
      </w:pPr>
      <w:r>
        <w:t xml:space="preserve">48. There is no sign in the </w:t>
      </w:r>
      <w:r w:rsidR="00923DD6">
        <w:t xml:space="preserve">CAT’s </w:t>
      </w:r>
      <w:r>
        <w:t>reasoning that its view that any residual sums should go to charity</w:t>
      </w:r>
      <w:r w:rsidR="00923DD6">
        <w:t xml:space="preserve"> influenced its decision as to what </w:t>
      </w:r>
      <w:proofErr w:type="spellStart"/>
      <w:r w:rsidR="00923DD6">
        <w:t>Innsworth</w:t>
      </w:r>
      <w:proofErr w:type="spellEnd"/>
      <w:r w:rsidR="00923DD6">
        <w:t xml:space="preserve"> should be awarded. </w:t>
      </w:r>
      <w:r w:rsidR="001318FE">
        <w:t xml:space="preserve">It did not, for example, adopt a conservative approach to </w:t>
      </w:r>
      <w:proofErr w:type="spellStart"/>
      <w:r w:rsidR="001318FE">
        <w:t>Innsworth’s</w:t>
      </w:r>
      <w:proofErr w:type="spellEnd"/>
      <w:r w:rsidR="001318FE">
        <w:t xml:space="preserve"> profit return so that there would be funds left over for charity. </w:t>
      </w:r>
      <w:r w:rsidR="00952CC1">
        <w:t xml:space="preserve">The </w:t>
      </w:r>
      <w:r>
        <w:t>CAT</w:t>
      </w:r>
      <w:r w:rsidR="00952CC1">
        <w:t xml:space="preserve"> did not award £30 million to charity: it awarded whatever was left over from pots 1 and 3.</w:t>
      </w:r>
      <w:r w:rsidR="00785598">
        <w:t xml:space="preserve"> Nor was its award at the expense of </w:t>
      </w:r>
      <w:proofErr w:type="spellStart"/>
      <w:r w:rsidR="00785598">
        <w:t>Innsworth</w:t>
      </w:r>
      <w:proofErr w:type="spellEnd"/>
      <w:r w:rsidR="00785598">
        <w:t>.</w:t>
      </w:r>
      <w:r w:rsidR="00D72BFB">
        <w:t>’</w:t>
      </w:r>
    </w:p>
    <w:p w14:paraId="7BACDC8D" w14:textId="200E45DE" w:rsidR="007D571D" w:rsidRPr="007D571D" w:rsidRDefault="00EC1701" w:rsidP="00CF561B">
      <w:pPr>
        <w:pStyle w:val="ParaLevel1"/>
      </w:pPr>
      <w:r>
        <w:t>This is in my view a complete answer to the point.</w:t>
      </w:r>
    </w:p>
    <w:p w14:paraId="1390A9C6" w14:textId="644A4FE8" w:rsidR="00204517" w:rsidRPr="00204517" w:rsidRDefault="00204517" w:rsidP="00CF561B">
      <w:pPr>
        <w:pStyle w:val="ParaLevel1"/>
        <w:numPr>
          <w:ilvl w:val="0"/>
          <w:numId w:val="0"/>
        </w:numPr>
        <w:rPr>
          <w:b/>
          <w:bCs/>
        </w:rPr>
      </w:pPr>
      <w:r>
        <w:rPr>
          <w:b/>
          <w:bCs/>
        </w:rPr>
        <w:t>Disposal</w:t>
      </w:r>
    </w:p>
    <w:p w14:paraId="189B60D2" w14:textId="7AC6229C" w:rsidR="00614862" w:rsidRDefault="00EA6BC8" w:rsidP="00CF561B">
      <w:pPr>
        <w:pStyle w:val="ParaLevel1"/>
      </w:pPr>
      <w:r>
        <w:t>In summary, t</w:t>
      </w:r>
      <w:r w:rsidR="00614862">
        <w:t xml:space="preserve">he CAT determined </w:t>
      </w:r>
      <w:r w:rsidR="002B36DC">
        <w:t xml:space="preserve">that despite the very poor outcome of the claim against Mastercard, </w:t>
      </w:r>
      <w:r w:rsidR="00FF6E27">
        <w:t>a just and reasonable return for the claimant funder would be reimbursement of its expenditure</w:t>
      </w:r>
      <w:r w:rsidR="00053266">
        <w:t xml:space="preserve"> of between £41 million and £46 million, </w:t>
      </w:r>
      <w:r w:rsidR="008424EA">
        <w:t>together with a profit of 50% of that expenditure</w:t>
      </w:r>
      <w:r w:rsidR="005C04D1">
        <w:t>. This return</w:t>
      </w:r>
      <w:r w:rsidR="008424EA">
        <w:t xml:space="preserve"> was guaranteed, in that</w:t>
      </w:r>
      <w:r w:rsidR="00AE7E85">
        <w:t xml:space="preserve"> it will not depend on the level of take-up of the settlement proceeds by members of the class</w:t>
      </w:r>
      <w:r w:rsidR="00614862">
        <w:t>.</w:t>
      </w:r>
      <w:r w:rsidR="00062E2C">
        <w:t xml:space="preserve"> </w:t>
      </w:r>
      <w:r w:rsidR="0090796C">
        <w:t>The CAT</w:t>
      </w:r>
      <w:r w:rsidR="00062E2C">
        <w:t xml:space="preserve"> determine</w:t>
      </w:r>
      <w:r w:rsidR="008C15B2">
        <w:t>d</w:t>
      </w:r>
      <w:r w:rsidR="00062E2C">
        <w:t xml:space="preserve"> also,</w:t>
      </w:r>
      <w:r w:rsidR="008C15B2">
        <w:t xml:space="preserve"> at least by necessary implication, that any greater return would have been excessive.</w:t>
      </w:r>
      <w:r w:rsidR="00E2691E">
        <w:t xml:space="preserve"> Th</w:t>
      </w:r>
      <w:r w:rsidR="008C15B2">
        <w:t>ese were</w:t>
      </w:r>
      <w:r w:rsidR="00E2691E">
        <w:t xml:space="preserve"> conclusion</w:t>
      </w:r>
      <w:r w:rsidR="008C15B2">
        <w:t>s</w:t>
      </w:r>
      <w:r w:rsidR="002A797F">
        <w:t xml:space="preserve"> which it was entitled to </w:t>
      </w:r>
      <w:proofErr w:type="gramStart"/>
      <w:r w:rsidR="002A797F">
        <w:t>reach</w:t>
      </w:r>
      <w:proofErr w:type="gramEnd"/>
      <w:r w:rsidR="002A797F">
        <w:t xml:space="preserve"> and which were</w:t>
      </w:r>
      <w:r w:rsidR="00E2691E">
        <w:t xml:space="preserve"> well within</w:t>
      </w:r>
      <w:r w:rsidR="007C5469">
        <w:t xml:space="preserve"> the wide powers </w:t>
      </w:r>
      <w:r w:rsidR="002A797F">
        <w:t xml:space="preserve">conferred upon it </w:t>
      </w:r>
      <w:r w:rsidR="00C1795D">
        <w:t>as an expert and specialist tribunal</w:t>
      </w:r>
      <w:r w:rsidR="007C5469">
        <w:t>.</w:t>
      </w:r>
    </w:p>
    <w:p w14:paraId="29B2EBF9" w14:textId="4D36F312" w:rsidR="00204517" w:rsidRDefault="00B90ADB" w:rsidP="00CF561B">
      <w:pPr>
        <w:pStyle w:val="ParaLevel1"/>
      </w:pPr>
      <w:r>
        <w:t xml:space="preserve">I would refuse </w:t>
      </w:r>
      <w:r w:rsidR="00404263">
        <w:t xml:space="preserve">the claimant </w:t>
      </w:r>
      <w:r>
        <w:t xml:space="preserve">permission to argue grounds 2(c) and 2(e). </w:t>
      </w:r>
      <w:r w:rsidR="007C2BDB">
        <w:t xml:space="preserve">I would dismiss the claim for judicial review on grounds 1, 2(a) and 4 for which permission was granted. </w:t>
      </w:r>
    </w:p>
    <w:p w14:paraId="4530E4E3" w14:textId="5B9FB02A" w:rsidR="004874CD" w:rsidRPr="004874CD" w:rsidRDefault="004874CD" w:rsidP="00CF561B">
      <w:pPr>
        <w:pStyle w:val="ParaLevel1"/>
        <w:numPr>
          <w:ilvl w:val="0"/>
          <w:numId w:val="0"/>
        </w:numPr>
        <w:rPr>
          <w:b/>
          <w:bCs/>
        </w:rPr>
      </w:pPr>
      <w:r>
        <w:rPr>
          <w:b/>
          <w:bCs/>
        </w:rPr>
        <w:t xml:space="preserve">MR JUSTICE MORRIS: </w:t>
      </w:r>
    </w:p>
    <w:p w14:paraId="70E63EDF" w14:textId="2F94137F" w:rsidR="004874CD" w:rsidRDefault="0030340A" w:rsidP="00CF561B">
      <w:pPr>
        <w:pStyle w:val="ParaLevel1"/>
      </w:pPr>
      <w:r>
        <w:t>I agree.</w:t>
      </w:r>
    </w:p>
    <w:sectPr w:rsidR="004874CD" w:rsidSect="00CF561B">
      <w:type w:val="continuous"/>
      <w:pgSz w:w="11909" w:h="16834"/>
      <w:pgMar w:top="1440" w:right="1440" w:bottom="1440" w:left="1440"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4C1AA" w14:textId="77777777" w:rsidR="00990B62" w:rsidRDefault="00990B62">
      <w:r>
        <w:separator/>
      </w:r>
    </w:p>
  </w:endnote>
  <w:endnote w:type="continuationSeparator" w:id="0">
    <w:p w14:paraId="4470F1D7" w14:textId="77777777" w:rsidR="00990B62" w:rsidRDefault="0099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CFA4" w14:textId="77777777" w:rsidR="00CF561B" w:rsidRDefault="00CF5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FA6F" w14:textId="77777777" w:rsidR="005E2342" w:rsidRDefault="005E2342">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8D1E" w14:textId="77777777" w:rsidR="00CF561B" w:rsidRDefault="00CF56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D22F" w14:textId="6634DE08" w:rsidR="005E2342" w:rsidRPr="00CF561B" w:rsidRDefault="005E2342" w:rsidP="00CF5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A2929" w14:textId="77777777" w:rsidR="00990B62" w:rsidRDefault="00990B62">
      <w:r>
        <w:separator/>
      </w:r>
    </w:p>
  </w:footnote>
  <w:footnote w:type="continuationSeparator" w:id="0">
    <w:p w14:paraId="69BFA9E7" w14:textId="77777777" w:rsidR="00990B62" w:rsidRDefault="00990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5339" w14:textId="77777777" w:rsidR="00CF561B" w:rsidRDefault="00CF5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B95E" w14:textId="77777777" w:rsidR="00CF561B" w:rsidRDefault="00CF56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FEA1" w14:textId="77777777" w:rsidR="00CF561B" w:rsidRDefault="00CF56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0" w:type="dxa"/>
      <w:tblInd w:w="108" w:type="dxa"/>
      <w:tblLayout w:type="fixed"/>
      <w:tblLook w:val="0000" w:firstRow="0" w:lastRow="0" w:firstColumn="0" w:lastColumn="0" w:noHBand="0" w:noVBand="0"/>
    </w:tblPr>
    <w:tblGrid>
      <w:gridCol w:w="4680"/>
      <w:gridCol w:w="4320"/>
    </w:tblGrid>
    <w:tr w:rsidR="005E2342" w14:paraId="0E316C37" w14:textId="77777777">
      <w:tc>
        <w:tcPr>
          <w:tcW w:w="4680" w:type="dxa"/>
        </w:tcPr>
        <w:p w14:paraId="506879A3" w14:textId="730D614C" w:rsidR="005E2342" w:rsidRPr="00CF561B" w:rsidRDefault="00CF561B">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320" w:type="dxa"/>
        </w:tcPr>
        <w:p w14:paraId="530F54B4" w14:textId="03E39A29" w:rsidR="005E2342" w:rsidRPr="00421AF1" w:rsidRDefault="00421AF1">
          <w:pPr>
            <w:pStyle w:val="Header"/>
            <w:jc w:val="right"/>
            <w:rPr>
              <w:rFonts w:ascii="Times New Roman" w:hAnsi="Times New Roman"/>
              <w:b/>
              <w:bCs/>
              <w:sz w:val="16"/>
            </w:rPr>
          </w:pPr>
          <w:proofErr w:type="spellStart"/>
          <w:r w:rsidRPr="00421AF1">
            <w:rPr>
              <w:rFonts w:ascii="Times New Roman" w:hAnsi="Times New Roman"/>
              <w:b/>
              <w:bCs/>
              <w:sz w:val="16"/>
            </w:rPr>
            <w:t>Innsworth</w:t>
          </w:r>
          <w:proofErr w:type="spellEnd"/>
          <w:r w:rsidRPr="00421AF1">
            <w:rPr>
              <w:rFonts w:ascii="Times New Roman" w:hAnsi="Times New Roman"/>
              <w:b/>
              <w:bCs/>
              <w:sz w:val="16"/>
            </w:rPr>
            <w:t xml:space="preserve"> Capital v Competition Appeal Tribunal</w:t>
          </w:r>
        </w:p>
      </w:tc>
    </w:tr>
  </w:tbl>
  <w:p w14:paraId="19111FE6" w14:textId="77777777" w:rsidR="005E2342" w:rsidRDefault="005E2342">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3312"/>
    <w:multiLevelType w:val="hybridMultilevel"/>
    <w:tmpl w:val="E6F256F0"/>
    <w:lvl w:ilvl="0" w:tplc="4C98C360">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571583"/>
    <w:multiLevelType w:val="hybridMultilevel"/>
    <w:tmpl w:val="7BC0E488"/>
    <w:lvl w:ilvl="0" w:tplc="0CE61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B7F3CD1"/>
    <w:multiLevelType w:val="hybridMultilevel"/>
    <w:tmpl w:val="4D982A38"/>
    <w:lvl w:ilvl="0" w:tplc="6BB222B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1278E0"/>
    <w:multiLevelType w:val="hybridMultilevel"/>
    <w:tmpl w:val="BDFE55A2"/>
    <w:lvl w:ilvl="0" w:tplc="10B0979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A0B3E1B"/>
    <w:multiLevelType w:val="hybridMultilevel"/>
    <w:tmpl w:val="E430C3D8"/>
    <w:lvl w:ilvl="0" w:tplc="9B70C60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C325C07"/>
    <w:multiLevelType w:val="hybridMultilevel"/>
    <w:tmpl w:val="F71ECB96"/>
    <w:lvl w:ilvl="0" w:tplc="88C0A1CE">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4A337CA"/>
    <w:multiLevelType w:val="hybridMultilevel"/>
    <w:tmpl w:val="2AEE3D7C"/>
    <w:lvl w:ilvl="0" w:tplc="0B7A9A6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1535A6"/>
    <w:multiLevelType w:val="hybridMultilevel"/>
    <w:tmpl w:val="1D6AC9C0"/>
    <w:lvl w:ilvl="0" w:tplc="2B7A687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A066E5"/>
    <w:multiLevelType w:val="hybridMultilevel"/>
    <w:tmpl w:val="BD2A792E"/>
    <w:lvl w:ilvl="0" w:tplc="3F9A524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9" w15:restartNumberingAfterBreak="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10" w15:restartNumberingAfterBreak="0">
    <w:nsid w:val="6AC55482"/>
    <w:multiLevelType w:val="hybridMultilevel"/>
    <w:tmpl w:val="E0163622"/>
    <w:lvl w:ilvl="0" w:tplc="7130C7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4F400E7"/>
    <w:multiLevelType w:val="hybridMultilevel"/>
    <w:tmpl w:val="18864052"/>
    <w:lvl w:ilvl="0" w:tplc="E082859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969019948">
    <w:abstractNumId w:val="12"/>
  </w:num>
  <w:num w:numId="2" w16cid:durableId="541669286">
    <w:abstractNumId w:val="12"/>
  </w:num>
  <w:num w:numId="3" w16cid:durableId="1033575925">
    <w:abstractNumId w:val="12"/>
  </w:num>
  <w:num w:numId="4" w16cid:durableId="1503666836">
    <w:abstractNumId w:val="12"/>
  </w:num>
  <w:num w:numId="5" w16cid:durableId="1865972765">
    <w:abstractNumId w:val="12"/>
  </w:num>
  <w:num w:numId="6" w16cid:durableId="1571042791">
    <w:abstractNumId w:val="12"/>
  </w:num>
  <w:num w:numId="7" w16cid:durableId="160128034">
    <w:abstractNumId w:val="12"/>
  </w:num>
  <w:num w:numId="8" w16cid:durableId="108664973">
    <w:abstractNumId w:val="12"/>
  </w:num>
  <w:num w:numId="9" w16cid:durableId="1462117046">
    <w:abstractNumId w:val="12"/>
  </w:num>
  <w:num w:numId="10" w16cid:durableId="1768888988">
    <w:abstractNumId w:val="9"/>
  </w:num>
  <w:num w:numId="11" w16cid:durableId="2143645852">
    <w:abstractNumId w:val="11"/>
  </w:num>
  <w:num w:numId="12" w16cid:durableId="300618309">
    <w:abstractNumId w:val="6"/>
  </w:num>
  <w:num w:numId="13" w16cid:durableId="544220689">
    <w:abstractNumId w:val="7"/>
  </w:num>
  <w:num w:numId="14" w16cid:durableId="1473599725">
    <w:abstractNumId w:val="4"/>
  </w:num>
  <w:num w:numId="15" w16cid:durableId="110125579">
    <w:abstractNumId w:val="1"/>
  </w:num>
  <w:num w:numId="16" w16cid:durableId="733549168">
    <w:abstractNumId w:val="3"/>
  </w:num>
  <w:num w:numId="17" w16cid:durableId="1711613775">
    <w:abstractNumId w:val="10"/>
  </w:num>
  <w:num w:numId="18" w16cid:durableId="1811047117">
    <w:abstractNumId w:val="0"/>
  </w:num>
  <w:num w:numId="19" w16cid:durableId="15467063">
    <w:abstractNumId w:val="8"/>
  </w:num>
  <w:num w:numId="20" w16cid:durableId="1734499782">
    <w:abstractNumId w:val="5"/>
  </w:num>
  <w:num w:numId="21" w16cid:durableId="325598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E1A62-0E32-4E47-B681-8DC147968A8E}"/>
    <w:docVar w:name="dgnword-eventsink" w:val="1601384234880"/>
  </w:docVars>
  <w:rsids>
    <w:rsidRoot w:val="0032750C"/>
    <w:rsid w:val="00001959"/>
    <w:rsid w:val="0000325E"/>
    <w:rsid w:val="00005AF7"/>
    <w:rsid w:val="00005B87"/>
    <w:rsid w:val="00006897"/>
    <w:rsid w:val="00006E18"/>
    <w:rsid w:val="00014752"/>
    <w:rsid w:val="00014C2B"/>
    <w:rsid w:val="000152A7"/>
    <w:rsid w:val="000174E4"/>
    <w:rsid w:val="000177A1"/>
    <w:rsid w:val="000201E2"/>
    <w:rsid w:val="00020BE8"/>
    <w:rsid w:val="000254FC"/>
    <w:rsid w:val="00025924"/>
    <w:rsid w:val="00031643"/>
    <w:rsid w:val="00034423"/>
    <w:rsid w:val="00035D9D"/>
    <w:rsid w:val="00035F31"/>
    <w:rsid w:val="000361EA"/>
    <w:rsid w:val="00036DBE"/>
    <w:rsid w:val="00040F82"/>
    <w:rsid w:val="0004109C"/>
    <w:rsid w:val="00044EFE"/>
    <w:rsid w:val="00045B3A"/>
    <w:rsid w:val="000469A2"/>
    <w:rsid w:val="000473B1"/>
    <w:rsid w:val="00047A47"/>
    <w:rsid w:val="00047A4D"/>
    <w:rsid w:val="00050C63"/>
    <w:rsid w:val="00050F27"/>
    <w:rsid w:val="000526D0"/>
    <w:rsid w:val="00052DA5"/>
    <w:rsid w:val="00053266"/>
    <w:rsid w:val="00055A9E"/>
    <w:rsid w:val="000565D4"/>
    <w:rsid w:val="000617C3"/>
    <w:rsid w:val="00062E2C"/>
    <w:rsid w:val="00064239"/>
    <w:rsid w:val="00065235"/>
    <w:rsid w:val="000660F2"/>
    <w:rsid w:val="000670A7"/>
    <w:rsid w:val="00070191"/>
    <w:rsid w:val="00070DBF"/>
    <w:rsid w:val="00072679"/>
    <w:rsid w:val="00073BCB"/>
    <w:rsid w:val="00074A20"/>
    <w:rsid w:val="00074BB5"/>
    <w:rsid w:val="00076C57"/>
    <w:rsid w:val="00077FBA"/>
    <w:rsid w:val="00080D5D"/>
    <w:rsid w:val="00082DB2"/>
    <w:rsid w:val="00083B13"/>
    <w:rsid w:val="00084590"/>
    <w:rsid w:val="0008563C"/>
    <w:rsid w:val="0008574D"/>
    <w:rsid w:val="00085F6A"/>
    <w:rsid w:val="00092380"/>
    <w:rsid w:val="000930B4"/>
    <w:rsid w:val="00093B14"/>
    <w:rsid w:val="00094EDC"/>
    <w:rsid w:val="00096DC6"/>
    <w:rsid w:val="00096F05"/>
    <w:rsid w:val="00097657"/>
    <w:rsid w:val="00097C98"/>
    <w:rsid w:val="000A051E"/>
    <w:rsid w:val="000A4103"/>
    <w:rsid w:val="000A4A9F"/>
    <w:rsid w:val="000A6825"/>
    <w:rsid w:val="000B0F3A"/>
    <w:rsid w:val="000B1C80"/>
    <w:rsid w:val="000B2D4B"/>
    <w:rsid w:val="000B312A"/>
    <w:rsid w:val="000B4544"/>
    <w:rsid w:val="000B6E99"/>
    <w:rsid w:val="000B715D"/>
    <w:rsid w:val="000B740B"/>
    <w:rsid w:val="000C2BCF"/>
    <w:rsid w:val="000C3714"/>
    <w:rsid w:val="000C3916"/>
    <w:rsid w:val="000C6D78"/>
    <w:rsid w:val="000C71F6"/>
    <w:rsid w:val="000D06EF"/>
    <w:rsid w:val="000D2D21"/>
    <w:rsid w:val="000D2E22"/>
    <w:rsid w:val="000D5FED"/>
    <w:rsid w:val="000D71AD"/>
    <w:rsid w:val="000E14D3"/>
    <w:rsid w:val="000E2E55"/>
    <w:rsid w:val="000E331A"/>
    <w:rsid w:val="000E34E1"/>
    <w:rsid w:val="000E539A"/>
    <w:rsid w:val="000E55E1"/>
    <w:rsid w:val="000E59D7"/>
    <w:rsid w:val="000E5E33"/>
    <w:rsid w:val="000F134D"/>
    <w:rsid w:val="000F2198"/>
    <w:rsid w:val="000F35E1"/>
    <w:rsid w:val="000F38DA"/>
    <w:rsid w:val="00100573"/>
    <w:rsid w:val="00101D94"/>
    <w:rsid w:val="00105EBC"/>
    <w:rsid w:val="001063EA"/>
    <w:rsid w:val="00106A5A"/>
    <w:rsid w:val="00106CEB"/>
    <w:rsid w:val="001075DB"/>
    <w:rsid w:val="001110F9"/>
    <w:rsid w:val="00112B2B"/>
    <w:rsid w:val="00115AF6"/>
    <w:rsid w:val="0011624E"/>
    <w:rsid w:val="00124BA9"/>
    <w:rsid w:val="001313C6"/>
    <w:rsid w:val="001318FE"/>
    <w:rsid w:val="00131EB1"/>
    <w:rsid w:val="00132527"/>
    <w:rsid w:val="00133020"/>
    <w:rsid w:val="0013303D"/>
    <w:rsid w:val="001332DE"/>
    <w:rsid w:val="00134A91"/>
    <w:rsid w:val="00135184"/>
    <w:rsid w:val="00135561"/>
    <w:rsid w:val="00135D81"/>
    <w:rsid w:val="00136571"/>
    <w:rsid w:val="00136906"/>
    <w:rsid w:val="00140A0F"/>
    <w:rsid w:val="00142A59"/>
    <w:rsid w:val="00143078"/>
    <w:rsid w:val="00146032"/>
    <w:rsid w:val="00146264"/>
    <w:rsid w:val="00146891"/>
    <w:rsid w:val="00146B11"/>
    <w:rsid w:val="00147E57"/>
    <w:rsid w:val="00151FD1"/>
    <w:rsid w:val="00152EC7"/>
    <w:rsid w:val="00157FFC"/>
    <w:rsid w:val="00160A07"/>
    <w:rsid w:val="00163EAF"/>
    <w:rsid w:val="00164F49"/>
    <w:rsid w:val="001652B2"/>
    <w:rsid w:val="001653FA"/>
    <w:rsid w:val="0016572F"/>
    <w:rsid w:val="00165B9C"/>
    <w:rsid w:val="001672FA"/>
    <w:rsid w:val="001675A7"/>
    <w:rsid w:val="0016796C"/>
    <w:rsid w:val="001701CF"/>
    <w:rsid w:val="0017085F"/>
    <w:rsid w:val="00170F0B"/>
    <w:rsid w:val="0017133A"/>
    <w:rsid w:val="001720BA"/>
    <w:rsid w:val="00173650"/>
    <w:rsid w:val="00181759"/>
    <w:rsid w:val="001844A1"/>
    <w:rsid w:val="00186AD9"/>
    <w:rsid w:val="0018752E"/>
    <w:rsid w:val="00187E0F"/>
    <w:rsid w:val="00190CB9"/>
    <w:rsid w:val="001915B4"/>
    <w:rsid w:val="0019240F"/>
    <w:rsid w:val="00195079"/>
    <w:rsid w:val="001956D9"/>
    <w:rsid w:val="001A09F5"/>
    <w:rsid w:val="001A0FF0"/>
    <w:rsid w:val="001A311B"/>
    <w:rsid w:val="001A349B"/>
    <w:rsid w:val="001A410B"/>
    <w:rsid w:val="001A424C"/>
    <w:rsid w:val="001A4CC7"/>
    <w:rsid w:val="001A4E2D"/>
    <w:rsid w:val="001A64C9"/>
    <w:rsid w:val="001A7B8D"/>
    <w:rsid w:val="001B03F3"/>
    <w:rsid w:val="001B358E"/>
    <w:rsid w:val="001B7F13"/>
    <w:rsid w:val="001C22DC"/>
    <w:rsid w:val="001C30C0"/>
    <w:rsid w:val="001C3FA0"/>
    <w:rsid w:val="001C40B9"/>
    <w:rsid w:val="001C58A1"/>
    <w:rsid w:val="001C5BB4"/>
    <w:rsid w:val="001D0AA7"/>
    <w:rsid w:val="001D22AE"/>
    <w:rsid w:val="001D4D62"/>
    <w:rsid w:val="001D52E9"/>
    <w:rsid w:val="001D57C4"/>
    <w:rsid w:val="001D5873"/>
    <w:rsid w:val="001D7306"/>
    <w:rsid w:val="001D77E5"/>
    <w:rsid w:val="001E351C"/>
    <w:rsid w:val="001E4D0D"/>
    <w:rsid w:val="001E56C9"/>
    <w:rsid w:val="001E730B"/>
    <w:rsid w:val="001F0CC5"/>
    <w:rsid w:val="001F1E1A"/>
    <w:rsid w:val="001F3722"/>
    <w:rsid w:val="001F40BF"/>
    <w:rsid w:val="001F5E94"/>
    <w:rsid w:val="001F74E1"/>
    <w:rsid w:val="001F7830"/>
    <w:rsid w:val="002010FD"/>
    <w:rsid w:val="00202C0F"/>
    <w:rsid w:val="00204517"/>
    <w:rsid w:val="002048D6"/>
    <w:rsid w:val="00204F88"/>
    <w:rsid w:val="002056EC"/>
    <w:rsid w:val="00205AC8"/>
    <w:rsid w:val="0021143A"/>
    <w:rsid w:val="002155B6"/>
    <w:rsid w:val="00215ED2"/>
    <w:rsid w:val="00215FD3"/>
    <w:rsid w:val="002165EE"/>
    <w:rsid w:val="00216F8C"/>
    <w:rsid w:val="00217176"/>
    <w:rsid w:val="00217BE3"/>
    <w:rsid w:val="00220C35"/>
    <w:rsid w:val="002231DA"/>
    <w:rsid w:val="002266B7"/>
    <w:rsid w:val="0022790B"/>
    <w:rsid w:val="00227F11"/>
    <w:rsid w:val="0023115D"/>
    <w:rsid w:val="0023138B"/>
    <w:rsid w:val="00231428"/>
    <w:rsid w:val="002326E4"/>
    <w:rsid w:val="00233B38"/>
    <w:rsid w:val="00233B3A"/>
    <w:rsid w:val="00234C9E"/>
    <w:rsid w:val="0023661C"/>
    <w:rsid w:val="00236958"/>
    <w:rsid w:val="00240174"/>
    <w:rsid w:val="0024097C"/>
    <w:rsid w:val="002430F0"/>
    <w:rsid w:val="00243595"/>
    <w:rsid w:val="00243B54"/>
    <w:rsid w:val="0024737A"/>
    <w:rsid w:val="00251A69"/>
    <w:rsid w:val="00252355"/>
    <w:rsid w:val="00252D6A"/>
    <w:rsid w:val="00254036"/>
    <w:rsid w:val="00257CDF"/>
    <w:rsid w:val="0026166A"/>
    <w:rsid w:val="00263159"/>
    <w:rsid w:val="00264E21"/>
    <w:rsid w:val="00265724"/>
    <w:rsid w:val="002668E7"/>
    <w:rsid w:val="00270CB4"/>
    <w:rsid w:val="00271351"/>
    <w:rsid w:val="002721B0"/>
    <w:rsid w:val="00272C57"/>
    <w:rsid w:val="00272DB9"/>
    <w:rsid w:val="00274717"/>
    <w:rsid w:val="0027552A"/>
    <w:rsid w:val="00276B04"/>
    <w:rsid w:val="00280CE8"/>
    <w:rsid w:val="0028178A"/>
    <w:rsid w:val="0028260B"/>
    <w:rsid w:val="00283069"/>
    <w:rsid w:val="00283439"/>
    <w:rsid w:val="002866C9"/>
    <w:rsid w:val="00286761"/>
    <w:rsid w:val="00287BCE"/>
    <w:rsid w:val="00291F6E"/>
    <w:rsid w:val="002960D4"/>
    <w:rsid w:val="0029656D"/>
    <w:rsid w:val="00297D22"/>
    <w:rsid w:val="002A0B72"/>
    <w:rsid w:val="002A48A8"/>
    <w:rsid w:val="002A5956"/>
    <w:rsid w:val="002A612C"/>
    <w:rsid w:val="002A7682"/>
    <w:rsid w:val="002A797F"/>
    <w:rsid w:val="002B010F"/>
    <w:rsid w:val="002B01B5"/>
    <w:rsid w:val="002B1C4F"/>
    <w:rsid w:val="002B1DFC"/>
    <w:rsid w:val="002B2756"/>
    <w:rsid w:val="002B28AD"/>
    <w:rsid w:val="002B3581"/>
    <w:rsid w:val="002B36DC"/>
    <w:rsid w:val="002B4048"/>
    <w:rsid w:val="002B5610"/>
    <w:rsid w:val="002B5979"/>
    <w:rsid w:val="002B679D"/>
    <w:rsid w:val="002C0591"/>
    <w:rsid w:val="002C0FD6"/>
    <w:rsid w:val="002C1B5D"/>
    <w:rsid w:val="002C5276"/>
    <w:rsid w:val="002C56F1"/>
    <w:rsid w:val="002C7C92"/>
    <w:rsid w:val="002D3840"/>
    <w:rsid w:val="002D454F"/>
    <w:rsid w:val="002D5E4A"/>
    <w:rsid w:val="002E0016"/>
    <w:rsid w:val="002E3EDB"/>
    <w:rsid w:val="002E3FF1"/>
    <w:rsid w:val="002E6867"/>
    <w:rsid w:val="002E6C0D"/>
    <w:rsid w:val="002E6FF6"/>
    <w:rsid w:val="002F0161"/>
    <w:rsid w:val="002F0402"/>
    <w:rsid w:val="002F1A90"/>
    <w:rsid w:val="002F29DD"/>
    <w:rsid w:val="002F6433"/>
    <w:rsid w:val="002F6CCA"/>
    <w:rsid w:val="002F75E2"/>
    <w:rsid w:val="0030008D"/>
    <w:rsid w:val="00302B2F"/>
    <w:rsid w:val="00302BA1"/>
    <w:rsid w:val="00302BAC"/>
    <w:rsid w:val="0030340A"/>
    <w:rsid w:val="00306586"/>
    <w:rsid w:val="003066F5"/>
    <w:rsid w:val="00307679"/>
    <w:rsid w:val="0031039C"/>
    <w:rsid w:val="00311ACB"/>
    <w:rsid w:val="0031266F"/>
    <w:rsid w:val="00313739"/>
    <w:rsid w:val="00314DC4"/>
    <w:rsid w:val="00315E52"/>
    <w:rsid w:val="00316363"/>
    <w:rsid w:val="00316684"/>
    <w:rsid w:val="00317DFD"/>
    <w:rsid w:val="00317F3E"/>
    <w:rsid w:val="003214B0"/>
    <w:rsid w:val="0032177F"/>
    <w:rsid w:val="003247F2"/>
    <w:rsid w:val="003255BC"/>
    <w:rsid w:val="003267AD"/>
    <w:rsid w:val="0032750C"/>
    <w:rsid w:val="00332926"/>
    <w:rsid w:val="00332CAB"/>
    <w:rsid w:val="00332FDE"/>
    <w:rsid w:val="003337F0"/>
    <w:rsid w:val="003339E9"/>
    <w:rsid w:val="00333A24"/>
    <w:rsid w:val="0033420F"/>
    <w:rsid w:val="003349A9"/>
    <w:rsid w:val="00335575"/>
    <w:rsid w:val="00337662"/>
    <w:rsid w:val="003377CB"/>
    <w:rsid w:val="0034213A"/>
    <w:rsid w:val="00344C2C"/>
    <w:rsid w:val="00346988"/>
    <w:rsid w:val="00347B75"/>
    <w:rsid w:val="00352A65"/>
    <w:rsid w:val="00352E0B"/>
    <w:rsid w:val="003530F3"/>
    <w:rsid w:val="003549A8"/>
    <w:rsid w:val="00356B50"/>
    <w:rsid w:val="003642C2"/>
    <w:rsid w:val="003649AC"/>
    <w:rsid w:val="003664A6"/>
    <w:rsid w:val="003665C6"/>
    <w:rsid w:val="003668C6"/>
    <w:rsid w:val="00367B76"/>
    <w:rsid w:val="00370144"/>
    <w:rsid w:val="00370463"/>
    <w:rsid w:val="00372D27"/>
    <w:rsid w:val="00374690"/>
    <w:rsid w:val="0037474F"/>
    <w:rsid w:val="003775D8"/>
    <w:rsid w:val="00377A61"/>
    <w:rsid w:val="00380205"/>
    <w:rsid w:val="00381B14"/>
    <w:rsid w:val="00382882"/>
    <w:rsid w:val="0038599A"/>
    <w:rsid w:val="00387B7C"/>
    <w:rsid w:val="00392757"/>
    <w:rsid w:val="00392CA1"/>
    <w:rsid w:val="00393FCF"/>
    <w:rsid w:val="00394DFD"/>
    <w:rsid w:val="00395A8F"/>
    <w:rsid w:val="0039721A"/>
    <w:rsid w:val="003A1C60"/>
    <w:rsid w:val="003A3208"/>
    <w:rsid w:val="003A5027"/>
    <w:rsid w:val="003A706B"/>
    <w:rsid w:val="003A7E78"/>
    <w:rsid w:val="003B0717"/>
    <w:rsid w:val="003B42AA"/>
    <w:rsid w:val="003B4356"/>
    <w:rsid w:val="003B4A68"/>
    <w:rsid w:val="003B5FD1"/>
    <w:rsid w:val="003B69EA"/>
    <w:rsid w:val="003C0920"/>
    <w:rsid w:val="003C32B6"/>
    <w:rsid w:val="003C4DBD"/>
    <w:rsid w:val="003C50B8"/>
    <w:rsid w:val="003C66AD"/>
    <w:rsid w:val="003D0AA7"/>
    <w:rsid w:val="003D3435"/>
    <w:rsid w:val="003D3945"/>
    <w:rsid w:val="003D7C52"/>
    <w:rsid w:val="003D7D8C"/>
    <w:rsid w:val="003E117B"/>
    <w:rsid w:val="003E223C"/>
    <w:rsid w:val="003E3FB9"/>
    <w:rsid w:val="003E424E"/>
    <w:rsid w:val="003E4937"/>
    <w:rsid w:val="003E62A4"/>
    <w:rsid w:val="003E6404"/>
    <w:rsid w:val="003E7809"/>
    <w:rsid w:val="003F059E"/>
    <w:rsid w:val="003F0B9D"/>
    <w:rsid w:val="00402D2C"/>
    <w:rsid w:val="00403417"/>
    <w:rsid w:val="00404263"/>
    <w:rsid w:val="00406F7E"/>
    <w:rsid w:val="00407F34"/>
    <w:rsid w:val="004110B8"/>
    <w:rsid w:val="00411CCB"/>
    <w:rsid w:val="004141AE"/>
    <w:rsid w:val="00414D8B"/>
    <w:rsid w:val="00416022"/>
    <w:rsid w:val="00421130"/>
    <w:rsid w:val="004217B0"/>
    <w:rsid w:val="00421AF1"/>
    <w:rsid w:val="00421F7E"/>
    <w:rsid w:val="00422CAD"/>
    <w:rsid w:val="00423FAE"/>
    <w:rsid w:val="004241FF"/>
    <w:rsid w:val="00425931"/>
    <w:rsid w:val="004266E0"/>
    <w:rsid w:val="00426C7D"/>
    <w:rsid w:val="00426FBC"/>
    <w:rsid w:val="0043021E"/>
    <w:rsid w:val="00430E69"/>
    <w:rsid w:val="00432BF1"/>
    <w:rsid w:val="00435A21"/>
    <w:rsid w:val="00440444"/>
    <w:rsid w:val="0044126B"/>
    <w:rsid w:val="004420C6"/>
    <w:rsid w:val="00442DE9"/>
    <w:rsid w:val="004449D4"/>
    <w:rsid w:val="00444F6C"/>
    <w:rsid w:val="0044578A"/>
    <w:rsid w:val="00445E79"/>
    <w:rsid w:val="004462C3"/>
    <w:rsid w:val="004535FE"/>
    <w:rsid w:val="004538B9"/>
    <w:rsid w:val="00454AF1"/>
    <w:rsid w:val="004554CF"/>
    <w:rsid w:val="00455FCC"/>
    <w:rsid w:val="00456C1D"/>
    <w:rsid w:val="00457C3B"/>
    <w:rsid w:val="0046068B"/>
    <w:rsid w:val="00460F41"/>
    <w:rsid w:val="00461D48"/>
    <w:rsid w:val="00461FEE"/>
    <w:rsid w:val="00463BBC"/>
    <w:rsid w:val="004664B4"/>
    <w:rsid w:val="00471903"/>
    <w:rsid w:val="00472D2A"/>
    <w:rsid w:val="00473A39"/>
    <w:rsid w:val="00473CFF"/>
    <w:rsid w:val="004763B6"/>
    <w:rsid w:val="00481AFC"/>
    <w:rsid w:val="00483701"/>
    <w:rsid w:val="00485B2C"/>
    <w:rsid w:val="004862EE"/>
    <w:rsid w:val="00486F1C"/>
    <w:rsid w:val="004874CD"/>
    <w:rsid w:val="00487E71"/>
    <w:rsid w:val="00487F5F"/>
    <w:rsid w:val="0049322B"/>
    <w:rsid w:val="004940C0"/>
    <w:rsid w:val="004950FC"/>
    <w:rsid w:val="004977B6"/>
    <w:rsid w:val="004A0D99"/>
    <w:rsid w:val="004A54E9"/>
    <w:rsid w:val="004A62FF"/>
    <w:rsid w:val="004A72B2"/>
    <w:rsid w:val="004A7C20"/>
    <w:rsid w:val="004B03BF"/>
    <w:rsid w:val="004B1B02"/>
    <w:rsid w:val="004B3243"/>
    <w:rsid w:val="004B46A2"/>
    <w:rsid w:val="004B4819"/>
    <w:rsid w:val="004B58F2"/>
    <w:rsid w:val="004B7939"/>
    <w:rsid w:val="004C0510"/>
    <w:rsid w:val="004C3609"/>
    <w:rsid w:val="004C3788"/>
    <w:rsid w:val="004C4493"/>
    <w:rsid w:val="004C4896"/>
    <w:rsid w:val="004C4A00"/>
    <w:rsid w:val="004C5893"/>
    <w:rsid w:val="004C7C9A"/>
    <w:rsid w:val="004C7E48"/>
    <w:rsid w:val="004D114E"/>
    <w:rsid w:val="004D1454"/>
    <w:rsid w:val="004D1E81"/>
    <w:rsid w:val="004D55DD"/>
    <w:rsid w:val="004D58E6"/>
    <w:rsid w:val="004D6DD7"/>
    <w:rsid w:val="004E07E4"/>
    <w:rsid w:val="004E27C4"/>
    <w:rsid w:val="004E3242"/>
    <w:rsid w:val="004E55B0"/>
    <w:rsid w:val="004E7F44"/>
    <w:rsid w:val="004F1682"/>
    <w:rsid w:val="004F16B0"/>
    <w:rsid w:val="004F1899"/>
    <w:rsid w:val="004F2237"/>
    <w:rsid w:val="004F2FA5"/>
    <w:rsid w:val="004F3753"/>
    <w:rsid w:val="004F585B"/>
    <w:rsid w:val="004F5F20"/>
    <w:rsid w:val="004F67A7"/>
    <w:rsid w:val="00500F92"/>
    <w:rsid w:val="005013EC"/>
    <w:rsid w:val="00501527"/>
    <w:rsid w:val="0050205D"/>
    <w:rsid w:val="005032D5"/>
    <w:rsid w:val="00505B8A"/>
    <w:rsid w:val="00507314"/>
    <w:rsid w:val="00510046"/>
    <w:rsid w:val="00511FF6"/>
    <w:rsid w:val="00512B75"/>
    <w:rsid w:val="005136BF"/>
    <w:rsid w:val="00514BC0"/>
    <w:rsid w:val="00514FBB"/>
    <w:rsid w:val="00516B67"/>
    <w:rsid w:val="00517B76"/>
    <w:rsid w:val="00520CB5"/>
    <w:rsid w:val="005255B9"/>
    <w:rsid w:val="00525A4A"/>
    <w:rsid w:val="00526BBF"/>
    <w:rsid w:val="00530CA9"/>
    <w:rsid w:val="00532427"/>
    <w:rsid w:val="00533612"/>
    <w:rsid w:val="00534B14"/>
    <w:rsid w:val="00535727"/>
    <w:rsid w:val="005425E0"/>
    <w:rsid w:val="00542B87"/>
    <w:rsid w:val="0054337E"/>
    <w:rsid w:val="00545011"/>
    <w:rsid w:val="00547C22"/>
    <w:rsid w:val="0055253D"/>
    <w:rsid w:val="00552B70"/>
    <w:rsid w:val="00552F6B"/>
    <w:rsid w:val="0055321D"/>
    <w:rsid w:val="005537A5"/>
    <w:rsid w:val="0055471F"/>
    <w:rsid w:val="0055486A"/>
    <w:rsid w:val="00555EF3"/>
    <w:rsid w:val="00560339"/>
    <w:rsid w:val="00561F18"/>
    <w:rsid w:val="00565721"/>
    <w:rsid w:val="005664DD"/>
    <w:rsid w:val="00566A00"/>
    <w:rsid w:val="00566B67"/>
    <w:rsid w:val="00567549"/>
    <w:rsid w:val="00570DF4"/>
    <w:rsid w:val="005721F1"/>
    <w:rsid w:val="00575DD7"/>
    <w:rsid w:val="0058273E"/>
    <w:rsid w:val="00585804"/>
    <w:rsid w:val="005864B3"/>
    <w:rsid w:val="00590B40"/>
    <w:rsid w:val="0059117C"/>
    <w:rsid w:val="005971D3"/>
    <w:rsid w:val="005A0C99"/>
    <w:rsid w:val="005A0D05"/>
    <w:rsid w:val="005A1B7A"/>
    <w:rsid w:val="005A1EB9"/>
    <w:rsid w:val="005A2F1B"/>
    <w:rsid w:val="005A5C8A"/>
    <w:rsid w:val="005A6689"/>
    <w:rsid w:val="005A693A"/>
    <w:rsid w:val="005A7DBE"/>
    <w:rsid w:val="005B16C6"/>
    <w:rsid w:val="005B1768"/>
    <w:rsid w:val="005B37D7"/>
    <w:rsid w:val="005B4C70"/>
    <w:rsid w:val="005B5D7A"/>
    <w:rsid w:val="005B63BC"/>
    <w:rsid w:val="005C04D1"/>
    <w:rsid w:val="005C4046"/>
    <w:rsid w:val="005C43A6"/>
    <w:rsid w:val="005C4BF3"/>
    <w:rsid w:val="005C6E01"/>
    <w:rsid w:val="005C73B9"/>
    <w:rsid w:val="005C7BC7"/>
    <w:rsid w:val="005D4AFD"/>
    <w:rsid w:val="005D4C37"/>
    <w:rsid w:val="005D5333"/>
    <w:rsid w:val="005D5BCF"/>
    <w:rsid w:val="005D7AF4"/>
    <w:rsid w:val="005D7C86"/>
    <w:rsid w:val="005D7D99"/>
    <w:rsid w:val="005D7FCD"/>
    <w:rsid w:val="005E09E7"/>
    <w:rsid w:val="005E0A38"/>
    <w:rsid w:val="005E1165"/>
    <w:rsid w:val="005E2342"/>
    <w:rsid w:val="005E60AD"/>
    <w:rsid w:val="005E7516"/>
    <w:rsid w:val="005F0BB6"/>
    <w:rsid w:val="005F162A"/>
    <w:rsid w:val="005F229B"/>
    <w:rsid w:val="005F2536"/>
    <w:rsid w:val="005F27C0"/>
    <w:rsid w:val="005F3A40"/>
    <w:rsid w:val="005F530B"/>
    <w:rsid w:val="005F67FB"/>
    <w:rsid w:val="005F6995"/>
    <w:rsid w:val="005F7EF5"/>
    <w:rsid w:val="00600DF6"/>
    <w:rsid w:val="006017EE"/>
    <w:rsid w:val="00602226"/>
    <w:rsid w:val="006034E5"/>
    <w:rsid w:val="00603BA9"/>
    <w:rsid w:val="00604F48"/>
    <w:rsid w:val="0060534A"/>
    <w:rsid w:val="00606380"/>
    <w:rsid w:val="00606467"/>
    <w:rsid w:val="00606909"/>
    <w:rsid w:val="006100B5"/>
    <w:rsid w:val="00610935"/>
    <w:rsid w:val="00611DD7"/>
    <w:rsid w:val="00612CCF"/>
    <w:rsid w:val="00614862"/>
    <w:rsid w:val="00614F05"/>
    <w:rsid w:val="00615E6A"/>
    <w:rsid w:val="00616139"/>
    <w:rsid w:val="00620F8B"/>
    <w:rsid w:val="00621CB9"/>
    <w:rsid w:val="00622EC0"/>
    <w:rsid w:val="00625225"/>
    <w:rsid w:val="006276CC"/>
    <w:rsid w:val="006302F4"/>
    <w:rsid w:val="0063403D"/>
    <w:rsid w:val="0063585D"/>
    <w:rsid w:val="006400CF"/>
    <w:rsid w:val="00640FDD"/>
    <w:rsid w:val="00641C52"/>
    <w:rsid w:val="006423B6"/>
    <w:rsid w:val="006449AA"/>
    <w:rsid w:val="00644A78"/>
    <w:rsid w:val="00644C92"/>
    <w:rsid w:val="006516F7"/>
    <w:rsid w:val="00652327"/>
    <w:rsid w:val="0065271C"/>
    <w:rsid w:val="00653801"/>
    <w:rsid w:val="0065442E"/>
    <w:rsid w:val="0065496B"/>
    <w:rsid w:val="0065619A"/>
    <w:rsid w:val="0065637B"/>
    <w:rsid w:val="006572FF"/>
    <w:rsid w:val="0065778E"/>
    <w:rsid w:val="00657889"/>
    <w:rsid w:val="00657E14"/>
    <w:rsid w:val="006609F2"/>
    <w:rsid w:val="00660D8A"/>
    <w:rsid w:val="00661C88"/>
    <w:rsid w:val="006622CD"/>
    <w:rsid w:val="00664BE7"/>
    <w:rsid w:val="00666228"/>
    <w:rsid w:val="006674A1"/>
    <w:rsid w:val="006712E8"/>
    <w:rsid w:val="006715B2"/>
    <w:rsid w:val="006731CE"/>
    <w:rsid w:val="00676D2F"/>
    <w:rsid w:val="00677C58"/>
    <w:rsid w:val="00680296"/>
    <w:rsid w:val="00681798"/>
    <w:rsid w:val="00683430"/>
    <w:rsid w:val="0068505C"/>
    <w:rsid w:val="00685174"/>
    <w:rsid w:val="00693464"/>
    <w:rsid w:val="00693AA5"/>
    <w:rsid w:val="00694636"/>
    <w:rsid w:val="00695257"/>
    <w:rsid w:val="006952C9"/>
    <w:rsid w:val="00696B75"/>
    <w:rsid w:val="006A2A0A"/>
    <w:rsid w:val="006A2B7D"/>
    <w:rsid w:val="006A2FC8"/>
    <w:rsid w:val="006A3E40"/>
    <w:rsid w:val="006B0DB6"/>
    <w:rsid w:val="006B2D9F"/>
    <w:rsid w:val="006B31BD"/>
    <w:rsid w:val="006B4BF8"/>
    <w:rsid w:val="006B58D5"/>
    <w:rsid w:val="006B607B"/>
    <w:rsid w:val="006C0EFA"/>
    <w:rsid w:val="006C38D4"/>
    <w:rsid w:val="006C40FB"/>
    <w:rsid w:val="006C650E"/>
    <w:rsid w:val="006C6B66"/>
    <w:rsid w:val="006C7ED0"/>
    <w:rsid w:val="006D050B"/>
    <w:rsid w:val="006D1320"/>
    <w:rsid w:val="006D27AA"/>
    <w:rsid w:val="006D30AE"/>
    <w:rsid w:val="006D4535"/>
    <w:rsid w:val="006D4792"/>
    <w:rsid w:val="006E0AAA"/>
    <w:rsid w:val="006E1938"/>
    <w:rsid w:val="006E2DE0"/>
    <w:rsid w:val="006E3B1B"/>
    <w:rsid w:val="006E41EE"/>
    <w:rsid w:val="006E4667"/>
    <w:rsid w:val="006E7185"/>
    <w:rsid w:val="006F1A1F"/>
    <w:rsid w:val="006F30D4"/>
    <w:rsid w:val="006F3C8E"/>
    <w:rsid w:val="006F478F"/>
    <w:rsid w:val="006F4BEA"/>
    <w:rsid w:val="006F5790"/>
    <w:rsid w:val="007031C9"/>
    <w:rsid w:val="00707122"/>
    <w:rsid w:val="007115FA"/>
    <w:rsid w:val="00711FBC"/>
    <w:rsid w:val="00712792"/>
    <w:rsid w:val="007142CD"/>
    <w:rsid w:val="00715F38"/>
    <w:rsid w:val="007178EF"/>
    <w:rsid w:val="00717A7B"/>
    <w:rsid w:val="007218D1"/>
    <w:rsid w:val="00724C14"/>
    <w:rsid w:val="0072702D"/>
    <w:rsid w:val="00730076"/>
    <w:rsid w:val="007347C0"/>
    <w:rsid w:val="00735AD7"/>
    <w:rsid w:val="00737421"/>
    <w:rsid w:val="007378EC"/>
    <w:rsid w:val="00740735"/>
    <w:rsid w:val="00741446"/>
    <w:rsid w:val="007437EF"/>
    <w:rsid w:val="007473F1"/>
    <w:rsid w:val="007477B8"/>
    <w:rsid w:val="00747F30"/>
    <w:rsid w:val="00751BC4"/>
    <w:rsid w:val="00751D7B"/>
    <w:rsid w:val="00753925"/>
    <w:rsid w:val="0075413F"/>
    <w:rsid w:val="0075448E"/>
    <w:rsid w:val="0075555D"/>
    <w:rsid w:val="007555DA"/>
    <w:rsid w:val="00756E56"/>
    <w:rsid w:val="00757199"/>
    <w:rsid w:val="00757232"/>
    <w:rsid w:val="007606E1"/>
    <w:rsid w:val="00763940"/>
    <w:rsid w:val="00764433"/>
    <w:rsid w:val="007665D7"/>
    <w:rsid w:val="007704D6"/>
    <w:rsid w:val="00770606"/>
    <w:rsid w:val="00770AAA"/>
    <w:rsid w:val="00772421"/>
    <w:rsid w:val="00773CEA"/>
    <w:rsid w:val="007741A7"/>
    <w:rsid w:val="00775D92"/>
    <w:rsid w:val="007771C5"/>
    <w:rsid w:val="00777CD6"/>
    <w:rsid w:val="00780154"/>
    <w:rsid w:val="00783E55"/>
    <w:rsid w:val="00785598"/>
    <w:rsid w:val="00785BDC"/>
    <w:rsid w:val="00786382"/>
    <w:rsid w:val="00787611"/>
    <w:rsid w:val="00787A62"/>
    <w:rsid w:val="00792201"/>
    <w:rsid w:val="0079244B"/>
    <w:rsid w:val="0079253F"/>
    <w:rsid w:val="00794560"/>
    <w:rsid w:val="007A2020"/>
    <w:rsid w:val="007A2E87"/>
    <w:rsid w:val="007A33C7"/>
    <w:rsid w:val="007A34DF"/>
    <w:rsid w:val="007A386D"/>
    <w:rsid w:val="007A77CE"/>
    <w:rsid w:val="007A7CB8"/>
    <w:rsid w:val="007B03FA"/>
    <w:rsid w:val="007B1A48"/>
    <w:rsid w:val="007B2327"/>
    <w:rsid w:val="007B265C"/>
    <w:rsid w:val="007B34AC"/>
    <w:rsid w:val="007B3A98"/>
    <w:rsid w:val="007B54CB"/>
    <w:rsid w:val="007B5B95"/>
    <w:rsid w:val="007B6F58"/>
    <w:rsid w:val="007B77DD"/>
    <w:rsid w:val="007C10BE"/>
    <w:rsid w:val="007C1C90"/>
    <w:rsid w:val="007C201E"/>
    <w:rsid w:val="007C2915"/>
    <w:rsid w:val="007C2BDB"/>
    <w:rsid w:val="007C3439"/>
    <w:rsid w:val="007C355B"/>
    <w:rsid w:val="007C37DC"/>
    <w:rsid w:val="007C523D"/>
    <w:rsid w:val="007C5469"/>
    <w:rsid w:val="007C64DC"/>
    <w:rsid w:val="007C7B60"/>
    <w:rsid w:val="007D0895"/>
    <w:rsid w:val="007D09E4"/>
    <w:rsid w:val="007D2996"/>
    <w:rsid w:val="007D2C6A"/>
    <w:rsid w:val="007D571D"/>
    <w:rsid w:val="007D6E2D"/>
    <w:rsid w:val="007E0B4F"/>
    <w:rsid w:val="007E141A"/>
    <w:rsid w:val="007E21AB"/>
    <w:rsid w:val="007E389C"/>
    <w:rsid w:val="007E40A2"/>
    <w:rsid w:val="007E45CD"/>
    <w:rsid w:val="007E7915"/>
    <w:rsid w:val="007F030A"/>
    <w:rsid w:val="007F0511"/>
    <w:rsid w:val="007F4B0D"/>
    <w:rsid w:val="007F78B3"/>
    <w:rsid w:val="008012A5"/>
    <w:rsid w:val="00802340"/>
    <w:rsid w:val="008040D6"/>
    <w:rsid w:val="008079FC"/>
    <w:rsid w:val="00807C33"/>
    <w:rsid w:val="008101CC"/>
    <w:rsid w:val="00810C22"/>
    <w:rsid w:val="00812AFB"/>
    <w:rsid w:val="00813B26"/>
    <w:rsid w:val="008142E6"/>
    <w:rsid w:val="008175FF"/>
    <w:rsid w:val="008203E9"/>
    <w:rsid w:val="00820ECD"/>
    <w:rsid w:val="00821B5D"/>
    <w:rsid w:val="00823D47"/>
    <w:rsid w:val="00823E41"/>
    <w:rsid w:val="008267E4"/>
    <w:rsid w:val="00826A02"/>
    <w:rsid w:val="00830B2E"/>
    <w:rsid w:val="008336D5"/>
    <w:rsid w:val="008367E0"/>
    <w:rsid w:val="008370FC"/>
    <w:rsid w:val="0083713B"/>
    <w:rsid w:val="00837732"/>
    <w:rsid w:val="008407BB"/>
    <w:rsid w:val="008412F0"/>
    <w:rsid w:val="0084142C"/>
    <w:rsid w:val="00841FCD"/>
    <w:rsid w:val="00842186"/>
    <w:rsid w:val="008424EA"/>
    <w:rsid w:val="00843C55"/>
    <w:rsid w:val="0084531B"/>
    <w:rsid w:val="00846BC9"/>
    <w:rsid w:val="0084700F"/>
    <w:rsid w:val="0084733E"/>
    <w:rsid w:val="00851384"/>
    <w:rsid w:val="0085140D"/>
    <w:rsid w:val="00852A8D"/>
    <w:rsid w:val="00853F90"/>
    <w:rsid w:val="008609C3"/>
    <w:rsid w:val="00860BE2"/>
    <w:rsid w:val="00863FE3"/>
    <w:rsid w:val="00870A1D"/>
    <w:rsid w:val="00873295"/>
    <w:rsid w:val="008744D9"/>
    <w:rsid w:val="00875313"/>
    <w:rsid w:val="00875755"/>
    <w:rsid w:val="008762CF"/>
    <w:rsid w:val="00876722"/>
    <w:rsid w:val="00876C61"/>
    <w:rsid w:val="00877DC0"/>
    <w:rsid w:val="0088101F"/>
    <w:rsid w:val="00881573"/>
    <w:rsid w:val="008821D6"/>
    <w:rsid w:val="00882B8C"/>
    <w:rsid w:val="0088306E"/>
    <w:rsid w:val="00885783"/>
    <w:rsid w:val="008862B8"/>
    <w:rsid w:val="00887EA1"/>
    <w:rsid w:val="00892066"/>
    <w:rsid w:val="008927AD"/>
    <w:rsid w:val="008933F9"/>
    <w:rsid w:val="0089498F"/>
    <w:rsid w:val="00896369"/>
    <w:rsid w:val="00896C0E"/>
    <w:rsid w:val="008A06F3"/>
    <w:rsid w:val="008A2375"/>
    <w:rsid w:val="008A4859"/>
    <w:rsid w:val="008A5347"/>
    <w:rsid w:val="008A62CB"/>
    <w:rsid w:val="008A71E9"/>
    <w:rsid w:val="008A7321"/>
    <w:rsid w:val="008A7B97"/>
    <w:rsid w:val="008B060E"/>
    <w:rsid w:val="008B1108"/>
    <w:rsid w:val="008B55CF"/>
    <w:rsid w:val="008B5D7E"/>
    <w:rsid w:val="008B613A"/>
    <w:rsid w:val="008B661A"/>
    <w:rsid w:val="008B7256"/>
    <w:rsid w:val="008C104C"/>
    <w:rsid w:val="008C15B2"/>
    <w:rsid w:val="008C32C4"/>
    <w:rsid w:val="008C3D63"/>
    <w:rsid w:val="008C497B"/>
    <w:rsid w:val="008C4CAB"/>
    <w:rsid w:val="008C7272"/>
    <w:rsid w:val="008D380D"/>
    <w:rsid w:val="008D48EC"/>
    <w:rsid w:val="008D4AA0"/>
    <w:rsid w:val="008D4D15"/>
    <w:rsid w:val="008D5B4C"/>
    <w:rsid w:val="008D6701"/>
    <w:rsid w:val="008D67E8"/>
    <w:rsid w:val="008D6AF6"/>
    <w:rsid w:val="008E4012"/>
    <w:rsid w:val="008E4DDE"/>
    <w:rsid w:val="008E7DA1"/>
    <w:rsid w:val="008F2A99"/>
    <w:rsid w:val="008F3F47"/>
    <w:rsid w:val="008F5E9A"/>
    <w:rsid w:val="008F67BD"/>
    <w:rsid w:val="008F6FCD"/>
    <w:rsid w:val="008F7106"/>
    <w:rsid w:val="008F7D40"/>
    <w:rsid w:val="0090018B"/>
    <w:rsid w:val="0090094F"/>
    <w:rsid w:val="00904871"/>
    <w:rsid w:val="00905DDF"/>
    <w:rsid w:val="00906A3A"/>
    <w:rsid w:val="00907156"/>
    <w:rsid w:val="0090796C"/>
    <w:rsid w:val="0091064A"/>
    <w:rsid w:val="00910D83"/>
    <w:rsid w:val="00912B5C"/>
    <w:rsid w:val="00914422"/>
    <w:rsid w:val="009152F0"/>
    <w:rsid w:val="009167CA"/>
    <w:rsid w:val="00920862"/>
    <w:rsid w:val="00921EC3"/>
    <w:rsid w:val="00922005"/>
    <w:rsid w:val="00922A0A"/>
    <w:rsid w:val="0092366B"/>
    <w:rsid w:val="00923DD6"/>
    <w:rsid w:val="00930DBB"/>
    <w:rsid w:val="00931141"/>
    <w:rsid w:val="00931E64"/>
    <w:rsid w:val="00931FBD"/>
    <w:rsid w:val="00933230"/>
    <w:rsid w:val="00935857"/>
    <w:rsid w:val="00935F3A"/>
    <w:rsid w:val="009375C0"/>
    <w:rsid w:val="00940359"/>
    <w:rsid w:val="00940C1A"/>
    <w:rsid w:val="00942843"/>
    <w:rsid w:val="009447B7"/>
    <w:rsid w:val="009450A7"/>
    <w:rsid w:val="009453D5"/>
    <w:rsid w:val="00945BB6"/>
    <w:rsid w:val="00946814"/>
    <w:rsid w:val="00946C28"/>
    <w:rsid w:val="00950B19"/>
    <w:rsid w:val="00951C08"/>
    <w:rsid w:val="00952CC1"/>
    <w:rsid w:val="00953B52"/>
    <w:rsid w:val="00954F74"/>
    <w:rsid w:val="009553C8"/>
    <w:rsid w:val="00957249"/>
    <w:rsid w:val="0095791C"/>
    <w:rsid w:val="009609EA"/>
    <w:rsid w:val="00962777"/>
    <w:rsid w:val="00964684"/>
    <w:rsid w:val="0097004D"/>
    <w:rsid w:val="00970EEB"/>
    <w:rsid w:val="00973DB4"/>
    <w:rsid w:val="00974917"/>
    <w:rsid w:val="009771C3"/>
    <w:rsid w:val="009800DA"/>
    <w:rsid w:val="00980CBA"/>
    <w:rsid w:val="009863C7"/>
    <w:rsid w:val="00990B62"/>
    <w:rsid w:val="00990E11"/>
    <w:rsid w:val="00990F1B"/>
    <w:rsid w:val="009963B6"/>
    <w:rsid w:val="009A1533"/>
    <w:rsid w:val="009A2A35"/>
    <w:rsid w:val="009A48EA"/>
    <w:rsid w:val="009A4F51"/>
    <w:rsid w:val="009A6184"/>
    <w:rsid w:val="009A74B4"/>
    <w:rsid w:val="009B39DC"/>
    <w:rsid w:val="009B4905"/>
    <w:rsid w:val="009C0EF5"/>
    <w:rsid w:val="009C2ADB"/>
    <w:rsid w:val="009D1670"/>
    <w:rsid w:val="009D1B95"/>
    <w:rsid w:val="009D426D"/>
    <w:rsid w:val="009D5BF6"/>
    <w:rsid w:val="009D678B"/>
    <w:rsid w:val="009E0706"/>
    <w:rsid w:val="009E22FD"/>
    <w:rsid w:val="009E6329"/>
    <w:rsid w:val="009E64D4"/>
    <w:rsid w:val="009E6E8E"/>
    <w:rsid w:val="009F18B1"/>
    <w:rsid w:val="009F3071"/>
    <w:rsid w:val="009F3BF0"/>
    <w:rsid w:val="009F414B"/>
    <w:rsid w:val="009F51A9"/>
    <w:rsid w:val="009F6E8D"/>
    <w:rsid w:val="00A02704"/>
    <w:rsid w:val="00A06300"/>
    <w:rsid w:val="00A06E01"/>
    <w:rsid w:val="00A10478"/>
    <w:rsid w:val="00A10AA4"/>
    <w:rsid w:val="00A1401D"/>
    <w:rsid w:val="00A14316"/>
    <w:rsid w:val="00A1460F"/>
    <w:rsid w:val="00A21E3F"/>
    <w:rsid w:val="00A221EF"/>
    <w:rsid w:val="00A22DB2"/>
    <w:rsid w:val="00A26512"/>
    <w:rsid w:val="00A267EA"/>
    <w:rsid w:val="00A27C66"/>
    <w:rsid w:val="00A31BEE"/>
    <w:rsid w:val="00A32880"/>
    <w:rsid w:val="00A35149"/>
    <w:rsid w:val="00A36AFC"/>
    <w:rsid w:val="00A403A3"/>
    <w:rsid w:val="00A411D1"/>
    <w:rsid w:val="00A43E16"/>
    <w:rsid w:val="00A45A2A"/>
    <w:rsid w:val="00A46681"/>
    <w:rsid w:val="00A476E0"/>
    <w:rsid w:val="00A51269"/>
    <w:rsid w:val="00A51B8E"/>
    <w:rsid w:val="00A5646C"/>
    <w:rsid w:val="00A60A10"/>
    <w:rsid w:val="00A62094"/>
    <w:rsid w:val="00A62E12"/>
    <w:rsid w:val="00A6724B"/>
    <w:rsid w:val="00A67CA7"/>
    <w:rsid w:val="00A71112"/>
    <w:rsid w:val="00A71475"/>
    <w:rsid w:val="00A71C13"/>
    <w:rsid w:val="00A71E79"/>
    <w:rsid w:val="00A75DDD"/>
    <w:rsid w:val="00A7789E"/>
    <w:rsid w:val="00A8109F"/>
    <w:rsid w:val="00A821B4"/>
    <w:rsid w:val="00A825AA"/>
    <w:rsid w:val="00A84D19"/>
    <w:rsid w:val="00A858B1"/>
    <w:rsid w:val="00A85B0A"/>
    <w:rsid w:val="00A86AC4"/>
    <w:rsid w:val="00A874BA"/>
    <w:rsid w:val="00A8796B"/>
    <w:rsid w:val="00A91D25"/>
    <w:rsid w:val="00A936CD"/>
    <w:rsid w:val="00A9587D"/>
    <w:rsid w:val="00A95C4A"/>
    <w:rsid w:val="00A97D96"/>
    <w:rsid w:val="00AA1379"/>
    <w:rsid w:val="00AA1F60"/>
    <w:rsid w:val="00AA2661"/>
    <w:rsid w:val="00AA267C"/>
    <w:rsid w:val="00AA3062"/>
    <w:rsid w:val="00AA30DF"/>
    <w:rsid w:val="00AA5D6E"/>
    <w:rsid w:val="00AB06B6"/>
    <w:rsid w:val="00AB11BA"/>
    <w:rsid w:val="00AB4362"/>
    <w:rsid w:val="00AB4DC3"/>
    <w:rsid w:val="00AB76F6"/>
    <w:rsid w:val="00AC0459"/>
    <w:rsid w:val="00AC1841"/>
    <w:rsid w:val="00AC1C19"/>
    <w:rsid w:val="00AC3287"/>
    <w:rsid w:val="00AC328A"/>
    <w:rsid w:val="00AC3AE8"/>
    <w:rsid w:val="00AC4A59"/>
    <w:rsid w:val="00AC592E"/>
    <w:rsid w:val="00AC59D5"/>
    <w:rsid w:val="00AC5B64"/>
    <w:rsid w:val="00AC6D1B"/>
    <w:rsid w:val="00AC6ECC"/>
    <w:rsid w:val="00AD1823"/>
    <w:rsid w:val="00AD31F0"/>
    <w:rsid w:val="00AD70F2"/>
    <w:rsid w:val="00AD785B"/>
    <w:rsid w:val="00AE09D1"/>
    <w:rsid w:val="00AE21DD"/>
    <w:rsid w:val="00AE2AB1"/>
    <w:rsid w:val="00AE32C6"/>
    <w:rsid w:val="00AE5797"/>
    <w:rsid w:val="00AE5834"/>
    <w:rsid w:val="00AE7204"/>
    <w:rsid w:val="00AE7DE7"/>
    <w:rsid w:val="00AE7E85"/>
    <w:rsid w:val="00AF177A"/>
    <w:rsid w:val="00AF1925"/>
    <w:rsid w:val="00AF3523"/>
    <w:rsid w:val="00AF4BB9"/>
    <w:rsid w:val="00AF5623"/>
    <w:rsid w:val="00AF5E4C"/>
    <w:rsid w:val="00AF7D67"/>
    <w:rsid w:val="00B0141C"/>
    <w:rsid w:val="00B01A73"/>
    <w:rsid w:val="00B01DFB"/>
    <w:rsid w:val="00B02288"/>
    <w:rsid w:val="00B023FF"/>
    <w:rsid w:val="00B02D80"/>
    <w:rsid w:val="00B03533"/>
    <w:rsid w:val="00B050D9"/>
    <w:rsid w:val="00B05265"/>
    <w:rsid w:val="00B0640E"/>
    <w:rsid w:val="00B069F6"/>
    <w:rsid w:val="00B074C6"/>
    <w:rsid w:val="00B1009D"/>
    <w:rsid w:val="00B1117B"/>
    <w:rsid w:val="00B137B9"/>
    <w:rsid w:val="00B14842"/>
    <w:rsid w:val="00B1577C"/>
    <w:rsid w:val="00B1578D"/>
    <w:rsid w:val="00B16F26"/>
    <w:rsid w:val="00B17871"/>
    <w:rsid w:val="00B2087B"/>
    <w:rsid w:val="00B20F14"/>
    <w:rsid w:val="00B20F5F"/>
    <w:rsid w:val="00B21504"/>
    <w:rsid w:val="00B231BC"/>
    <w:rsid w:val="00B23E37"/>
    <w:rsid w:val="00B26A88"/>
    <w:rsid w:val="00B3170F"/>
    <w:rsid w:val="00B326DE"/>
    <w:rsid w:val="00B32F2E"/>
    <w:rsid w:val="00B33468"/>
    <w:rsid w:val="00B33B31"/>
    <w:rsid w:val="00B34824"/>
    <w:rsid w:val="00B4093B"/>
    <w:rsid w:val="00B41191"/>
    <w:rsid w:val="00B4483D"/>
    <w:rsid w:val="00B45324"/>
    <w:rsid w:val="00B4552C"/>
    <w:rsid w:val="00B526EF"/>
    <w:rsid w:val="00B564E6"/>
    <w:rsid w:val="00B619B2"/>
    <w:rsid w:val="00B61A10"/>
    <w:rsid w:val="00B62BD0"/>
    <w:rsid w:val="00B63AA2"/>
    <w:rsid w:val="00B65C96"/>
    <w:rsid w:val="00B678CD"/>
    <w:rsid w:val="00B72127"/>
    <w:rsid w:val="00B73CE3"/>
    <w:rsid w:val="00B74C48"/>
    <w:rsid w:val="00B7687C"/>
    <w:rsid w:val="00B76C21"/>
    <w:rsid w:val="00B81459"/>
    <w:rsid w:val="00B828D4"/>
    <w:rsid w:val="00B82F78"/>
    <w:rsid w:val="00B830AF"/>
    <w:rsid w:val="00B837A8"/>
    <w:rsid w:val="00B84A48"/>
    <w:rsid w:val="00B85028"/>
    <w:rsid w:val="00B85E68"/>
    <w:rsid w:val="00B87B43"/>
    <w:rsid w:val="00B909AD"/>
    <w:rsid w:val="00B90ADB"/>
    <w:rsid w:val="00B90CC5"/>
    <w:rsid w:val="00B91253"/>
    <w:rsid w:val="00B9389E"/>
    <w:rsid w:val="00B94EF5"/>
    <w:rsid w:val="00B9736F"/>
    <w:rsid w:val="00BA0B15"/>
    <w:rsid w:val="00BA22CA"/>
    <w:rsid w:val="00BA24E3"/>
    <w:rsid w:val="00BA48A0"/>
    <w:rsid w:val="00BA6E2C"/>
    <w:rsid w:val="00BB258E"/>
    <w:rsid w:val="00BB4662"/>
    <w:rsid w:val="00BB6B0C"/>
    <w:rsid w:val="00BC08DB"/>
    <w:rsid w:val="00BC14EF"/>
    <w:rsid w:val="00BC300A"/>
    <w:rsid w:val="00BC3671"/>
    <w:rsid w:val="00BC4394"/>
    <w:rsid w:val="00BC4652"/>
    <w:rsid w:val="00BC6F01"/>
    <w:rsid w:val="00BD12A3"/>
    <w:rsid w:val="00BD1F11"/>
    <w:rsid w:val="00BD2483"/>
    <w:rsid w:val="00BD2DCE"/>
    <w:rsid w:val="00BD42CC"/>
    <w:rsid w:val="00BD76EF"/>
    <w:rsid w:val="00BD79B4"/>
    <w:rsid w:val="00BD7E3E"/>
    <w:rsid w:val="00BD7F5D"/>
    <w:rsid w:val="00BE2B62"/>
    <w:rsid w:val="00BE5319"/>
    <w:rsid w:val="00BE7F9C"/>
    <w:rsid w:val="00BE7FF3"/>
    <w:rsid w:val="00BF21DC"/>
    <w:rsid w:val="00BF4271"/>
    <w:rsid w:val="00BF72FC"/>
    <w:rsid w:val="00BF7BA5"/>
    <w:rsid w:val="00C0054F"/>
    <w:rsid w:val="00C0274A"/>
    <w:rsid w:val="00C02EEB"/>
    <w:rsid w:val="00C03751"/>
    <w:rsid w:val="00C04D0F"/>
    <w:rsid w:val="00C05049"/>
    <w:rsid w:val="00C0540A"/>
    <w:rsid w:val="00C05981"/>
    <w:rsid w:val="00C059CF"/>
    <w:rsid w:val="00C05E0E"/>
    <w:rsid w:val="00C07D9E"/>
    <w:rsid w:val="00C1501A"/>
    <w:rsid w:val="00C16C76"/>
    <w:rsid w:val="00C1795D"/>
    <w:rsid w:val="00C21F9E"/>
    <w:rsid w:val="00C22E14"/>
    <w:rsid w:val="00C23701"/>
    <w:rsid w:val="00C2484A"/>
    <w:rsid w:val="00C25ABA"/>
    <w:rsid w:val="00C2724D"/>
    <w:rsid w:val="00C301CC"/>
    <w:rsid w:val="00C30DE8"/>
    <w:rsid w:val="00C310F1"/>
    <w:rsid w:val="00C32356"/>
    <w:rsid w:val="00C32384"/>
    <w:rsid w:val="00C32A11"/>
    <w:rsid w:val="00C32A4B"/>
    <w:rsid w:val="00C34505"/>
    <w:rsid w:val="00C34CF2"/>
    <w:rsid w:val="00C35C72"/>
    <w:rsid w:val="00C366B6"/>
    <w:rsid w:val="00C367B0"/>
    <w:rsid w:val="00C36A9E"/>
    <w:rsid w:val="00C36D50"/>
    <w:rsid w:val="00C36D64"/>
    <w:rsid w:val="00C37268"/>
    <w:rsid w:val="00C373C1"/>
    <w:rsid w:val="00C376BE"/>
    <w:rsid w:val="00C4145B"/>
    <w:rsid w:val="00C41469"/>
    <w:rsid w:val="00C416F7"/>
    <w:rsid w:val="00C421B2"/>
    <w:rsid w:val="00C43B21"/>
    <w:rsid w:val="00C465DA"/>
    <w:rsid w:val="00C466CB"/>
    <w:rsid w:val="00C4720F"/>
    <w:rsid w:val="00C4778A"/>
    <w:rsid w:val="00C47832"/>
    <w:rsid w:val="00C51F69"/>
    <w:rsid w:val="00C520F1"/>
    <w:rsid w:val="00C5358A"/>
    <w:rsid w:val="00C549F7"/>
    <w:rsid w:val="00C57B3D"/>
    <w:rsid w:val="00C620D6"/>
    <w:rsid w:val="00C62FFA"/>
    <w:rsid w:val="00C63C68"/>
    <w:rsid w:val="00C65735"/>
    <w:rsid w:val="00C75391"/>
    <w:rsid w:val="00C759D1"/>
    <w:rsid w:val="00C76C9F"/>
    <w:rsid w:val="00C76D14"/>
    <w:rsid w:val="00C80B3B"/>
    <w:rsid w:val="00C813DC"/>
    <w:rsid w:val="00C81BCB"/>
    <w:rsid w:val="00C82A5B"/>
    <w:rsid w:val="00C82EB6"/>
    <w:rsid w:val="00C83797"/>
    <w:rsid w:val="00C85A7A"/>
    <w:rsid w:val="00C86A46"/>
    <w:rsid w:val="00C87780"/>
    <w:rsid w:val="00C877DD"/>
    <w:rsid w:val="00C87CB4"/>
    <w:rsid w:val="00C90312"/>
    <w:rsid w:val="00C90BEF"/>
    <w:rsid w:val="00C91101"/>
    <w:rsid w:val="00C919B4"/>
    <w:rsid w:val="00C942DB"/>
    <w:rsid w:val="00C94B59"/>
    <w:rsid w:val="00CA0CE7"/>
    <w:rsid w:val="00CA1C39"/>
    <w:rsid w:val="00CA2F3B"/>
    <w:rsid w:val="00CA3DE5"/>
    <w:rsid w:val="00CA473C"/>
    <w:rsid w:val="00CA5399"/>
    <w:rsid w:val="00CA6BF7"/>
    <w:rsid w:val="00CB03CA"/>
    <w:rsid w:val="00CB14DC"/>
    <w:rsid w:val="00CB18B5"/>
    <w:rsid w:val="00CB1A1E"/>
    <w:rsid w:val="00CB22BF"/>
    <w:rsid w:val="00CB3763"/>
    <w:rsid w:val="00CB3B19"/>
    <w:rsid w:val="00CB6482"/>
    <w:rsid w:val="00CB65CD"/>
    <w:rsid w:val="00CB6ED5"/>
    <w:rsid w:val="00CB740D"/>
    <w:rsid w:val="00CB7477"/>
    <w:rsid w:val="00CB74D3"/>
    <w:rsid w:val="00CC41A7"/>
    <w:rsid w:val="00CC43EE"/>
    <w:rsid w:val="00CC47CC"/>
    <w:rsid w:val="00CC51BE"/>
    <w:rsid w:val="00CC5B14"/>
    <w:rsid w:val="00CC5D14"/>
    <w:rsid w:val="00CC626B"/>
    <w:rsid w:val="00CC668B"/>
    <w:rsid w:val="00CD0304"/>
    <w:rsid w:val="00CD2CFB"/>
    <w:rsid w:val="00CD3E28"/>
    <w:rsid w:val="00CD4529"/>
    <w:rsid w:val="00CD4D4F"/>
    <w:rsid w:val="00CD54F0"/>
    <w:rsid w:val="00CD57CB"/>
    <w:rsid w:val="00CD5AA5"/>
    <w:rsid w:val="00CD7864"/>
    <w:rsid w:val="00CE17AD"/>
    <w:rsid w:val="00CE1B41"/>
    <w:rsid w:val="00CE3CCF"/>
    <w:rsid w:val="00CF287E"/>
    <w:rsid w:val="00CF395A"/>
    <w:rsid w:val="00CF561B"/>
    <w:rsid w:val="00D0146F"/>
    <w:rsid w:val="00D017CF"/>
    <w:rsid w:val="00D03408"/>
    <w:rsid w:val="00D03DBD"/>
    <w:rsid w:val="00D041B3"/>
    <w:rsid w:val="00D047AB"/>
    <w:rsid w:val="00D05A15"/>
    <w:rsid w:val="00D110B4"/>
    <w:rsid w:val="00D1152A"/>
    <w:rsid w:val="00D119FC"/>
    <w:rsid w:val="00D1437D"/>
    <w:rsid w:val="00D14BF9"/>
    <w:rsid w:val="00D158A2"/>
    <w:rsid w:val="00D166A4"/>
    <w:rsid w:val="00D21CFA"/>
    <w:rsid w:val="00D23283"/>
    <w:rsid w:val="00D2495F"/>
    <w:rsid w:val="00D2535E"/>
    <w:rsid w:val="00D2730D"/>
    <w:rsid w:val="00D3055D"/>
    <w:rsid w:val="00D33EE0"/>
    <w:rsid w:val="00D35F60"/>
    <w:rsid w:val="00D36A82"/>
    <w:rsid w:val="00D40251"/>
    <w:rsid w:val="00D41A73"/>
    <w:rsid w:val="00D43DA2"/>
    <w:rsid w:val="00D4474D"/>
    <w:rsid w:val="00D4497A"/>
    <w:rsid w:val="00D468DA"/>
    <w:rsid w:val="00D47D0A"/>
    <w:rsid w:val="00D52C23"/>
    <w:rsid w:val="00D52FD3"/>
    <w:rsid w:val="00D53211"/>
    <w:rsid w:val="00D538B3"/>
    <w:rsid w:val="00D56A1F"/>
    <w:rsid w:val="00D61E95"/>
    <w:rsid w:val="00D621D3"/>
    <w:rsid w:val="00D62E1F"/>
    <w:rsid w:val="00D66ADB"/>
    <w:rsid w:val="00D705B3"/>
    <w:rsid w:val="00D70909"/>
    <w:rsid w:val="00D72BFB"/>
    <w:rsid w:val="00D7434C"/>
    <w:rsid w:val="00D74395"/>
    <w:rsid w:val="00D749DE"/>
    <w:rsid w:val="00D7547B"/>
    <w:rsid w:val="00D75604"/>
    <w:rsid w:val="00D76CA2"/>
    <w:rsid w:val="00D76E7B"/>
    <w:rsid w:val="00D83DD7"/>
    <w:rsid w:val="00D8463A"/>
    <w:rsid w:val="00D86C91"/>
    <w:rsid w:val="00D936F8"/>
    <w:rsid w:val="00D95623"/>
    <w:rsid w:val="00D96E44"/>
    <w:rsid w:val="00DA1A03"/>
    <w:rsid w:val="00DA1F80"/>
    <w:rsid w:val="00DA2046"/>
    <w:rsid w:val="00DA260C"/>
    <w:rsid w:val="00DA2973"/>
    <w:rsid w:val="00DA2B07"/>
    <w:rsid w:val="00DA45E4"/>
    <w:rsid w:val="00DA60BF"/>
    <w:rsid w:val="00DA610F"/>
    <w:rsid w:val="00DA62C5"/>
    <w:rsid w:val="00DA7B20"/>
    <w:rsid w:val="00DA7BA2"/>
    <w:rsid w:val="00DB6865"/>
    <w:rsid w:val="00DB6AEF"/>
    <w:rsid w:val="00DC211A"/>
    <w:rsid w:val="00DC3755"/>
    <w:rsid w:val="00DC4516"/>
    <w:rsid w:val="00DC4A16"/>
    <w:rsid w:val="00DC4F6E"/>
    <w:rsid w:val="00DC5387"/>
    <w:rsid w:val="00DC5A0E"/>
    <w:rsid w:val="00DC5D61"/>
    <w:rsid w:val="00DC6646"/>
    <w:rsid w:val="00DD0A97"/>
    <w:rsid w:val="00DD2324"/>
    <w:rsid w:val="00DD323B"/>
    <w:rsid w:val="00DD3F14"/>
    <w:rsid w:val="00DD3F4A"/>
    <w:rsid w:val="00DD57FC"/>
    <w:rsid w:val="00DD5C97"/>
    <w:rsid w:val="00DD756A"/>
    <w:rsid w:val="00DD7D35"/>
    <w:rsid w:val="00DE1C2E"/>
    <w:rsid w:val="00DE402B"/>
    <w:rsid w:val="00DE520E"/>
    <w:rsid w:val="00DE5CDB"/>
    <w:rsid w:val="00DE6D4E"/>
    <w:rsid w:val="00DE76FD"/>
    <w:rsid w:val="00DF1E17"/>
    <w:rsid w:val="00DF4175"/>
    <w:rsid w:val="00DF4BBE"/>
    <w:rsid w:val="00DF4C1A"/>
    <w:rsid w:val="00DF66D9"/>
    <w:rsid w:val="00DF742A"/>
    <w:rsid w:val="00E0102E"/>
    <w:rsid w:val="00E02A7E"/>
    <w:rsid w:val="00E064F0"/>
    <w:rsid w:val="00E07921"/>
    <w:rsid w:val="00E1228A"/>
    <w:rsid w:val="00E12368"/>
    <w:rsid w:val="00E12986"/>
    <w:rsid w:val="00E1474B"/>
    <w:rsid w:val="00E15691"/>
    <w:rsid w:val="00E1698E"/>
    <w:rsid w:val="00E1792C"/>
    <w:rsid w:val="00E215CD"/>
    <w:rsid w:val="00E2458D"/>
    <w:rsid w:val="00E2691E"/>
    <w:rsid w:val="00E30394"/>
    <w:rsid w:val="00E30C6A"/>
    <w:rsid w:val="00E31279"/>
    <w:rsid w:val="00E31C5A"/>
    <w:rsid w:val="00E33EC8"/>
    <w:rsid w:val="00E34C5F"/>
    <w:rsid w:val="00E36495"/>
    <w:rsid w:val="00E369C7"/>
    <w:rsid w:val="00E403D6"/>
    <w:rsid w:val="00E426BB"/>
    <w:rsid w:val="00E4274B"/>
    <w:rsid w:val="00E4546B"/>
    <w:rsid w:val="00E47FDC"/>
    <w:rsid w:val="00E51925"/>
    <w:rsid w:val="00E51CFC"/>
    <w:rsid w:val="00E533FD"/>
    <w:rsid w:val="00E54D2C"/>
    <w:rsid w:val="00E57D1D"/>
    <w:rsid w:val="00E57DC0"/>
    <w:rsid w:val="00E602BB"/>
    <w:rsid w:val="00E62A17"/>
    <w:rsid w:val="00E6610B"/>
    <w:rsid w:val="00E667B1"/>
    <w:rsid w:val="00E671BD"/>
    <w:rsid w:val="00E67817"/>
    <w:rsid w:val="00E67DA5"/>
    <w:rsid w:val="00E703F3"/>
    <w:rsid w:val="00E72310"/>
    <w:rsid w:val="00E732E1"/>
    <w:rsid w:val="00E737E5"/>
    <w:rsid w:val="00E7552B"/>
    <w:rsid w:val="00E76CC1"/>
    <w:rsid w:val="00E77D81"/>
    <w:rsid w:val="00E808A7"/>
    <w:rsid w:val="00E81A69"/>
    <w:rsid w:val="00E82837"/>
    <w:rsid w:val="00E831C1"/>
    <w:rsid w:val="00E83FE4"/>
    <w:rsid w:val="00E85295"/>
    <w:rsid w:val="00E86349"/>
    <w:rsid w:val="00E91983"/>
    <w:rsid w:val="00E91F4D"/>
    <w:rsid w:val="00E9336C"/>
    <w:rsid w:val="00E94F21"/>
    <w:rsid w:val="00E9562D"/>
    <w:rsid w:val="00E95646"/>
    <w:rsid w:val="00E95F43"/>
    <w:rsid w:val="00E9746B"/>
    <w:rsid w:val="00EA0543"/>
    <w:rsid w:val="00EA134F"/>
    <w:rsid w:val="00EA138F"/>
    <w:rsid w:val="00EA6BC8"/>
    <w:rsid w:val="00EA6D72"/>
    <w:rsid w:val="00EA7A5A"/>
    <w:rsid w:val="00EB179C"/>
    <w:rsid w:val="00EB1F1E"/>
    <w:rsid w:val="00EB2907"/>
    <w:rsid w:val="00EB2EE9"/>
    <w:rsid w:val="00EB3753"/>
    <w:rsid w:val="00EB5209"/>
    <w:rsid w:val="00EB597E"/>
    <w:rsid w:val="00EB6331"/>
    <w:rsid w:val="00EB66B6"/>
    <w:rsid w:val="00EB69C8"/>
    <w:rsid w:val="00EC01AD"/>
    <w:rsid w:val="00EC0855"/>
    <w:rsid w:val="00EC1701"/>
    <w:rsid w:val="00EC4847"/>
    <w:rsid w:val="00EC4DA0"/>
    <w:rsid w:val="00EC5DF9"/>
    <w:rsid w:val="00EC5FDD"/>
    <w:rsid w:val="00EC67E5"/>
    <w:rsid w:val="00EC7808"/>
    <w:rsid w:val="00EC7E48"/>
    <w:rsid w:val="00ED1275"/>
    <w:rsid w:val="00ED12D4"/>
    <w:rsid w:val="00ED234C"/>
    <w:rsid w:val="00ED25C7"/>
    <w:rsid w:val="00ED33E5"/>
    <w:rsid w:val="00ED7C2E"/>
    <w:rsid w:val="00EE0D00"/>
    <w:rsid w:val="00EF0223"/>
    <w:rsid w:val="00EF110C"/>
    <w:rsid w:val="00EF3523"/>
    <w:rsid w:val="00EF4F0D"/>
    <w:rsid w:val="00EF7A50"/>
    <w:rsid w:val="00F00596"/>
    <w:rsid w:val="00F00F87"/>
    <w:rsid w:val="00F0182E"/>
    <w:rsid w:val="00F030F3"/>
    <w:rsid w:val="00F066C5"/>
    <w:rsid w:val="00F1089A"/>
    <w:rsid w:val="00F1135F"/>
    <w:rsid w:val="00F12266"/>
    <w:rsid w:val="00F12DBB"/>
    <w:rsid w:val="00F13F4C"/>
    <w:rsid w:val="00F1566B"/>
    <w:rsid w:val="00F209AA"/>
    <w:rsid w:val="00F20CF8"/>
    <w:rsid w:val="00F23319"/>
    <w:rsid w:val="00F262B1"/>
    <w:rsid w:val="00F27C84"/>
    <w:rsid w:val="00F30036"/>
    <w:rsid w:val="00F305D2"/>
    <w:rsid w:val="00F3267B"/>
    <w:rsid w:val="00F37460"/>
    <w:rsid w:val="00F3759B"/>
    <w:rsid w:val="00F40FD0"/>
    <w:rsid w:val="00F435ED"/>
    <w:rsid w:val="00F44055"/>
    <w:rsid w:val="00F45A63"/>
    <w:rsid w:val="00F464AE"/>
    <w:rsid w:val="00F47C11"/>
    <w:rsid w:val="00F51F35"/>
    <w:rsid w:val="00F638E1"/>
    <w:rsid w:val="00F641C4"/>
    <w:rsid w:val="00F644D6"/>
    <w:rsid w:val="00F64D53"/>
    <w:rsid w:val="00F65422"/>
    <w:rsid w:val="00F67078"/>
    <w:rsid w:val="00F672FF"/>
    <w:rsid w:val="00F708FF"/>
    <w:rsid w:val="00F71851"/>
    <w:rsid w:val="00F73ED6"/>
    <w:rsid w:val="00F7433E"/>
    <w:rsid w:val="00F75D4B"/>
    <w:rsid w:val="00F76B45"/>
    <w:rsid w:val="00F82986"/>
    <w:rsid w:val="00F8401A"/>
    <w:rsid w:val="00F909F6"/>
    <w:rsid w:val="00F914F9"/>
    <w:rsid w:val="00FA097A"/>
    <w:rsid w:val="00FA164F"/>
    <w:rsid w:val="00FA2F3C"/>
    <w:rsid w:val="00FA4C1A"/>
    <w:rsid w:val="00FA6B3A"/>
    <w:rsid w:val="00FB3630"/>
    <w:rsid w:val="00FB3CAD"/>
    <w:rsid w:val="00FB41E1"/>
    <w:rsid w:val="00FB4501"/>
    <w:rsid w:val="00FB63F8"/>
    <w:rsid w:val="00FB67E4"/>
    <w:rsid w:val="00FB7371"/>
    <w:rsid w:val="00FC05C3"/>
    <w:rsid w:val="00FC5DCE"/>
    <w:rsid w:val="00FC717B"/>
    <w:rsid w:val="00FC71EA"/>
    <w:rsid w:val="00FD2E2C"/>
    <w:rsid w:val="00FD65D1"/>
    <w:rsid w:val="00FD707B"/>
    <w:rsid w:val="00FE1937"/>
    <w:rsid w:val="00FE2582"/>
    <w:rsid w:val="00FE262B"/>
    <w:rsid w:val="00FE272C"/>
    <w:rsid w:val="00FE373D"/>
    <w:rsid w:val="00FE4A24"/>
    <w:rsid w:val="00FF0138"/>
    <w:rsid w:val="00FF0E8F"/>
    <w:rsid w:val="00FF1533"/>
    <w:rsid w:val="00FF4AC9"/>
    <w:rsid w:val="00FF5018"/>
    <w:rsid w:val="00FF526D"/>
    <w:rsid w:val="00FF5BD2"/>
    <w:rsid w:val="00FF5F5D"/>
    <w:rsid w:val="00FF6E27"/>
    <w:rsid w:val="00FF72C1"/>
    <w:rsid w:val="00FF7C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4AFAA"/>
  <w15:chartTrackingRefBased/>
  <w15:docId w15:val="{520DEF0B-0DB3-48CB-BFB5-A1AB27D1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clear" w:pos="3207"/>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clear" w:pos="4625"/>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clear" w:pos="6043"/>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styleId="PlaceholderText">
    <w:name w:val="Placeholder Text"/>
    <w:basedOn w:val="DefaultParagraphFont"/>
    <w:uiPriority w:val="99"/>
    <w:semiHidden/>
    <w:rsid w:val="00DD0A97"/>
    <w:rPr>
      <w:color w:val="808080"/>
    </w:rPr>
  </w:style>
  <w:style w:type="paragraph" w:styleId="BodyText">
    <w:name w:val="Body Text"/>
    <w:basedOn w:val="Normal"/>
    <w:link w:val="BodyTextChar"/>
    <w:rsid w:val="0032750C"/>
    <w:pPr>
      <w:widowControl w:val="0"/>
      <w:tabs>
        <w:tab w:val="left" w:pos="-720"/>
      </w:tabs>
      <w:suppressAutoHyphens/>
      <w:spacing w:line="480" w:lineRule="auto"/>
      <w:jc w:val="right"/>
    </w:pPr>
    <w:rPr>
      <w:rFonts w:ascii="Arial" w:hAnsi="Arial"/>
      <w:b/>
      <w:spacing w:val="-3"/>
      <w:szCs w:val="20"/>
      <w:lang w:eastAsia="en-GB"/>
    </w:rPr>
  </w:style>
  <w:style w:type="character" w:customStyle="1" w:styleId="BodyTextChar">
    <w:name w:val="Body Text Char"/>
    <w:basedOn w:val="DefaultParagraphFont"/>
    <w:link w:val="BodyText"/>
    <w:rsid w:val="0032750C"/>
    <w:rPr>
      <w:rFonts w:ascii="Arial" w:hAnsi="Arial"/>
      <w:b/>
      <w:spacing w:val="-3"/>
      <w:sz w:val="24"/>
    </w:rPr>
  </w:style>
  <w:style w:type="character" w:customStyle="1" w:styleId="ct-content">
    <w:name w:val="ct-content"/>
    <w:basedOn w:val="DefaultParagraphFont"/>
    <w:rsid w:val="00AE2AB1"/>
  </w:style>
  <w:style w:type="character" w:styleId="Hyperlink">
    <w:name w:val="Hyperlink"/>
    <w:basedOn w:val="DefaultParagraphFont"/>
    <w:uiPriority w:val="99"/>
    <w:unhideWhenUsed/>
    <w:rsid w:val="00AE2AB1"/>
    <w:rPr>
      <w:color w:val="0000FF"/>
      <w:u w:val="single"/>
    </w:rPr>
  </w:style>
  <w:style w:type="character" w:styleId="UnresolvedMention">
    <w:name w:val="Unresolved Mention"/>
    <w:basedOn w:val="DefaultParagraphFont"/>
    <w:uiPriority w:val="99"/>
    <w:semiHidden/>
    <w:unhideWhenUsed/>
    <w:rsid w:val="00AE2AB1"/>
    <w:rPr>
      <w:color w:val="605E5C"/>
      <w:shd w:val="clear" w:color="auto" w:fill="E1DFDD"/>
    </w:rPr>
  </w:style>
  <w:style w:type="paragraph" w:styleId="FootnoteText">
    <w:name w:val="footnote text"/>
    <w:basedOn w:val="Normal"/>
    <w:link w:val="FootnoteTextChar"/>
    <w:rsid w:val="00CB1A1E"/>
    <w:rPr>
      <w:sz w:val="20"/>
      <w:szCs w:val="20"/>
    </w:rPr>
  </w:style>
  <w:style w:type="character" w:customStyle="1" w:styleId="FootnoteTextChar">
    <w:name w:val="Footnote Text Char"/>
    <w:basedOn w:val="DefaultParagraphFont"/>
    <w:link w:val="FootnoteText"/>
    <w:rsid w:val="00CB1A1E"/>
    <w:rPr>
      <w:lang w:eastAsia="en-US"/>
    </w:rPr>
  </w:style>
  <w:style w:type="character" w:styleId="FootnoteReference">
    <w:name w:val="footnote reference"/>
    <w:basedOn w:val="DefaultParagraphFont"/>
    <w:rsid w:val="00CB1A1E"/>
    <w:rPr>
      <w:vertAlign w:val="superscript"/>
    </w:rPr>
  </w:style>
  <w:style w:type="paragraph" w:styleId="Revision">
    <w:name w:val="Revision"/>
    <w:hidden/>
    <w:uiPriority w:val="99"/>
    <w:semiHidden/>
    <w:rsid w:val="00711FBC"/>
    <w:rPr>
      <w:sz w:val="24"/>
      <w:szCs w:val="24"/>
      <w:lang w:eastAsia="en-US"/>
    </w:rPr>
  </w:style>
  <w:style w:type="character" w:styleId="CommentReference">
    <w:name w:val="annotation reference"/>
    <w:basedOn w:val="DefaultParagraphFont"/>
    <w:rsid w:val="00693464"/>
    <w:rPr>
      <w:sz w:val="16"/>
      <w:szCs w:val="16"/>
    </w:rPr>
  </w:style>
  <w:style w:type="paragraph" w:styleId="CommentText">
    <w:name w:val="annotation text"/>
    <w:basedOn w:val="Normal"/>
    <w:link w:val="CommentTextChar"/>
    <w:rsid w:val="00693464"/>
    <w:rPr>
      <w:sz w:val="20"/>
      <w:szCs w:val="20"/>
    </w:rPr>
  </w:style>
  <w:style w:type="character" w:customStyle="1" w:styleId="CommentTextChar">
    <w:name w:val="Comment Text Char"/>
    <w:basedOn w:val="DefaultParagraphFont"/>
    <w:link w:val="CommentText"/>
    <w:rsid w:val="00693464"/>
    <w:rPr>
      <w:lang w:eastAsia="en-US"/>
    </w:rPr>
  </w:style>
  <w:style w:type="paragraph" w:styleId="CommentSubject">
    <w:name w:val="annotation subject"/>
    <w:basedOn w:val="CommentText"/>
    <w:next w:val="CommentText"/>
    <w:link w:val="CommentSubjectChar"/>
    <w:rsid w:val="00693464"/>
    <w:rPr>
      <w:b/>
      <w:bCs/>
    </w:rPr>
  </w:style>
  <w:style w:type="character" w:customStyle="1" w:styleId="CommentSubjectChar">
    <w:name w:val="Comment Subject Char"/>
    <w:basedOn w:val="CommentTextChar"/>
    <w:link w:val="CommentSubject"/>
    <w:rsid w:val="0069346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y73k\OneDrive%20-%20Ministry%20of%20Justice\JudgmentTemplate\Templates\hc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BC563-DAEA-4946-BFCF-3F2344B5C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hc_judg2k</Template>
  <TotalTime>1</TotalTime>
  <Pages>21</Pages>
  <Words>8686</Words>
  <Characters>49512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58082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Faint, Julie</dc:creator>
  <cp:keywords/>
  <dc:description/>
  <cp:lastModifiedBy>Faint, Julie</cp:lastModifiedBy>
  <cp:revision>2</cp:revision>
  <cp:lastPrinted>2026-06-09T07:40:00Z</cp:lastPrinted>
  <dcterms:created xsi:type="dcterms:W3CDTF">2026-06-09T09:50:00Z</dcterms:created>
  <dcterms:modified xsi:type="dcterms:W3CDTF">2026-06-09T09:50:00Z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KING'S BENCH DIVISION</vt:lpwstr>
  </property>
  <property fmtid="{D5CDD505-2E9C-101B-9397-08002B2CF9AE}" pid="5" name="SubDivision">
    <vt:lpwstr>ADMINISTRATIVE COURT</vt:lpwstr>
  </property>
  <property fmtid="{D5CDD505-2E9C-101B-9397-08002B2CF9AE}" pid="6" name="ApprovedStage">
    <vt:lpwstr>Approved</vt:lpwstr>
  </property>
  <property fmtid="{D5CDD505-2E9C-101B-9397-08002B2CF9AE}" pid="7" name="NCDiv">
    <vt:lpwstr>Admin</vt:lpwstr>
  </property>
  <property fmtid="{D5CDD505-2E9C-101B-9397-08002B2CF9AE}" pid="8" name="NCJudgeDate">
    <vt:lpwstr>10/06/2026</vt:lpwstr>
  </property>
  <property fmtid="{D5CDD505-2E9C-101B-9397-08002B2CF9AE}" pid="9" name="NCNumber">
    <vt:lpwstr>[2026] EWHC 1393 (Admin)</vt:lpwstr>
  </property>
</Properties>
</file>