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C1A0FEA" w14:textId="4DE6E658" w:rsidR="00C72057" w:rsidRDefault="00384355" w:rsidP="00C72057">
      <w:pPr>
        <w:spacing w:line="259" w:lineRule="auto"/>
        <w:jc w:val="center"/>
        <w:rPr>
          <w:rFonts w:ascii="Old English Text MT" w:hAnsi="Old English Text MT" w:cs="Times New Roman"/>
          <w:bCs/>
          <w:sz w:val="48"/>
          <w:szCs w:val="24"/>
        </w:rPr>
      </w:pPr>
      <w:r w:rsidRPr="006E5A69">
        <w:rPr>
          <w:rFonts w:eastAsiaTheme="minorEastAsia"/>
          <w:noProof/>
          <w:lang w:eastAsia="zh-CN"/>
        </w:rPr>
        <w:object w:dxaOrig="1498" w:dyaOrig="1440" w14:anchorId="474F72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in" o:ole="" fillcolor="window">
            <v:imagedata r:id="rId7" o:title=""/>
          </v:shape>
          <o:OLEObject Type="Embed" ProgID="MSDraw" ShapeID="_x0000_i1025" DrawAspect="Content" ObjectID="_1737391296" r:id="rId8"/>
        </w:object>
      </w:r>
    </w:p>
    <w:p w14:paraId="47EE057A" w14:textId="1AEB3341" w:rsidR="00B4044F" w:rsidRPr="00C72057" w:rsidRDefault="00B4044F" w:rsidP="00C72057">
      <w:pPr>
        <w:spacing w:line="259" w:lineRule="auto"/>
        <w:jc w:val="center"/>
        <w:rPr>
          <w:rFonts w:ascii="Old English Text MT" w:hAnsi="Old English Text MT" w:cs="Times New Roman"/>
          <w:bCs/>
          <w:sz w:val="48"/>
          <w:szCs w:val="24"/>
        </w:rPr>
      </w:pPr>
      <w:r w:rsidRPr="00C9533E">
        <w:rPr>
          <w:rFonts w:ascii="Old English Text MT" w:hAnsi="Old English Text MT" w:cs="Times New Roman"/>
          <w:bCs/>
          <w:sz w:val="48"/>
          <w:szCs w:val="24"/>
        </w:rPr>
        <w:t>In The Supreme Court Of Bermuda</w:t>
      </w:r>
    </w:p>
    <w:p w14:paraId="115500B9" w14:textId="77777777" w:rsidR="00B4044F" w:rsidRPr="00384355" w:rsidRDefault="00B4044F" w:rsidP="00B4044F">
      <w:pPr>
        <w:pStyle w:val="NoSpacing"/>
        <w:jc w:val="center"/>
        <w:rPr>
          <w:rFonts w:ascii="Times New Roman" w:hAnsi="Times New Roman" w:cs="Times New Roman"/>
          <w:b/>
          <w:sz w:val="24"/>
        </w:rPr>
      </w:pPr>
      <w:r w:rsidRPr="00384355">
        <w:rPr>
          <w:rFonts w:ascii="Times New Roman" w:hAnsi="Times New Roman" w:cs="Times New Roman"/>
          <w:b/>
          <w:sz w:val="24"/>
        </w:rPr>
        <w:t>CIVIL JURISDICTION</w:t>
      </w:r>
    </w:p>
    <w:p w14:paraId="0509862A" w14:textId="77777777" w:rsidR="00B4044F" w:rsidRDefault="00B4044F" w:rsidP="00B4044F">
      <w:pPr>
        <w:pStyle w:val="NoSpacing"/>
        <w:jc w:val="center"/>
        <w:rPr>
          <w:rFonts w:ascii="Times New Roman" w:hAnsi="Times New Roman" w:cs="Times New Roman"/>
          <w:b/>
          <w:sz w:val="28"/>
        </w:rPr>
      </w:pPr>
      <w:r w:rsidRPr="00384355">
        <w:rPr>
          <w:rFonts w:ascii="Times New Roman" w:hAnsi="Times New Roman" w:cs="Times New Roman"/>
          <w:b/>
          <w:sz w:val="24"/>
        </w:rPr>
        <w:t>(COMMERCIAL COURT)</w:t>
      </w:r>
    </w:p>
    <w:p w14:paraId="596C9B46" w14:textId="77777777" w:rsidR="00B4044F" w:rsidRPr="00C9533E" w:rsidRDefault="00B4044F" w:rsidP="00B4044F">
      <w:pPr>
        <w:pStyle w:val="NoSpacing"/>
        <w:jc w:val="center"/>
      </w:pPr>
    </w:p>
    <w:p w14:paraId="368DB81A" w14:textId="77777777" w:rsidR="00B4044F" w:rsidRPr="00C9533E" w:rsidRDefault="00B4044F" w:rsidP="00B4044F">
      <w:pPr>
        <w:pStyle w:val="NoSpacing"/>
        <w:jc w:val="center"/>
        <w:rPr>
          <w:rFonts w:ascii="Times New Roman" w:hAnsi="Times New Roman" w:cs="Times New Roman"/>
          <w:b/>
          <w:sz w:val="24"/>
        </w:rPr>
      </w:pPr>
      <w:r w:rsidRPr="00C9533E">
        <w:rPr>
          <w:rFonts w:ascii="Times New Roman" w:hAnsi="Times New Roman" w:cs="Times New Roman"/>
          <w:b/>
          <w:sz w:val="24"/>
        </w:rPr>
        <w:t>2021: No. 107, 108, 109, 111, 112, 113, 114, 115, 116, 117, 118, 119, 120, 121, 123, 124,</w:t>
      </w:r>
    </w:p>
    <w:p w14:paraId="75DC97F5" w14:textId="77777777" w:rsidR="00B4044F" w:rsidRPr="00C34FEB" w:rsidRDefault="00B4044F" w:rsidP="00B4044F">
      <w:pPr>
        <w:pStyle w:val="NoSpacing"/>
        <w:jc w:val="center"/>
      </w:pPr>
      <w:r w:rsidRPr="00C9533E">
        <w:rPr>
          <w:rFonts w:ascii="Times New Roman" w:hAnsi="Times New Roman" w:cs="Times New Roman"/>
          <w:b/>
          <w:sz w:val="24"/>
        </w:rPr>
        <w:t>125 &amp; 126</w:t>
      </w:r>
    </w:p>
    <w:p w14:paraId="2ABE7C07" w14:textId="77777777" w:rsidR="00B4044F" w:rsidRPr="00C34FEB" w:rsidRDefault="00B4044F" w:rsidP="00B4044F">
      <w:pPr>
        <w:spacing w:line="360" w:lineRule="auto"/>
        <w:jc w:val="both"/>
        <w:rPr>
          <w:rFonts w:ascii="Times New Roman" w:hAnsi="Times New Roman" w:cs="Times New Roman"/>
          <w:b/>
          <w:bCs/>
          <w:sz w:val="24"/>
          <w:szCs w:val="24"/>
        </w:rPr>
      </w:pPr>
    </w:p>
    <w:p w14:paraId="68A8F347" w14:textId="77777777" w:rsidR="00B4044F" w:rsidRPr="00C34FEB" w:rsidRDefault="00B4044F" w:rsidP="0067390A">
      <w:pPr>
        <w:spacing w:line="240" w:lineRule="auto"/>
        <w:jc w:val="both"/>
        <w:rPr>
          <w:rFonts w:ascii="Times New Roman" w:hAnsi="Times New Roman" w:cs="Times New Roman"/>
          <w:b/>
          <w:bCs/>
          <w:sz w:val="24"/>
          <w:szCs w:val="24"/>
        </w:rPr>
      </w:pPr>
      <w:r w:rsidRPr="00C34FEB">
        <w:rPr>
          <w:rFonts w:ascii="Times New Roman" w:hAnsi="Times New Roman" w:cs="Times New Roman"/>
          <w:b/>
          <w:bCs/>
          <w:sz w:val="24"/>
          <w:szCs w:val="24"/>
        </w:rPr>
        <w:t xml:space="preserve">IN THE MATTER OF JARDINE STRATEGIC HOLDINGS LIMITED </w:t>
      </w:r>
    </w:p>
    <w:p w14:paraId="3489E9B9" w14:textId="77777777" w:rsidR="00B4044F" w:rsidRPr="00C34FEB" w:rsidRDefault="00B4044F" w:rsidP="0067390A">
      <w:pPr>
        <w:pStyle w:val="NoSpacing"/>
      </w:pPr>
    </w:p>
    <w:p w14:paraId="29D82C82" w14:textId="77777777" w:rsidR="00B4044F" w:rsidRPr="00C34FEB" w:rsidRDefault="00B4044F" w:rsidP="00384355">
      <w:pPr>
        <w:spacing w:line="360" w:lineRule="auto"/>
        <w:jc w:val="both"/>
        <w:rPr>
          <w:rFonts w:ascii="Times New Roman" w:hAnsi="Times New Roman" w:cs="Times New Roman"/>
          <w:b/>
          <w:bCs/>
          <w:sz w:val="24"/>
          <w:szCs w:val="24"/>
        </w:rPr>
      </w:pPr>
      <w:r w:rsidRPr="00C34FEB">
        <w:rPr>
          <w:rFonts w:ascii="Times New Roman" w:hAnsi="Times New Roman" w:cs="Times New Roman"/>
          <w:b/>
          <w:bCs/>
          <w:sz w:val="24"/>
          <w:szCs w:val="24"/>
        </w:rPr>
        <w:t xml:space="preserve">AND IN THE MATTER OF THE AMALGAMATION AGREEMENT BETWEEN </w:t>
      </w:r>
    </w:p>
    <w:p w14:paraId="653049F2" w14:textId="77777777" w:rsidR="00B4044F" w:rsidRPr="00C34FEB" w:rsidRDefault="00B4044F" w:rsidP="00384355">
      <w:pPr>
        <w:spacing w:line="360" w:lineRule="auto"/>
        <w:jc w:val="both"/>
        <w:rPr>
          <w:rFonts w:ascii="Times New Roman" w:hAnsi="Times New Roman" w:cs="Times New Roman"/>
          <w:b/>
          <w:bCs/>
          <w:sz w:val="24"/>
          <w:szCs w:val="24"/>
        </w:rPr>
      </w:pPr>
      <w:r w:rsidRPr="00C34FEB">
        <w:rPr>
          <w:rFonts w:ascii="Times New Roman" w:hAnsi="Times New Roman" w:cs="Times New Roman"/>
          <w:b/>
          <w:bCs/>
          <w:sz w:val="24"/>
          <w:szCs w:val="24"/>
        </w:rPr>
        <w:t xml:space="preserve">JMH INVESTMENTS LIMITED AND JMH BERMUDA LIMITED AND JARDINE </w:t>
      </w:r>
    </w:p>
    <w:p w14:paraId="0891B723" w14:textId="77777777" w:rsidR="00B4044F" w:rsidRPr="00C34FEB" w:rsidRDefault="00B4044F" w:rsidP="00384355">
      <w:pPr>
        <w:spacing w:line="360" w:lineRule="auto"/>
        <w:jc w:val="both"/>
        <w:rPr>
          <w:rFonts w:ascii="Times New Roman" w:hAnsi="Times New Roman" w:cs="Times New Roman"/>
          <w:b/>
          <w:bCs/>
          <w:sz w:val="24"/>
          <w:szCs w:val="24"/>
        </w:rPr>
      </w:pPr>
      <w:r w:rsidRPr="00C34FEB">
        <w:rPr>
          <w:rFonts w:ascii="Times New Roman" w:hAnsi="Times New Roman" w:cs="Times New Roman"/>
          <w:b/>
          <w:bCs/>
          <w:sz w:val="24"/>
          <w:szCs w:val="24"/>
        </w:rPr>
        <w:t xml:space="preserve">STRATEGIC HOLDINGS LIMITED </w:t>
      </w:r>
    </w:p>
    <w:p w14:paraId="592B749B" w14:textId="77777777" w:rsidR="00B4044F" w:rsidRPr="00C34FEB" w:rsidRDefault="00B4044F" w:rsidP="0067390A">
      <w:pPr>
        <w:pStyle w:val="NoSpacing"/>
      </w:pPr>
    </w:p>
    <w:p w14:paraId="732555AB" w14:textId="77777777" w:rsidR="00B4044F" w:rsidRPr="00C34FEB" w:rsidRDefault="00B4044F" w:rsidP="0067390A">
      <w:pPr>
        <w:spacing w:line="240" w:lineRule="auto"/>
        <w:jc w:val="both"/>
        <w:rPr>
          <w:rFonts w:ascii="Times New Roman" w:hAnsi="Times New Roman" w:cs="Times New Roman"/>
          <w:b/>
          <w:bCs/>
          <w:sz w:val="24"/>
          <w:szCs w:val="24"/>
        </w:rPr>
      </w:pPr>
      <w:r w:rsidRPr="00C34FEB">
        <w:rPr>
          <w:rFonts w:ascii="Times New Roman" w:hAnsi="Times New Roman" w:cs="Times New Roman"/>
          <w:b/>
          <w:bCs/>
          <w:sz w:val="24"/>
          <w:szCs w:val="24"/>
        </w:rPr>
        <w:t>AND IN THE MATTER OF SECTION 106 OF THE COMPANIES ACT 1981</w:t>
      </w:r>
    </w:p>
    <w:p w14:paraId="7A546885" w14:textId="77777777" w:rsidR="00B4044F" w:rsidRPr="00C34FEB" w:rsidRDefault="00B4044F" w:rsidP="00B4044F">
      <w:pPr>
        <w:spacing w:line="360" w:lineRule="auto"/>
        <w:jc w:val="both"/>
        <w:rPr>
          <w:rFonts w:ascii="Times New Roman" w:hAnsi="Times New Roman" w:cs="Times New Roman"/>
          <w:b/>
          <w:bCs/>
          <w:sz w:val="24"/>
          <w:szCs w:val="24"/>
        </w:rPr>
      </w:pPr>
    </w:p>
    <w:p w14:paraId="133AA9A2" w14:textId="77777777" w:rsidR="00B4044F" w:rsidRPr="00C34FEB" w:rsidRDefault="00B4044F" w:rsidP="00B4044F">
      <w:pPr>
        <w:spacing w:line="360" w:lineRule="auto"/>
        <w:jc w:val="both"/>
        <w:rPr>
          <w:rFonts w:ascii="Times New Roman" w:hAnsi="Times New Roman" w:cs="Times New Roman"/>
          <w:b/>
          <w:bCs/>
          <w:sz w:val="24"/>
          <w:szCs w:val="24"/>
        </w:rPr>
      </w:pPr>
      <w:r w:rsidRPr="00C34FEB">
        <w:rPr>
          <w:rFonts w:ascii="Times New Roman" w:hAnsi="Times New Roman" w:cs="Times New Roman"/>
          <w:b/>
          <w:bCs/>
          <w:sz w:val="24"/>
          <w:szCs w:val="24"/>
        </w:rPr>
        <w:t>BETWEEN:</w:t>
      </w:r>
    </w:p>
    <w:p w14:paraId="4C8A744F" w14:textId="77777777" w:rsidR="00B4044F" w:rsidRDefault="00B4044F" w:rsidP="00C26559">
      <w:pPr>
        <w:spacing w:line="240" w:lineRule="auto"/>
        <w:jc w:val="both"/>
        <w:rPr>
          <w:rFonts w:ascii="Times New Roman" w:hAnsi="Times New Roman" w:cs="Times New Roman"/>
          <w:b/>
          <w:bCs/>
          <w:sz w:val="24"/>
          <w:szCs w:val="24"/>
        </w:rPr>
      </w:pPr>
    </w:p>
    <w:p w14:paraId="2AA95271" w14:textId="77777777" w:rsidR="00384355" w:rsidRPr="00C34FEB" w:rsidRDefault="00384355" w:rsidP="00384355">
      <w:pPr>
        <w:pStyle w:val="NoSpacing"/>
      </w:pPr>
    </w:p>
    <w:p w14:paraId="769CC6F9" w14:textId="77777777" w:rsidR="00B4044F" w:rsidRDefault="00B4044F" w:rsidP="00C26559">
      <w:pPr>
        <w:pStyle w:val="NoSpacing"/>
        <w:jc w:val="center"/>
        <w:rPr>
          <w:rFonts w:ascii="Times New Roman" w:hAnsi="Times New Roman" w:cs="Times New Roman"/>
          <w:b/>
          <w:sz w:val="24"/>
        </w:rPr>
      </w:pPr>
      <w:r w:rsidRPr="00C9533E">
        <w:rPr>
          <w:rFonts w:ascii="Times New Roman" w:hAnsi="Times New Roman" w:cs="Times New Roman"/>
          <w:b/>
          <w:sz w:val="24"/>
        </w:rPr>
        <w:t>OASIS INVESTMENT II MASTER FUND LIMITED AND OTHERS</w:t>
      </w:r>
    </w:p>
    <w:p w14:paraId="778A3B36" w14:textId="77777777" w:rsidR="00B4044F" w:rsidRDefault="00B4044F" w:rsidP="00C26559">
      <w:pPr>
        <w:pStyle w:val="NoSpacing"/>
        <w:jc w:val="right"/>
        <w:rPr>
          <w:rFonts w:ascii="Times New Roman" w:hAnsi="Times New Roman" w:cs="Times New Roman"/>
          <w:b/>
          <w:sz w:val="24"/>
        </w:rPr>
      </w:pPr>
      <w:r w:rsidRPr="00C9533E">
        <w:rPr>
          <w:rFonts w:ascii="Times New Roman" w:hAnsi="Times New Roman" w:cs="Times New Roman"/>
          <w:b/>
          <w:sz w:val="24"/>
        </w:rPr>
        <w:t>Plaintiffs</w:t>
      </w:r>
    </w:p>
    <w:p w14:paraId="0D0E7118" w14:textId="77777777" w:rsidR="00B4044F" w:rsidRPr="00C9533E" w:rsidRDefault="00B4044F" w:rsidP="00C26559">
      <w:pPr>
        <w:pStyle w:val="NoSpacing"/>
        <w:jc w:val="right"/>
        <w:rPr>
          <w:rFonts w:ascii="Times New Roman" w:hAnsi="Times New Roman" w:cs="Times New Roman"/>
          <w:b/>
        </w:rPr>
      </w:pPr>
    </w:p>
    <w:p w14:paraId="7E155D89" w14:textId="77777777" w:rsidR="00B4044F" w:rsidRDefault="00B4044F" w:rsidP="00C26559">
      <w:pPr>
        <w:spacing w:line="240" w:lineRule="auto"/>
        <w:jc w:val="center"/>
        <w:rPr>
          <w:rFonts w:ascii="Times New Roman" w:hAnsi="Times New Roman" w:cs="Times New Roman"/>
          <w:b/>
          <w:bCs/>
          <w:sz w:val="24"/>
          <w:szCs w:val="24"/>
        </w:rPr>
      </w:pPr>
      <w:r w:rsidRPr="00C34FEB">
        <w:rPr>
          <w:rFonts w:ascii="Times New Roman" w:hAnsi="Times New Roman" w:cs="Times New Roman"/>
          <w:b/>
          <w:bCs/>
          <w:sz w:val="24"/>
          <w:szCs w:val="24"/>
        </w:rPr>
        <w:t>-and-</w:t>
      </w:r>
    </w:p>
    <w:p w14:paraId="58847302" w14:textId="77777777" w:rsidR="00384355" w:rsidRPr="00C34FEB" w:rsidRDefault="00384355" w:rsidP="00C26559">
      <w:pPr>
        <w:spacing w:line="240" w:lineRule="auto"/>
        <w:jc w:val="center"/>
        <w:rPr>
          <w:rFonts w:ascii="Times New Roman" w:hAnsi="Times New Roman" w:cs="Times New Roman"/>
          <w:b/>
          <w:bCs/>
          <w:sz w:val="24"/>
          <w:szCs w:val="24"/>
        </w:rPr>
      </w:pPr>
    </w:p>
    <w:p w14:paraId="14B25D57" w14:textId="77777777" w:rsidR="00B4044F" w:rsidRPr="00C9533E" w:rsidRDefault="00B4044F" w:rsidP="00C26559">
      <w:pPr>
        <w:pStyle w:val="NoSpacing"/>
        <w:jc w:val="center"/>
        <w:rPr>
          <w:rFonts w:ascii="Times New Roman" w:hAnsi="Times New Roman" w:cs="Times New Roman"/>
          <w:b/>
          <w:sz w:val="24"/>
        </w:rPr>
      </w:pPr>
      <w:r w:rsidRPr="00C9533E">
        <w:rPr>
          <w:rFonts w:ascii="Times New Roman" w:hAnsi="Times New Roman" w:cs="Times New Roman"/>
          <w:b/>
          <w:sz w:val="24"/>
        </w:rPr>
        <w:t>(1) JARDINE STRATEGIC HOLDINGS LIMITED</w:t>
      </w:r>
    </w:p>
    <w:p w14:paraId="19B37CCB" w14:textId="77777777" w:rsidR="00B4044F" w:rsidRDefault="00B4044F" w:rsidP="00C26559">
      <w:pPr>
        <w:pStyle w:val="NoSpacing"/>
        <w:jc w:val="center"/>
      </w:pPr>
      <w:r w:rsidRPr="00C9533E">
        <w:rPr>
          <w:rFonts w:ascii="Times New Roman" w:hAnsi="Times New Roman" w:cs="Times New Roman"/>
          <w:b/>
          <w:sz w:val="24"/>
        </w:rPr>
        <w:t>(2) JARDINE STRATEGIC LIMITED</w:t>
      </w:r>
    </w:p>
    <w:p w14:paraId="15C73557" w14:textId="1D932ECC" w:rsidR="00B4044F" w:rsidRPr="002A69E9" w:rsidRDefault="00645F7F" w:rsidP="00C26559">
      <w:pPr>
        <w:pStyle w:val="NoSpacing"/>
        <w:jc w:val="right"/>
        <w:rPr>
          <w:rFonts w:ascii="Times New Roman" w:hAnsi="Times New Roman" w:cs="Times New Roman"/>
          <w:b/>
        </w:rPr>
      </w:pPr>
      <w:r>
        <w:rPr>
          <w:rFonts w:ascii="Times New Roman" w:hAnsi="Times New Roman" w:cs="Times New Roman"/>
          <w:b/>
          <w:sz w:val="24"/>
        </w:rPr>
        <w:t>Company</w:t>
      </w:r>
    </w:p>
    <w:p w14:paraId="700ECD73" w14:textId="7A341158" w:rsidR="00C72057" w:rsidRDefault="00C72057" w:rsidP="00384355">
      <w:pPr>
        <w:pStyle w:val="NoSpacing"/>
      </w:pPr>
    </w:p>
    <w:p w14:paraId="6C3CF26F" w14:textId="77777777" w:rsidR="00384355" w:rsidRDefault="00384355" w:rsidP="00384355">
      <w:pPr>
        <w:pBdr>
          <w:bottom w:val="single" w:sz="12" w:space="1" w:color="auto"/>
        </w:pBdr>
        <w:spacing w:line="240" w:lineRule="auto"/>
      </w:pPr>
    </w:p>
    <w:p w14:paraId="3CCC7CDD" w14:textId="77777777" w:rsidR="00384355" w:rsidRDefault="00384355" w:rsidP="00B4044F">
      <w:pPr>
        <w:spacing w:line="360" w:lineRule="auto"/>
        <w:jc w:val="both"/>
        <w:rPr>
          <w:rFonts w:ascii="Times New Roman" w:hAnsi="Times New Roman" w:cs="Times New Roman"/>
          <w:b/>
          <w:bCs/>
          <w:sz w:val="24"/>
          <w:szCs w:val="24"/>
        </w:rPr>
      </w:pPr>
    </w:p>
    <w:p w14:paraId="695EB024" w14:textId="77777777" w:rsidR="00B4044F" w:rsidRPr="00C34FEB" w:rsidRDefault="00B4044F" w:rsidP="00B4044F">
      <w:pPr>
        <w:spacing w:line="360" w:lineRule="auto"/>
        <w:jc w:val="both"/>
        <w:rPr>
          <w:rFonts w:ascii="Times New Roman" w:hAnsi="Times New Roman" w:cs="Times New Roman"/>
          <w:b/>
          <w:bCs/>
          <w:sz w:val="24"/>
          <w:szCs w:val="24"/>
        </w:rPr>
      </w:pPr>
      <w:r w:rsidRPr="00C34FEB">
        <w:rPr>
          <w:rFonts w:ascii="Times New Roman" w:hAnsi="Times New Roman" w:cs="Times New Roman"/>
          <w:b/>
          <w:bCs/>
          <w:sz w:val="24"/>
          <w:szCs w:val="24"/>
        </w:rPr>
        <w:lastRenderedPageBreak/>
        <w:t>Before</w:t>
      </w:r>
      <w:r>
        <w:rPr>
          <w:rFonts w:ascii="Times New Roman" w:hAnsi="Times New Roman" w:cs="Times New Roman"/>
          <w:b/>
          <w:bCs/>
          <w:sz w:val="24"/>
          <w:szCs w:val="24"/>
        </w:rPr>
        <w:t xml:space="preserve">: </w:t>
      </w:r>
      <w:r w:rsidRPr="00C9533E">
        <w:rPr>
          <w:rFonts w:ascii="Times New Roman" w:hAnsi="Times New Roman" w:cs="Times New Roman"/>
          <w:bCs/>
          <w:sz w:val="24"/>
          <w:szCs w:val="24"/>
        </w:rPr>
        <w:t>The Hon. Chief Justice Hargun</w:t>
      </w:r>
    </w:p>
    <w:p w14:paraId="7098561A" w14:textId="6A431C61" w:rsidR="00B4044F" w:rsidRPr="00C34FEB" w:rsidRDefault="00B4044F" w:rsidP="00B4044F">
      <w:pPr>
        <w:spacing w:line="360" w:lineRule="auto"/>
        <w:ind w:left="1440" w:hanging="1440"/>
        <w:jc w:val="both"/>
        <w:rPr>
          <w:rFonts w:ascii="Times New Roman" w:hAnsi="Times New Roman" w:cs="Times New Roman"/>
          <w:b/>
          <w:bCs/>
          <w:sz w:val="24"/>
          <w:szCs w:val="24"/>
        </w:rPr>
      </w:pPr>
      <w:r>
        <w:rPr>
          <w:rFonts w:ascii="Times New Roman" w:hAnsi="Times New Roman" w:cs="Times New Roman"/>
          <w:b/>
          <w:bCs/>
          <w:sz w:val="24"/>
          <w:szCs w:val="24"/>
        </w:rPr>
        <w:t>Appearances:</w:t>
      </w:r>
      <w:r>
        <w:rPr>
          <w:rFonts w:ascii="Times New Roman" w:hAnsi="Times New Roman" w:cs="Times New Roman"/>
          <w:b/>
          <w:bCs/>
          <w:sz w:val="24"/>
          <w:szCs w:val="24"/>
        </w:rPr>
        <w:tab/>
      </w:r>
      <w:r w:rsidRPr="00C9533E">
        <w:rPr>
          <w:rFonts w:ascii="Times New Roman" w:hAnsi="Times New Roman" w:cs="Times New Roman"/>
          <w:bCs/>
          <w:sz w:val="24"/>
          <w:szCs w:val="24"/>
        </w:rPr>
        <w:t xml:space="preserve">Jonathan Adkin KC, </w:t>
      </w:r>
      <w:r w:rsidR="00585EEE">
        <w:rPr>
          <w:rFonts w:ascii="Times New Roman" w:hAnsi="Times New Roman" w:cs="Times New Roman"/>
          <w:bCs/>
          <w:sz w:val="24"/>
          <w:szCs w:val="24"/>
        </w:rPr>
        <w:t>Charles Hollander</w:t>
      </w:r>
      <w:r w:rsidR="004634D6">
        <w:rPr>
          <w:rFonts w:ascii="Times New Roman" w:hAnsi="Times New Roman" w:cs="Times New Roman"/>
          <w:bCs/>
          <w:sz w:val="24"/>
          <w:szCs w:val="24"/>
        </w:rPr>
        <w:t xml:space="preserve"> KC, </w:t>
      </w:r>
      <w:r>
        <w:rPr>
          <w:rFonts w:ascii="Times New Roman" w:hAnsi="Times New Roman" w:cs="Times New Roman"/>
          <w:bCs/>
          <w:sz w:val="24"/>
          <w:szCs w:val="24"/>
        </w:rPr>
        <w:t>Laura Williamson</w:t>
      </w:r>
      <w:r w:rsidRPr="00C9533E">
        <w:rPr>
          <w:rFonts w:ascii="Times New Roman" w:hAnsi="Times New Roman" w:cs="Times New Roman"/>
          <w:bCs/>
          <w:sz w:val="24"/>
          <w:szCs w:val="24"/>
        </w:rPr>
        <w:t xml:space="preserve"> of Kennedys Chudleigh Limited, Matthew Watson of Cox Hallett Wilkinson Limited, Delroy Duncan KC</w:t>
      </w:r>
      <w:r>
        <w:rPr>
          <w:rFonts w:ascii="Times New Roman" w:hAnsi="Times New Roman" w:cs="Times New Roman"/>
          <w:bCs/>
          <w:sz w:val="24"/>
          <w:szCs w:val="24"/>
        </w:rPr>
        <w:t xml:space="preserve"> and Ryan Hawthorne</w:t>
      </w:r>
      <w:r w:rsidRPr="00C9533E">
        <w:rPr>
          <w:rFonts w:ascii="Times New Roman" w:hAnsi="Times New Roman" w:cs="Times New Roman"/>
          <w:bCs/>
          <w:sz w:val="24"/>
          <w:szCs w:val="24"/>
        </w:rPr>
        <w:t xml:space="preserve"> of Trott and Duncan Limited for the Plaintiffs</w:t>
      </w:r>
    </w:p>
    <w:p w14:paraId="1F2C1B68" w14:textId="77777777" w:rsidR="00B4044F" w:rsidRPr="00C9533E" w:rsidRDefault="00B4044F" w:rsidP="00B4044F">
      <w:pPr>
        <w:spacing w:line="360" w:lineRule="auto"/>
        <w:ind w:left="1440"/>
        <w:jc w:val="both"/>
        <w:rPr>
          <w:rFonts w:ascii="Times New Roman" w:hAnsi="Times New Roman" w:cs="Times New Roman"/>
          <w:bCs/>
          <w:sz w:val="24"/>
          <w:szCs w:val="24"/>
        </w:rPr>
      </w:pPr>
      <w:r w:rsidRPr="00C9533E">
        <w:rPr>
          <w:rFonts w:ascii="Times New Roman" w:hAnsi="Times New Roman" w:cs="Times New Roman"/>
          <w:bCs/>
          <w:sz w:val="24"/>
          <w:szCs w:val="24"/>
        </w:rPr>
        <w:t xml:space="preserve">Martin Moore </w:t>
      </w:r>
      <w:r>
        <w:rPr>
          <w:rFonts w:ascii="Times New Roman" w:hAnsi="Times New Roman" w:cs="Times New Roman"/>
          <w:bCs/>
          <w:sz w:val="24"/>
          <w:szCs w:val="24"/>
        </w:rPr>
        <w:t>KC</w:t>
      </w:r>
      <w:r w:rsidRPr="00C9533E">
        <w:rPr>
          <w:rFonts w:ascii="Times New Roman" w:hAnsi="Times New Roman" w:cs="Times New Roman"/>
          <w:bCs/>
          <w:sz w:val="24"/>
          <w:szCs w:val="24"/>
        </w:rPr>
        <w:t xml:space="preserve"> and John Wasty of Appleby (Bermuda) Limited for Jardine Strategic Holdings Limited</w:t>
      </w:r>
      <w:r>
        <w:rPr>
          <w:rFonts w:ascii="Times New Roman" w:hAnsi="Times New Roman" w:cs="Times New Roman"/>
          <w:bCs/>
          <w:sz w:val="24"/>
          <w:szCs w:val="24"/>
        </w:rPr>
        <w:t xml:space="preserve"> and Jardine Strategic Limited</w:t>
      </w:r>
    </w:p>
    <w:p w14:paraId="7A243746" w14:textId="2DCB7333" w:rsidR="00B4044F" w:rsidRPr="00C34FEB" w:rsidRDefault="00B4044F" w:rsidP="00B4044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Dates of Hearing: </w:t>
      </w:r>
      <w:r>
        <w:rPr>
          <w:rFonts w:ascii="Times New Roman" w:hAnsi="Times New Roman" w:cs="Times New Roman"/>
          <w:bCs/>
          <w:sz w:val="24"/>
          <w:szCs w:val="24"/>
        </w:rPr>
        <w:t>12 – 16 December</w:t>
      </w:r>
      <w:r w:rsidRPr="00C9533E">
        <w:rPr>
          <w:rFonts w:ascii="Times New Roman" w:hAnsi="Times New Roman" w:cs="Times New Roman"/>
          <w:bCs/>
          <w:sz w:val="24"/>
          <w:szCs w:val="24"/>
        </w:rPr>
        <w:t xml:space="preserve"> 2022</w:t>
      </w:r>
    </w:p>
    <w:p w14:paraId="5A69781B" w14:textId="19F2C793" w:rsidR="00B4044F" w:rsidRPr="00C34FEB" w:rsidRDefault="00B4044F" w:rsidP="00B4044F">
      <w:pPr>
        <w:spacing w:line="360" w:lineRule="auto"/>
        <w:jc w:val="both"/>
        <w:rPr>
          <w:rFonts w:ascii="Times New Roman" w:hAnsi="Times New Roman" w:cs="Times New Roman"/>
          <w:b/>
          <w:bCs/>
          <w:sz w:val="24"/>
          <w:szCs w:val="24"/>
        </w:rPr>
      </w:pPr>
      <w:r w:rsidRPr="00C34FEB">
        <w:rPr>
          <w:rFonts w:ascii="Times New Roman" w:hAnsi="Times New Roman" w:cs="Times New Roman"/>
          <w:b/>
          <w:bCs/>
          <w:sz w:val="24"/>
          <w:szCs w:val="24"/>
        </w:rPr>
        <w:t>Date of Judgment:</w:t>
      </w:r>
      <w:r w:rsidR="00223D9B">
        <w:rPr>
          <w:rFonts w:ascii="Times New Roman" w:hAnsi="Times New Roman" w:cs="Times New Roman"/>
          <w:b/>
          <w:bCs/>
          <w:sz w:val="24"/>
          <w:szCs w:val="24"/>
        </w:rPr>
        <w:t xml:space="preserve"> </w:t>
      </w:r>
      <w:r w:rsidR="00223D9B" w:rsidRPr="00170B07">
        <w:rPr>
          <w:rFonts w:ascii="Times New Roman" w:hAnsi="Times New Roman" w:cs="Times New Roman"/>
          <w:sz w:val="24"/>
          <w:szCs w:val="24"/>
        </w:rPr>
        <w:t>14 February 2023</w:t>
      </w:r>
    </w:p>
    <w:p w14:paraId="1B31916E" w14:textId="77777777" w:rsidR="00B4044F" w:rsidRPr="00C34FEB" w:rsidRDefault="00B4044F" w:rsidP="00B4044F">
      <w:pPr>
        <w:spacing w:line="360" w:lineRule="auto"/>
        <w:jc w:val="both"/>
        <w:rPr>
          <w:rFonts w:ascii="Times New Roman" w:hAnsi="Times New Roman" w:cs="Times New Roman"/>
          <w:b/>
          <w:bCs/>
          <w:sz w:val="24"/>
          <w:szCs w:val="24"/>
        </w:rPr>
      </w:pPr>
    </w:p>
    <w:p w14:paraId="57A4F8D5" w14:textId="331EB0D0" w:rsidR="00B4044F" w:rsidRDefault="00B4044F" w:rsidP="00B4044F">
      <w:pPr>
        <w:spacing w:line="360" w:lineRule="auto"/>
        <w:jc w:val="center"/>
        <w:rPr>
          <w:rFonts w:ascii="Times New Roman" w:hAnsi="Times New Roman" w:cs="Times New Roman"/>
          <w:b/>
          <w:bCs/>
          <w:sz w:val="24"/>
          <w:szCs w:val="24"/>
        </w:rPr>
      </w:pPr>
      <w:r w:rsidRPr="00C34FEB">
        <w:rPr>
          <w:rFonts w:ascii="Times New Roman" w:hAnsi="Times New Roman" w:cs="Times New Roman"/>
          <w:b/>
          <w:bCs/>
          <w:sz w:val="24"/>
          <w:szCs w:val="24"/>
        </w:rPr>
        <w:t>JUDGMENT</w:t>
      </w:r>
    </w:p>
    <w:p w14:paraId="4A61A508" w14:textId="0D64F19D" w:rsidR="00FB3ACF" w:rsidRPr="00A051A9" w:rsidRDefault="003853DE" w:rsidP="00384355">
      <w:pPr>
        <w:spacing w:line="360" w:lineRule="auto"/>
        <w:jc w:val="center"/>
        <w:rPr>
          <w:rFonts w:ascii="Times New Roman" w:hAnsi="Times New Roman" w:cs="Times New Roman"/>
          <w:i/>
          <w:iCs/>
          <w:sz w:val="24"/>
          <w:szCs w:val="24"/>
        </w:rPr>
      </w:pPr>
      <w:r>
        <w:rPr>
          <w:rFonts w:ascii="Times New Roman" w:hAnsi="Times New Roman" w:cs="Times New Roman"/>
          <w:i/>
          <w:iCs/>
          <w:sz w:val="24"/>
          <w:szCs w:val="24"/>
        </w:rPr>
        <w:t>W</w:t>
      </w:r>
      <w:r w:rsidR="00A051A9" w:rsidRPr="00A051A9">
        <w:rPr>
          <w:rFonts w:ascii="Times New Roman" w:hAnsi="Times New Roman" w:cs="Times New Roman"/>
          <w:i/>
          <w:iCs/>
          <w:sz w:val="24"/>
          <w:szCs w:val="24"/>
        </w:rPr>
        <w:t>hether documents held by</w:t>
      </w:r>
      <w:r w:rsidR="00A051A9">
        <w:rPr>
          <w:rFonts w:ascii="Times New Roman" w:hAnsi="Times New Roman" w:cs="Times New Roman"/>
          <w:i/>
          <w:iCs/>
          <w:sz w:val="24"/>
          <w:szCs w:val="24"/>
        </w:rPr>
        <w:t xml:space="preserve"> publicly listed subsidiary companies are within the power custody and control of their holding company</w:t>
      </w:r>
      <w:r w:rsidR="000B727B">
        <w:rPr>
          <w:rFonts w:ascii="Times New Roman" w:hAnsi="Times New Roman" w:cs="Times New Roman"/>
          <w:i/>
          <w:iCs/>
          <w:sz w:val="24"/>
          <w:szCs w:val="24"/>
        </w:rPr>
        <w:t>; the test for “practical control”; whether there existed</w:t>
      </w:r>
      <w:r w:rsidR="008C7356">
        <w:rPr>
          <w:rFonts w:ascii="Times New Roman" w:hAnsi="Times New Roman" w:cs="Times New Roman"/>
          <w:i/>
          <w:iCs/>
          <w:sz w:val="24"/>
          <w:szCs w:val="24"/>
        </w:rPr>
        <w:t xml:space="preserve"> an arrangement or understanding whereby the parent company would have free and unfettered access to the documents held by </w:t>
      </w:r>
      <w:r w:rsidR="00A2346A">
        <w:rPr>
          <w:rFonts w:ascii="Times New Roman" w:hAnsi="Times New Roman" w:cs="Times New Roman"/>
          <w:i/>
          <w:iCs/>
          <w:sz w:val="24"/>
          <w:szCs w:val="24"/>
        </w:rPr>
        <w:t>its</w:t>
      </w:r>
      <w:r w:rsidR="008C7356">
        <w:rPr>
          <w:rFonts w:ascii="Times New Roman" w:hAnsi="Times New Roman" w:cs="Times New Roman"/>
          <w:i/>
          <w:iCs/>
          <w:sz w:val="24"/>
          <w:szCs w:val="24"/>
        </w:rPr>
        <w:t xml:space="preserve"> publicly listed subsidiary companies; whether English rule relating to joint privilege between a company and its shareholders is part of Bermuda law</w:t>
      </w:r>
      <w:r w:rsidR="008C3E88">
        <w:rPr>
          <w:rFonts w:ascii="Times New Roman" w:hAnsi="Times New Roman" w:cs="Times New Roman"/>
          <w:i/>
          <w:iCs/>
          <w:sz w:val="24"/>
          <w:szCs w:val="24"/>
        </w:rPr>
        <w:t>; whether a past shareholder may have access to documents of the company on the ground that the</w:t>
      </w:r>
      <w:r w:rsidR="003A6A02">
        <w:rPr>
          <w:rFonts w:ascii="Times New Roman" w:hAnsi="Times New Roman" w:cs="Times New Roman"/>
          <w:i/>
          <w:iCs/>
          <w:sz w:val="24"/>
          <w:szCs w:val="24"/>
        </w:rPr>
        <w:t>y are</w:t>
      </w:r>
      <w:r w:rsidR="008C3E88">
        <w:rPr>
          <w:rFonts w:ascii="Times New Roman" w:hAnsi="Times New Roman" w:cs="Times New Roman"/>
          <w:i/>
          <w:iCs/>
          <w:sz w:val="24"/>
          <w:szCs w:val="24"/>
        </w:rPr>
        <w:t xml:space="preserve"> subject to joint privilege; whether appraisal proceedings under section 106 of the Companies Act 1981 are hostile proceedings against the company</w:t>
      </w:r>
      <w:r w:rsidR="00073C94">
        <w:rPr>
          <w:rFonts w:ascii="Times New Roman" w:hAnsi="Times New Roman" w:cs="Times New Roman"/>
          <w:i/>
          <w:iCs/>
          <w:sz w:val="24"/>
          <w:szCs w:val="24"/>
        </w:rPr>
        <w:t xml:space="preserve"> and </w:t>
      </w:r>
      <w:r w:rsidR="00BD707D">
        <w:rPr>
          <w:rFonts w:ascii="Times New Roman" w:hAnsi="Times New Roman" w:cs="Times New Roman"/>
          <w:i/>
          <w:iCs/>
          <w:sz w:val="24"/>
          <w:szCs w:val="24"/>
        </w:rPr>
        <w:t xml:space="preserve">may </w:t>
      </w:r>
      <w:r w:rsidR="00073C94">
        <w:rPr>
          <w:rFonts w:ascii="Times New Roman" w:hAnsi="Times New Roman" w:cs="Times New Roman"/>
          <w:i/>
          <w:iCs/>
          <w:sz w:val="24"/>
          <w:szCs w:val="24"/>
        </w:rPr>
        <w:t>constitute an exception to the joint privilege between a company and its shareholders</w:t>
      </w:r>
    </w:p>
    <w:p w14:paraId="3B71EF68" w14:textId="1CFA4C70" w:rsidR="00B4044F" w:rsidRDefault="00B4044F" w:rsidP="000A625C">
      <w:pPr>
        <w:spacing w:line="360" w:lineRule="auto"/>
        <w:jc w:val="center"/>
        <w:rPr>
          <w:rFonts w:ascii="Times New Roman" w:hAnsi="Times New Roman" w:cs="Times New Roman"/>
          <w:b/>
          <w:bCs/>
          <w:sz w:val="24"/>
          <w:szCs w:val="24"/>
        </w:rPr>
      </w:pPr>
    </w:p>
    <w:p w14:paraId="7E04A236" w14:textId="12CFDEF1" w:rsidR="00125216" w:rsidRDefault="00125216" w:rsidP="00125216">
      <w:pPr>
        <w:spacing w:line="360" w:lineRule="auto"/>
        <w:rPr>
          <w:rFonts w:ascii="Times New Roman" w:hAnsi="Times New Roman" w:cs="Times New Roman"/>
          <w:b/>
          <w:bCs/>
          <w:sz w:val="24"/>
          <w:szCs w:val="24"/>
          <w:u w:val="single"/>
        </w:rPr>
      </w:pPr>
      <w:r w:rsidRPr="00C34FEB">
        <w:rPr>
          <w:rFonts w:ascii="Times New Roman" w:hAnsi="Times New Roman" w:cs="Times New Roman"/>
          <w:b/>
          <w:bCs/>
          <w:sz w:val="24"/>
          <w:szCs w:val="24"/>
          <w:u w:val="single"/>
        </w:rPr>
        <w:t>HARGUN CJ</w:t>
      </w:r>
    </w:p>
    <w:p w14:paraId="4BA877A0" w14:textId="77777777" w:rsidR="00125216" w:rsidRPr="000A625C" w:rsidRDefault="00125216" w:rsidP="00125216">
      <w:pPr>
        <w:spacing w:line="360" w:lineRule="auto"/>
        <w:rPr>
          <w:rFonts w:ascii="Times New Roman" w:hAnsi="Times New Roman" w:cs="Times New Roman"/>
          <w:b/>
          <w:bCs/>
          <w:sz w:val="24"/>
          <w:szCs w:val="24"/>
        </w:rPr>
      </w:pPr>
    </w:p>
    <w:p w14:paraId="23A85A73" w14:textId="3CBE0C1B" w:rsidR="00B4044F" w:rsidRPr="0097330C" w:rsidRDefault="00B4044F" w:rsidP="0097330C">
      <w:pPr>
        <w:pStyle w:val="ListParagraph"/>
        <w:numPr>
          <w:ilvl w:val="0"/>
          <w:numId w:val="4"/>
        </w:numPr>
        <w:spacing w:line="360" w:lineRule="auto"/>
        <w:rPr>
          <w:rFonts w:ascii="Times New Roman" w:hAnsi="Times New Roman" w:cs="Times New Roman"/>
          <w:b/>
          <w:bCs/>
          <w:sz w:val="24"/>
          <w:szCs w:val="24"/>
        </w:rPr>
      </w:pPr>
      <w:r w:rsidRPr="0097330C">
        <w:rPr>
          <w:rFonts w:ascii="Times New Roman" w:hAnsi="Times New Roman" w:cs="Times New Roman"/>
          <w:b/>
          <w:bCs/>
          <w:sz w:val="24"/>
          <w:szCs w:val="24"/>
        </w:rPr>
        <w:t>Introduction</w:t>
      </w:r>
    </w:p>
    <w:p w14:paraId="1ADE08C0" w14:textId="53025E61" w:rsidR="00B4044F" w:rsidRPr="000A625C" w:rsidRDefault="00B4044F" w:rsidP="000A625C">
      <w:pPr>
        <w:spacing w:line="360" w:lineRule="auto"/>
        <w:rPr>
          <w:rFonts w:ascii="Times New Roman" w:hAnsi="Times New Roman" w:cs="Times New Roman"/>
          <w:b/>
          <w:bCs/>
          <w:sz w:val="24"/>
          <w:szCs w:val="24"/>
        </w:rPr>
      </w:pPr>
    </w:p>
    <w:p w14:paraId="17FC8755" w14:textId="305B7445" w:rsidR="008503AE" w:rsidRPr="000A625C" w:rsidRDefault="008503AE" w:rsidP="000A625C">
      <w:pPr>
        <w:pStyle w:val="ListParagraph"/>
        <w:numPr>
          <w:ilvl w:val="0"/>
          <w:numId w:val="1"/>
        </w:numPr>
        <w:spacing w:line="360" w:lineRule="auto"/>
        <w:jc w:val="both"/>
        <w:rPr>
          <w:rFonts w:ascii="Times New Roman" w:hAnsi="Times New Roman" w:cs="Times New Roman"/>
          <w:sz w:val="24"/>
          <w:szCs w:val="24"/>
        </w:rPr>
      </w:pPr>
      <w:r w:rsidRPr="000A625C">
        <w:rPr>
          <w:rFonts w:ascii="Times New Roman" w:hAnsi="Times New Roman" w:cs="Times New Roman"/>
          <w:sz w:val="24"/>
          <w:szCs w:val="24"/>
        </w:rPr>
        <w:t>T</w:t>
      </w:r>
      <w:r w:rsidR="00B4044F" w:rsidRPr="000A625C">
        <w:rPr>
          <w:rFonts w:ascii="Times New Roman" w:hAnsi="Times New Roman" w:cs="Times New Roman"/>
          <w:sz w:val="24"/>
          <w:szCs w:val="24"/>
        </w:rPr>
        <w:t>hese proceedings</w:t>
      </w:r>
      <w:r w:rsidRPr="000A625C">
        <w:rPr>
          <w:rFonts w:ascii="Times New Roman" w:hAnsi="Times New Roman" w:cs="Times New Roman"/>
          <w:sz w:val="24"/>
          <w:szCs w:val="24"/>
        </w:rPr>
        <w:t xml:space="preserve"> concern</w:t>
      </w:r>
      <w:r w:rsidR="00B4044F" w:rsidRPr="000A625C">
        <w:rPr>
          <w:rFonts w:ascii="Times New Roman" w:hAnsi="Times New Roman" w:cs="Times New Roman"/>
          <w:sz w:val="24"/>
          <w:szCs w:val="24"/>
        </w:rPr>
        <w:t>, as set out in the earlier Judgment of this Court dated 24 November 2022,</w:t>
      </w:r>
      <w:r w:rsidRPr="000A625C">
        <w:rPr>
          <w:rFonts w:ascii="Times New Roman" w:hAnsi="Times New Roman" w:cs="Times New Roman"/>
          <w:sz w:val="24"/>
          <w:szCs w:val="24"/>
        </w:rPr>
        <w:t xml:space="preserve"> </w:t>
      </w:r>
      <w:r w:rsidR="00B4044F" w:rsidRPr="000A625C">
        <w:rPr>
          <w:rFonts w:ascii="Times New Roman" w:hAnsi="Times New Roman" w:cs="Times New Roman"/>
          <w:sz w:val="24"/>
          <w:szCs w:val="24"/>
        </w:rPr>
        <w:t xml:space="preserve">18 separate actions commenced by Originating Summonses </w:t>
      </w:r>
      <w:r w:rsidRPr="000A625C">
        <w:rPr>
          <w:rFonts w:ascii="Times New Roman" w:hAnsi="Times New Roman" w:cs="Times New Roman"/>
          <w:sz w:val="24"/>
          <w:szCs w:val="24"/>
        </w:rPr>
        <w:t xml:space="preserve">whereby </w:t>
      </w:r>
      <w:r w:rsidR="00B4044F" w:rsidRPr="000A625C">
        <w:rPr>
          <w:rFonts w:ascii="Times New Roman" w:hAnsi="Times New Roman" w:cs="Times New Roman"/>
          <w:sz w:val="24"/>
          <w:szCs w:val="24"/>
        </w:rPr>
        <w:t xml:space="preserve">the Plaintiffs seek, </w:t>
      </w:r>
      <w:r w:rsidR="00B4044F" w:rsidRPr="000A625C">
        <w:rPr>
          <w:rFonts w:ascii="Times New Roman" w:hAnsi="Times New Roman" w:cs="Times New Roman"/>
          <w:sz w:val="24"/>
          <w:szCs w:val="24"/>
        </w:rPr>
        <w:lastRenderedPageBreak/>
        <w:t>pursuant to the terms of section 106(6) of the Companies Act 1981 (“</w:t>
      </w:r>
      <w:r w:rsidR="00B4044F" w:rsidRPr="000A625C">
        <w:rPr>
          <w:rFonts w:ascii="Times New Roman" w:hAnsi="Times New Roman" w:cs="Times New Roman"/>
          <w:b/>
          <w:bCs/>
          <w:sz w:val="24"/>
          <w:szCs w:val="24"/>
        </w:rPr>
        <w:t>the Act</w:t>
      </w:r>
      <w:r w:rsidR="00B4044F" w:rsidRPr="000A625C">
        <w:rPr>
          <w:rFonts w:ascii="Times New Roman" w:hAnsi="Times New Roman" w:cs="Times New Roman"/>
          <w:sz w:val="24"/>
          <w:szCs w:val="24"/>
        </w:rPr>
        <w:t>”), appraisal of the fair value of their shares in Jardine Strategic Holdings Limited (“</w:t>
      </w:r>
      <w:r w:rsidR="00B4044F" w:rsidRPr="000A625C">
        <w:rPr>
          <w:rFonts w:ascii="Times New Roman" w:hAnsi="Times New Roman" w:cs="Times New Roman"/>
          <w:b/>
          <w:bCs/>
          <w:sz w:val="24"/>
          <w:szCs w:val="24"/>
        </w:rPr>
        <w:t xml:space="preserve">the </w:t>
      </w:r>
      <w:r w:rsidR="005418D0">
        <w:rPr>
          <w:rFonts w:ascii="Times New Roman" w:hAnsi="Times New Roman" w:cs="Times New Roman"/>
          <w:b/>
          <w:bCs/>
          <w:sz w:val="24"/>
          <w:szCs w:val="24"/>
        </w:rPr>
        <w:t>Company</w:t>
      </w:r>
      <w:r w:rsidR="00B4044F" w:rsidRPr="000A625C">
        <w:rPr>
          <w:rFonts w:ascii="Times New Roman" w:hAnsi="Times New Roman" w:cs="Times New Roman"/>
          <w:sz w:val="24"/>
          <w:szCs w:val="24"/>
        </w:rPr>
        <w:t xml:space="preserve">”). These proceedings arise out of the amalgamation of the </w:t>
      </w:r>
      <w:r w:rsidR="00645F7F">
        <w:rPr>
          <w:rFonts w:ascii="Times New Roman" w:hAnsi="Times New Roman" w:cs="Times New Roman"/>
          <w:sz w:val="24"/>
          <w:szCs w:val="24"/>
        </w:rPr>
        <w:t>Company</w:t>
      </w:r>
      <w:r w:rsidR="00B4044F" w:rsidRPr="000A625C">
        <w:rPr>
          <w:rFonts w:ascii="Times New Roman" w:hAnsi="Times New Roman" w:cs="Times New Roman"/>
          <w:sz w:val="24"/>
          <w:szCs w:val="24"/>
        </w:rPr>
        <w:t xml:space="preserve"> with JMH Bermuda Limited (“</w:t>
      </w:r>
      <w:r w:rsidR="00B4044F" w:rsidRPr="000A625C">
        <w:rPr>
          <w:rFonts w:ascii="Times New Roman" w:hAnsi="Times New Roman" w:cs="Times New Roman"/>
          <w:b/>
          <w:bCs/>
          <w:sz w:val="24"/>
          <w:szCs w:val="24"/>
        </w:rPr>
        <w:t>JMH</w:t>
      </w:r>
      <w:r w:rsidR="00B4044F" w:rsidRPr="000A625C">
        <w:rPr>
          <w:rFonts w:ascii="Times New Roman" w:hAnsi="Times New Roman" w:cs="Times New Roman"/>
          <w:sz w:val="24"/>
          <w:szCs w:val="24"/>
        </w:rPr>
        <w:t>”) on 14 April 2021 (“</w:t>
      </w:r>
      <w:r w:rsidR="00B4044F" w:rsidRPr="000A625C">
        <w:rPr>
          <w:rFonts w:ascii="Times New Roman" w:hAnsi="Times New Roman" w:cs="Times New Roman"/>
          <w:b/>
          <w:bCs/>
          <w:sz w:val="24"/>
          <w:szCs w:val="24"/>
        </w:rPr>
        <w:t>the Amalgamation</w:t>
      </w:r>
      <w:r w:rsidR="00B4044F" w:rsidRPr="000A625C">
        <w:rPr>
          <w:rFonts w:ascii="Times New Roman" w:hAnsi="Times New Roman" w:cs="Times New Roman"/>
          <w:sz w:val="24"/>
          <w:szCs w:val="24"/>
        </w:rPr>
        <w:t xml:space="preserve">”) pursuant to the provisions of the Act, on which date JMH and the </w:t>
      </w:r>
      <w:r w:rsidR="00B8664B">
        <w:rPr>
          <w:rFonts w:ascii="Times New Roman" w:hAnsi="Times New Roman" w:cs="Times New Roman"/>
          <w:sz w:val="24"/>
          <w:szCs w:val="24"/>
        </w:rPr>
        <w:t>Company</w:t>
      </w:r>
      <w:r w:rsidR="00B4044F" w:rsidRPr="000A625C">
        <w:rPr>
          <w:rFonts w:ascii="Times New Roman" w:hAnsi="Times New Roman" w:cs="Times New Roman"/>
          <w:sz w:val="24"/>
          <w:szCs w:val="24"/>
        </w:rPr>
        <w:t xml:space="preserve"> continued as Jardine Strategic Limited (“</w:t>
      </w:r>
      <w:r w:rsidR="00B4044F" w:rsidRPr="000A625C">
        <w:rPr>
          <w:rFonts w:ascii="Times New Roman" w:hAnsi="Times New Roman" w:cs="Times New Roman"/>
          <w:b/>
          <w:bCs/>
          <w:sz w:val="24"/>
          <w:szCs w:val="24"/>
        </w:rPr>
        <w:t>Jardine Strategic</w:t>
      </w:r>
      <w:r w:rsidR="00B4044F" w:rsidRPr="000A625C">
        <w:rPr>
          <w:rFonts w:ascii="Times New Roman" w:hAnsi="Times New Roman" w:cs="Times New Roman"/>
          <w:sz w:val="24"/>
          <w:szCs w:val="24"/>
        </w:rPr>
        <w:t>”)</w:t>
      </w:r>
      <w:r w:rsidR="00F34D1D">
        <w:rPr>
          <w:rFonts w:ascii="Times New Roman" w:hAnsi="Times New Roman" w:cs="Times New Roman"/>
          <w:sz w:val="24"/>
          <w:szCs w:val="24"/>
        </w:rPr>
        <w:t xml:space="preserve">. The </w:t>
      </w:r>
      <w:r w:rsidR="00645F7F">
        <w:rPr>
          <w:rFonts w:ascii="Times New Roman" w:hAnsi="Times New Roman" w:cs="Times New Roman"/>
          <w:sz w:val="24"/>
          <w:szCs w:val="24"/>
        </w:rPr>
        <w:t>Company</w:t>
      </w:r>
      <w:r w:rsidR="00F34D1D">
        <w:rPr>
          <w:rFonts w:ascii="Times New Roman" w:hAnsi="Times New Roman" w:cs="Times New Roman"/>
          <w:sz w:val="24"/>
          <w:szCs w:val="24"/>
        </w:rPr>
        <w:t xml:space="preserve"> and Jardine Strategic are collectively referred to as</w:t>
      </w:r>
      <w:r w:rsidR="004F3ACB">
        <w:rPr>
          <w:rFonts w:ascii="Times New Roman" w:hAnsi="Times New Roman" w:cs="Times New Roman"/>
          <w:sz w:val="24"/>
          <w:szCs w:val="24"/>
        </w:rPr>
        <w:t xml:space="preserve"> “</w:t>
      </w:r>
      <w:r w:rsidR="004F3ACB" w:rsidRPr="004F3ACB">
        <w:rPr>
          <w:rFonts w:ascii="Times New Roman" w:hAnsi="Times New Roman" w:cs="Times New Roman"/>
          <w:b/>
          <w:bCs/>
          <w:sz w:val="24"/>
          <w:szCs w:val="24"/>
        </w:rPr>
        <w:t xml:space="preserve">the </w:t>
      </w:r>
      <w:r w:rsidR="00C41B54">
        <w:rPr>
          <w:rFonts w:ascii="Times New Roman" w:hAnsi="Times New Roman" w:cs="Times New Roman"/>
          <w:b/>
          <w:bCs/>
          <w:sz w:val="24"/>
          <w:szCs w:val="24"/>
        </w:rPr>
        <w:t>Defendants</w:t>
      </w:r>
      <w:r w:rsidR="004F3ACB">
        <w:rPr>
          <w:rFonts w:ascii="Times New Roman" w:hAnsi="Times New Roman" w:cs="Times New Roman"/>
          <w:sz w:val="24"/>
          <w:szCs w:val="24"/>
        </w:rPr>
        <w:t>”.</w:t>
      </w:r>
    </w:p>
    <w:p w14:paraId="65431FE5" w14:textId="77777777" w:rsidR="004B3D89" w:rsidRPr="000A625C" w:rsidRDefault="004B3D89" w:rsidP="000A625C">
      <w:pPr>
        <w:pStyle w:val="ListParagraph"/>
        <w:spacing w:line="360" w:lineRule="auto"/>
        <w:ind w:left="360"/>
        <w:jc w:val="both"/>
        <w:rPr>
          <w:rFonts w:ascii="Times New Roman" w:hAnsi="Times New Roman" w:cs="Times New Roman"/>
          <w:sz w:val="24"/>
          <w:szCs w:val="24"/>
        </w:rPr>
      </w:pPr>
    </w:p>
    <w:p w14:paraId="1F62E835" w14:textId="595CD3D0" w:rsidR="008503AE" w:rsidRPr="000A625C" w:rsidRDefault="00B4044F" w:rsidP="000A625C">
      <w:pPr>
        <w:pStyle w:val="ListParagraph"/>
        <w:numPr>
          <w:ilvl w:val="0"/>
          <w:numId w:val="1"/>
        </w:numPr>
        <w:spacing w:line="360" w:lineRule="auto"/>
        <w:jc w:val="both"/>
        <w:rPr>
          <w:rFonts w:ascii="Times New Roman" w:hAnsi="Times New Roman" w:cs="Times New Roman"/>
          <w:sz w:val="24"/>
          <w:szCs w:val="24"/>
        </w:rPr>
      </w:pPr>
      <w:r w:rsidRPr="000A625C">
        <w:rPr>
          <w:rFonts w:ascii="Times New Roman" w:hAnsi="Times New Roman" w:cs="Times New Roman"/>
          <w:sz w:val="24"/>
          <w:szCs w:val="24"/>
        </w:rPr>
        <w:t>During a five-day hearing in December 2022 the Court heard three applications</w:t>
      </w:r>
      <w:r w:rsidR="004B3D89" w:rsidRPr="000A625C">
        <w:rPr>
          <w:rFonts w:ascii="Times New Roman" w:hAnsi="Times New Roman" w:cs="Times New Roman"/>
          <w:sz w:val="24"/>
          <w:szCs w:val="24"/>
        </w:rPr>
        <w:t xml:space="preserve"> on behalf of the Plaintiffs made by Summons dated 10 August 2022</w:t>
      </w:r>
      <w:r w:rsidR="008503AE" w:rsidRPr="000A625C">
        <w:rPr>
          <w:rFonts w:ascii="Times New Roman" w:hAnsi="Times New Roman" w:cs="Times New Roman"/>
          <w:sz w:val="24"/>
          <w:szCs w:val="24"/>
        </w:rPr>
        <w:t xml:space="preserve">. The first application seeks </w:t>
      </w:r>
      <w:r w:rsidR="008503AE" w:rsidRPr="000A625C">
        <w:rPr>
          <w:rFonts w:ascii="Times New Roman" w:hAnsi="Times New Roman" w:cs="Times New Roman"/>
          <w:bCs/>
          <w:sz w:val="24"/>
          <w:szCs w:val="24"/>
        </w:rPr>
        <w:t xml:space="preserve">an order that the </w:t>
      </w:r>
      <w:r w:rsidR="00396EF4">
        <w:rPr>
          <w:rFonts w:ascii="Times New Roman" w:hAnsi="Times New Roman" w:cs="Times New Roman"/>
          <w:bCs/>
          <w:sz w:val="24"/>
          <w:szCs w:val="24"/>
        </w:rPr>
        <w:t>Defendants</w:t>
      </w:r>
      <w:r w:rsidR="008503AE" w:rsidRPr="000A625C">
        <w:rPr>
          <w:rFonts w:ascii="Times New Roman" w:hAnsi="Times New Roman" w:cs="Times New Roman"/>
          <w:bCs/>
          <w:sz w:val="24"/>
          <w:szCs w:val="24"/>
        </w:rPr>
        <w:t xml:space="preserve"> give discovery on the footing the documents over which they have possession, custody or power</w:t>
      </w:r>
      <w:r w:rsidR="002A3A6E" w:rsidRPr="000A625C">
        <w:rPr>
          <w:rFonts w:ascii="Times New Roman" w:hAnsi="Times New Roman" w:cs="Times New Roman"/>
          <w:bCs/>
          <w:sz w:val="24"/>
          <w:szCs w:val="24"/>
        </w:rPr>
        <w:t xml:space="preserve"> (“</w:t>
      </w:r>
      <w:r w:rsidR="002A3A6E" w:rsidRPr="000A625C">
        <w:rPr>
          <w:rFonts w:ascii="Times New Roman" w:hAnsi="Times New Roman" w:cs="Times New Roman"/>
          <w:b/>
          <w:sz w:val="24"/>
          <w:szCs w:val="24"/>
        </w:rPr>
        <w:t>PCP</w:t>
      </w:r>
      <w:r w:rsidR="002A3A6E" w:rsidRPr="000A625C">
        <w:rPr>
          <w:rFonts w:ascii="Times New Roman" w:hAnsi="Times New Roman" w:cs="Times New Roman"/>
          <w:bCs/>
          <w:sz w:val="24"/>
          <w:szCs w:val="24"/>
        </w:rPr>
        <w:t>”)</w:t>
      </w:r>
      <w:r w:rsidR="008503AE" w:rsidRPr="000A625C">
        <w:rPr>
          <w:rFonts w:ascii="Times New Roman" w:hAnsi="Times New Roman" w:cs="Times New Roman"/>
          <w:bCs/>
          <w:sz w:val="24"/>
          <w:szCs w:val="24"/>
        </w:rPr>
        <w:t xml:space="preserve"> include the documents held by the following </w:t>
      </w:r>
      <w:r w:rsidR="004B3D89" w:rsidRPr="000A625C">
        <w:rPr>
          <w:rFonts w:ascii="Times New Roman" w:hAnsi="Times New Roman" w:cs="Times New Roman"/>
          <w:bCs/>
          <w:sz w:val="24"/>
          <w:szCs w:val="24"/>
        </w:rPr>
        <w:t>subsidiary companies</w:t>
      </w:r>
      <w:r w:rsidR="008503AE" w:rsidRPr="000A625C">
        <w:rPr>
          <w:rFonts w:ascii="Times New Roman" w:hAnsi="Times New Roman" w:cs="Times New Roman"/>
          <w:bCs/>
          <w:sz w:val="24"/>
          <w:szCs w:val="24"/>
        </w:rPr>
        <w:t xml:space="preserve"> or their agents: </w:t>
      </w:r>
    </w:p>
    <w:p w14:paraId="3072F413" w14:textId="77777777" w:rsidR="008503AE" w:rsidRPr="000A625C" w:rsidRDefault="008503AE" w:rsidP="007153FB">
      <w:pPr>
        <w:pStyle w:val="ListParagraph"/>
        <w:numPr>
          <w:ilvl w:val="0"/>
          <w:numId w:val="2"/>
        </w:numPr>
        <w:spacing w:line="276" w:lineRule="auto"/>
        <w:jc w:val="both"/>
        <w:rPr>
          <w:rFonts w:ascii="Times New Roman" w:hAnsi="Times New Roman" w:cs="Times New Roman"/>
          <w:bCs/>
          <w:sz w:val="24"/>
          <w:szCs w:val="24"/>
        </w:rPr>
      </w:pPr>
      <w:r w:rsidRPr="000A625C">
        <w:rPr>
          <w:rFonts w:ascii="Times New Roman" w:hAnsi="Times New Roman" w:cs="Times New Roman"/>
          <w:bCs/>
          <w:sz w:val="24"/>
          <w:szCs w:val="24"/>
        </w:rPr>
        <w:t xml:space="preserve">Jardine Matheson Limited;  </w:t>
      </w:r>
    </w:p>
    <w:p w14:paraId="450A46EE" w14:textId="77777777" w:rsidR="008503AE" w:rsidRPr="000A625C" w:rsidRDefault="008503AE" w:rsidP="007153FB">
      <w:pPr>
        <w:pStyle w:val="ListParagraph"/>
        <w:numPr>
          <w:ilvl w:val="0"/>
          <w:numId w:val="2"/>
        </w:numPr>
        <w:spacing w:line="276" w:lineRule="auto"/>
        <w:jc w:val="both"/>
        <w:rPr>
          <w:rFonts w:ascii="Times New Roman" w:hAnsi="Times New Roman" w:cs="Times New Roman"/>
          <w:bCs/>
          <w:sz w:val="24"/>
          <w:szCs w:val="24"/>
        </w:rPr>
      </w:pPr>
      <w:r w:rsidRPr="000A625C">
        <w:rPr>
          <w:rFonts w:ascii="Times New Roman" w:hAnsi="Times New Roman" w:cs="Times New Roman"/>
          <w:bCs/>
          <w:sz w:val="24"/>
          <w:szCs w:val="24"/>
        </w:rPr>
        <w:t xml:space="preserve">Jardine Matheson Holdings Limited; </w:t>
      </w:r>
    </w:p>
    <w:p w14:paraId="365003FC" w14:textId="77777777" w:rsidR="008503AE" w:rsidRPr="000A625C" w:rsidRDefault="008503AE" w:rsidP="007153FB">
      <w:pPr>
        <w:pStyle w:val="ListParagraph"/>
        <w:numPr>
          <w:ilvl w:val="0"/>
          <w:numId w:val="2"/>
        </w:numPr>
        <w:spacing w:line="276" w:lineRule="auto"/>
        <w:jc w:val="both"/>
        <w:rPr>
          <w:rFonts w:ascii="Times New Roman" w:hAnsi="Times New Roman" w:cs="Times New Roman"/>
          <w:bCs/>
          <w:sz w:val="24"/>
          <w:szCs w:val="24"/>
        </w:rPr>
      </w:pPr>
      <w:r w:rsidRPr="000A625C">
        <w:rPr>
          <w:rFonts w:ascii="Times New Roman" w:hAnsi="Times New Roman" w:cs="Times New Roman"/>
          <w:bCs/>
          <w:sz w:val="24"/>
          <w:szCs w:val="24"/>
        </w:rPr>
        <w:t xml:space="preserve">Hongkong Land Holdings Limited; </w:t>
      </w:r>
    </w:p>
    <w:p w14:paraId="36B5A720" w14:textId="77777777" w:rsidR="008503AE" w:rsidRPr="000A625C" w:rsidRDefault="008503AE" w:rsidP="007153FB">
      <w:pPr>
        <w:pStyle w:val="ListParagraph"/>
        <w:numPr>
          <w:ilvl w:val="0"/>
          <w:numId w:val="2"/>
        </w:numPr>
        <w:spacing w:line="276" w:lineRule="auto"/>
        <w:jc w:val="both"/>
        <w:rPr>
          <w:rFonts w:ascii="Times New Roman" w:hAnsi="Times New Roman" w:cs="Times New Roman"/>
          <w:bCs/>
          <w:sz w:val="24"/>
          <w:szCs w:val="24"/>
        </w:rPr>
      </w:pPr>
      <w:r w:rsidRPr="000A625C">
        <w:rPr>
          <w:rFonts w:ascii="Times New Roman" w:hAnsi="Times New Roman" w:cs="Times New Roman"/>
          <w:bCs/>
          <w:sz w:val="24"/>
          <w:szCs w:val="24"/>
        </w:rPr>
        <w:t xml:space="preserve">DFI Retail Group Holdings Limited (formerly known as Dairy Farm International Holdings Limited);  </w:t>
      </w:r>
    </w:p>
    <w:p w14:paraId="71D94286" w14:textId="77777777" w:rsidR="008503AE" w:rsidRPr="000A625C" w:rsidRDefault="008503AE" w:rsidP="007153FB">
      <w:pPr>
        <w:pStyle w:val="ListParagraph"/>
        <w:numPr>
          <w:ilvl w:val="0"/>
          <w:numId w:val="2"/>
        </w:numPr>
        <w:spacing w:line="276" w:lineRule="auto"/>
        <w:jc w:val="both"/>
        <w:rPr>
          <w:rFonts w:ascii="Times New Roman" w:hAnsi="Times New Roman" w:cs="Times New Roman"/>
          <w:bCs/>
          <w:sz w:val="24"/>
          <w:szCs w:val="24"/>
        </w:rPr>
      </w:pPr>
      <w:r w:rsidRPr="000A625C">
        <w:rPr>
          <w:rFonts w:ascii="Times New Roman" w:hAnsi="Times New Roman" w:cs="Times New Roman"/>
          <w:bCs/>
          <w:sz w:val="24"/>
          <w:szCs w:val="24"/>
        </w:rPr>
        <w:t>Mandarin Oriental International Limited;</w:t>
      </w:r>
    </w:p>
    <w:p w14:paraId="36DA0EF5" w14:textId="77777777" w:rsidR="008503AE" w:rsidRPr="000A625C" w:rsidRDefault="008503AE" w:rsidP="007153FB">
      <w:pPr>
        <w:pStyle w:val="ListParagraph"/>
        <w:numPr>
          <w:ilvl w:val="0"/>
          <w:numId w:val="2"/>
        </w:numPr>
        <w:spacing w:line="276" w:lineRule="auto"/>
        <w:jc w:val="both"/>
        <w:rPr>
          <w:rFonts w:ascii="Times New Roman" w:hAnsi="Times New Roman" w:cs="Times New Roman"/>
          <w:bCs/>
          <w:sz w:val="24"/>
          <w:szCs w:val="24"/>
        </w:rPr>
      </w:pPr>
      <w:r w:rsidRPr="000A625C">
        <w:rPr>
          <w:rFonts w:ascii="Times New Roman" w:hAnsi="Times New Roman" w:cs="Times New Roman"/>
          <w:bCs/>
          <w:sz w:val="24"/>
          <w:szCs w:val="24"/>
        </w:rPr>
        <w:t xml:space="preserve">Jardine Cycle &amp; Carriage Limited; </w:t>
      </w:r>
    </w:p>
    <w:p w14:paraId="667CA5A4" w14:textId="77777777" w:rsidR="008503AE" w:rsidRPr="000A625C" w:rsidRDefault="008503AE" w:rsidP="007153FB">
      <w:pPr>
        <w:pStyle w:val="ListParagraph"/>
        <w:numPr>
          <w:ilvl w:val="0"/>
          <w:numId w:val="2"/>
        </w:numPr>
        <w:spacing w:line="276" w:lineRule="auto"/>
        <w:jc w:val="both"/>
        <w:rPr>
          <w:rFonts w:ascii="Times New Roman" w:hAnsi="Times New Roman" w:cs="Times New Roman"/>
          <w:bCs/>
          <w:sz w:val="24"/>
          <w:szCs w:val="24"/>
        </w:rPr>
      </w:pPr>
      <w:r w:rsidRPr="000A625C">
        <w:rPr>
          <w:rFonts w:ascii="Times New Roman" w:hAnsi="Times New Roman" w:cs="Times New Roman"/>
          <w:bCs/>
          <w:sz w:val="24"/>
          <w:szCs w:val="24"/>
        </w:rPr>
        <w:t xml:space="preserve">PT Astra International Tbk;  </w:t>
      </w:r>
    </w:p>
    <w:p w14:paraId="56EB8035" w14:textId="77777777" w:rsidR="008503AE" w:rsidRPr="000A625C" w:rsidRDefault="008503AE" w:rsidP="007153FB">
      <w:pPr>
        <w:pStyle w:val="ListParagraph"/>
        <w:numPr>
          <w:ilvl w:val="0"/>
          <w:numId w:val="2"/>
        </w:numPr>
        <w:spacing w:line="276" w:lineRule="auto"/>
        <w:jc w:val="both"/>
        <w:rPr>
          <w:rFonts w:ascii="Times New Roman" w:hAnsi="Times New Roman" w:cs="Times New Roman"/>
          <w:bCs/>
          <w:sz w:val="24"/>
          <w:szCs w:val="24"/>
        </w:rPr>
      </w:pPr>
      <w:r w:rsidRPr="000A625C">
        <w:rPr>
          <w:rFonts w:ascii="Times New Roman" w:hAnsi="Times New Roman" w:cs="Times New Roman"/>
          <w:bCs/>
          <w:sz w:val="24"/>
          <w:szCs w:val="24"/>
        </w:rPr>
        <w:t xml:space="preserve">Jardine Motors Group Holdings Limited;  </w:t>
      </w:r>
    </w:p>
    <w:p w14:paraId="23A26638" w14:textId="77777777" w:rsidR="008503AE" w:rsidRPr="000A625C" w:rsidRDefault="008503AE" w:rsidP="007153FB">
      <w:pPr>
        <w:pStyle w:val="ListParagraph"/>
        <w:numPr>
          <w:ilvl w:val="0"/>
          <w:numId w:val="2"/>
        </w:numPr>
        <w:spacing w:line="276" w:lineRule="auto"/>
        <w:jc w:val="both"/>
        <w:rPr>
          <w:rFonts w:ascii="Times New Roman" w:hAnsi="Times New Roman" w:cs="Times New Roman"/>
          <w:bCs/>
          <w:sz w:val="24"/>
          <w:szCs w:val="24"/>
        </w:rPr>
      </w:pPr>
      <w:r w:rsidRPr="000A625C">
        <w:rPr>
          <w:rFonts w:ascii="Times New Roman" w:hAnsi="Times New Roman" w:cs="Times New Roman"/>
          <w:bCs/>
          <w:sz w:val="24"/>
          <w:szCs w:val="24"/>
        </w:rPr>
        <w:t>Jardine Pacific Holdings Limited;</w:t>
      </w:r>
    </w:p>
    <w:p w14:paraId="28383A94" w14:textId="67EA4B62" w:rsidR="008503AE" w:rsidRPr="000A625C" w:rsidRDefault="008503AE" w:rsidP="007153FB">
      <w:pPr>
        <w:pStyle w:val="ListParagraph"/>
        <w:numPr>
          <w:ilvl w:val="0"/>
          <w:numId w:val="2"/>
        </w:numPr>
        <w:spacing w:line="276" w:lineRule="auto"/>
        <w:jc w:val="both"/>
        <w:rPr>
          <w:rFonts w:ascii="Times New Roman" w:hAnsi="Times New Roman" w:cs="Times New Roman"/>
          <w:bCs/>
          <w:sz w:val="24"/>
          <w:szCs w:val="24"/>
        </w:rPr>
      </w:pPr>
      <w:r w:rsidRPr="000A625C">
        <w:rPr>
          <w:rFonts w:ascii="Times New Roman" w:hAnsi="Times New Roman" w:cs="Times New Roman"/>
          <w:bCs/>
          <w:sz w:val="24"/>
          <w:szCs w:val="24"/>
        </w:rPr>
        <w:t xml:space="preserve"> Zhongsheng Group Holdings Limited (“</w:t>
      </w:r>
      <w:r w:rsidRPr="000A625C">
        <w:rPr>
          <w:rFonts w:ascii="Times New Roman" w:hAnsi="Times New Roman" w:cs="Times New Roman"/>
          <w:b/>
          <w:sz w:val="24"/>
          <w:szCs w:val="24"/>
        </w:rPr>
        <w:t>the Principal Group Companies</w:t>
      </w:r>
      <w:r w:rsidRPr="000A625C">
        <w:rPr>
          <w:rFonts w:ascii="Times New Roman" w:hAnsi="Times New Roman" w:cs="Times New Roman"/>
          <w:bCs/>
          <w:sz w:val="24"/>
          <w:szCs w:val="24"/>
        </w:rPr>
        <w:t>”).</w:t>
      </w:r>
    </w:p>
    <w:p w14:paraId="225AEFC8" w14:textId="61CF7C5E" w:rsidR="008503AE" w:rsidRPr="000A625C" w:rsidRDefault="008503AE" w:rsidP="000A625C">
      <w:pPr>
        <w:spacing w:line="360" w:lineRule="auto"/>
        <w:jc w:val="both"/>
        <w:rPr>
          <w:rFonts w:ascii="Times New Roman" w:hAnsi="Times New Roman" w:cs="Times New Roman"/>
          <w:bCs/>
          <w:sz w:val="24"/>
          <w:szCs w:val="24"/>
        </w:rPr>
      </w:pPr>
    </w:p>
    <w:p w14:paraId="6FE31E4D" w14:textId="613B5AB0" w:rsidR="008503AE" w:rsidRPr="00125216" w:rsidRDefault="008503AE" w:rsidP="00125216">
      <w:pPr>
        <w:pStyle w:val="ListParagraph"/>
        <w:numPr>
          <w:ilvl w:val="0"/>
          <w:numId w:val="1"/>
        </w:numPr>
        <w:spacing w:line="360" w:lineRule="auto"/>
        <w:jc w:val="both"/>
        <w:rPr>
          <w:rFonts w:ascii="Times New Roman" w:hAnsi="Times New Roman" w:cs="Times New Roman"/>
          <w:bCs/>
          <w:sz w:val="24"/>
          <w:szCs w:val="24"/>
        </w:rPr>
      </w:pPr>
      <w:r w:rsidRPr="00125216">
        <w:rPr>
          <w:rFonts w:ascii="Times New Roman" w:hAnsi="Times New Roman" w:cs="Times New Roman"/>
          <w:bCs/>
          <w:sz w:val="24"/>
          <w:szCs w:val="24"/>
        </w:rPr>
        <w:t>The second application</w:t>
      </w:r>
      <w:r w:rsidR="004B3D89" w:rsidRPr="00125216">
        <w:rPr>
          <w:rFonts w:ascii="Times New Roman" w:hAnsi="Times New Roman" w:cs="Times New Roman"/>
          <w:bCs/>
          <w:sz w:val="24"/>
          <w:szCs w:val="24"/>
        </w:rPr>
        <w:t xml:space="preserve"> seeks an order that the </w:t>
      </w:r>
      <w:r w:rsidR="001E7814" w:rsidRPr="00125216">
        <w:rPr>
          <w:rFonts w:ascii="Times New Roman" w:hAnsi="Times New Roman" w:cs="Times New Roman"/>
          <w:bCs/>
          <w:sz w:val="24"/>
          <w:szCs w:val="24"/>
        </w:rPr>
        <w:t>Defendants</w:t>
      </w:r>
      <w:r w:rsidR="004B3D89" w:rsidRPr="00125216">
        <w:rPr>
          <w:rFonts w:ascii="Times New Roman" w:hAnsi="Times New Roman" w:cs="Times New Roman"/>
          <w:bCs/>
          <w:sz w:val="24"/>
          <w:szCs w:val="24"/>
        </w:rPr>
        <w:t xml:space="preserve"> produce documents over which they presently assert privilege which were created before 12 April 2021.</w:t>
      </w:r>
    </w:p>
    <w:p w14:paraId="18EE2C33" w14:textId="04224F49" w:rsidR="004B3D89" w:rsidRPr="000A625C" w:rsidRDefault="004B3D89" w:rsidP="000A625C">
      <w:pPr>
        <w:spacing w:line="360" w:lineRule="auto"/>
        <w:jc w:val="both"/>
        <w:rPr>
          <w:rFonts w:ascii="Times New Roman" w:hAnsi="Times New Roman" w:cs="Times New Roman"/>
          <w:bCs/>
          <w:sz w:val="24"/>
          <w:szCs w:val="24"/>
        </w:rPr>
      </w:pPr>
    </w:p>
    <w:p w14:paraId="37936D2F" w14:textId="08947EE4" w:rsidR="004B3D89" w:rsidRPr="00125216" w:rsidRDefault="004B3D89" w:rsidP="00125216">
      <w:pPr>
        <w:pStyle w:val="ListParagraph"/>
        <w:numPr>
          <w:ilvl w:val="0"/>
          <w:numId w:val="1"/>
        </w:numPr>
        <w:spacing w:line="360" w:lineRule="auto"/>
        <w:jc w:val="both"/>
        <w:rPr>
          <w:rFonts w:ascii="Times New Roman" w:hAnsi="Times New Roman" w:cs="Times New Roman"/>
          <w:bCs/>
          <w:sz w:val="24"/>
          <w:szCs w:val="24"/>
        </w:rPr>
      </w:pPr>
      <w:r w:rsidRPr="00125216">
        <w:rPr>
          <w:rFonts w:ascii="Times New Roman" w:hAnsi="Times New Roman" w:cs="Times New Roman"/>
          <w:bCs/>
          <w:sz w:val="24"/>
          <w:szCs w:val="24"/>
        </w:rPr>
        <w:t>The third application seeks an order that “</w:t>
      </w:r>
      <w:r w:rsidRPr="00125216">
        <w:rPr>
          <w:rFonts w:ascii="Times New Roman" w:hAnsi="Times New Roman" w:cs="Times New Roman"/>
          <w:bCs/>
          <w:i/>
          <w:iCs/>
          <w:sz w:val="24"/>
          <w:szCs w:val="24"/>
        </w:rPr>
        <w:t xml:space="preserve">the </w:t>
      </w:r>
      <w:r w:rsidR="00645F7F" w:rsidRPr="00125216">
        <w:rPr>
          <w:rFonts w:ascii="Times New Roman" w:hAnsi="Times New Roman" w:cs="Times New Roman"/>
          <w:bCs/>
          <w:i/>
          <w:iCs/>
          <w:sz w:val="24"/>
          <w:szCs w:val="24"/>
        </w:rPr>
        <w:t>Company</w:t>
      </w:r>
      <w:r w:rsidRPr="00125216">
        <w:rPr>
          <w:rFonts w:ascii="Times New Roman" w:hAnsi="Times New Roman" w:cs="Times New Roman"/>
          <w:bCs/>
          <w:i/>
          <w:iCs/>
          <w:sz w:val="24"/>
          <w:szCs w:val="24"/>
        </w:rPr>
        <w:t xml:space="preserve"> shall, in accordance with paragraph 7.1 of the Order herein dated 12 November 2021, upload to the Data Room all documents within their possession, custody or power which are required by a Valuation Experts in these </w:t>
      </w:r>
      <w:r w:rsidRPr="00125216">
        <w:rPr>
          <w:rFonts w:ascii="Times New Roman" w:hAnsi="Times New Roman" w:cs="Times New Roman"/>
          <w:bCs/>
          <w:i/>
          <w:iCs/>
          <w:sz w:val="24"/>
          <w:szCs w:val="24"/>
        </w:rPr>
        <w:lastRenderedPageBreak/>
        <w:t>proceedings</w:t>
      </w:r>
      <w:r w:rsidRPr="00125216">
        <w:rPr>
          <w:rFonts w:ascii="Times New Roman" w:hAnsi="Times New Roman" w:cs="Times New Roman"/>
          <w:bCs/>
          <w:sz w:val="24"/>
          <w:szCs w:val="24"/>
        </w:rPr>
        <w:t xml:space="preserve">”. This application is concerned with the </w:t>
      </w:r>
      <w:r w:rsidR="00645F7F" w:rsidRPr="00125216">
        <w:rPr>
          <w:rFonts w:ascii="Times New Roman" w:hAnsi="Times New Roman" w:cs="Times New Roman"/>
          <w:bCs/>
          <w:sz w:val="24"/>
          <w:szCs w:val="24"/>
        </w:rPr>
        <w:t>Company</w:t>
      </w:r>
      <w:r w:rsidRPr="00125216">
        <w:rPr>
          <w:rFonts w:ascii="Times New Roman" w:hAnsi="Times New Roman" w:cs="Times New Roman"/>
          <w:bCs/>
          <w:sz w:val="24"/>
          <w:szCs w:val="24"/>
        </w:rPr>
        <w:t xml:space="preserve"> having given disclosure of what they say is “</w:t>
      </w:r>
      <w:r w:rsidRPr="00125216">
        <w:rPr>
          <w:rFonts w:ascii="Times New Roman" w:hAnsi="Times New Roman" w:cs="Times New Roman"/>
          <w:bCs/>
          <w:i/>
          <w:iCs/>
          <w:sz w:val="24"/>
          <w:szCs w:val="24"/>
        </w:rPr>
        <w:t>the essence of the request</w:t>
      </w:r>
      <w:r w:rsidRPr="00125216">
        <w:rPr>
          <w:rFonts w:ascii="Times New Roman" w:hAnsi="Times New Roman" w:cs="Times New Roman"/>
          <w:bCs/>
          <w:sz w:val="24"/>
          <w:szCs w:val="24"/>
        </w:rPr>
        <w:t>”.</w:t>
      </w:r>
    </w:p>
    <w:p w14:paraId="6D74F800" w14:textId="3B5B0BEA" w:rsidR="002A3A6E" w:rsidRPr="000A625C" w:rsidRDefault="002A3A6E" w:rsidP="000A625C">
      <w:pPr>
        <w:spacing w:line="360" w:lineRule="auto"/>
        <w:jc w:val="both"/>
        <w:rPr>
          <w:rFonts w:ascii="Times New Roman" w:hAnsi="Times New Roman" w:cs="Times New Roman"/>
          <w:bCs/>
          <w:sz w:val="24"/>
          <w:szCs w:val="24"/>
        </w:rPr>
      </w:pPr>
    </w:p>
    <w:p w14:paraId="2EE4E9D9" w14:textId="5B5A77D9" w:rsidR="002A3A6E" w:rsidRPr="00125216" w:rsidRDefault="002A3A6E" w:rsidP="00125216">
      <w:pPr>
        <w:pStyle w:val="ListParagraph"/>
        <w:numPr>
          <w:ilvl w:val="0"/>
          <w:numId w:val="1"/>
        </w:numPr>
        <w:spacing w:line="360" w:lineRule="auto"/>
        <w:jc w:val="both"/>
        <w:rPr>
          <w:rFonts w:ascii="Times New Roman" w:hAnsi="Times New Roman" w:cs="Times New Roman"/>
          <w:bCs/>
          <w:sz w:val="24"/>
          <w:szCs w:val="24"/>
        </w:rPr>
      </w:pPr>
      <w:r w:rsidRPr="00125216">
        <w:rPr>
          <w:rFonts w:ascii="Times New Roman" w:hAnsi="Times New Roman" w:cs="Times New Roman"/>
          <w:bCs/>
          <w:sz w:val="24"/>
          <w:szCs w:val="24"/>
        </w:rPr>
        <w:t>The Court also heard two applications on behalf of the</w:t>
      </w:r>
      <w:r w:rsidR="00E5381E" w:rsidRPr="00125216">
        <w:rPr>
          <w:rFonts w:ascii="Times New Roman" w:hAnsi="Times New Roman" w:cs="Times New Roman"/>
          <w:bCs/>
          <w:sz w:val="24"/>
          <w:szCs w:val="24"/>
        </w:rPr>
        <w:t xml:space="preserve"> </w:t>
      </w:r>
      <w:r w:rsidR="001E7814" w:rsidRPr="00125216">
        <w:rPr>
          <w:rFonts w:ascii="Times New Roman" w:hAnsi="Times New Roman" w:cs="Times New Roman"/>
          <w:bCs/>
          <w:sz w:val="24"/>
          <w:szCs w:val="24"/>
        </w:rPr>
        <w:t>Defendants</w:t>
      </w:r>
      <w:r w:rsidRPr="00125216">
        <w:rPr>
          <w:rFonts w:ascii="Times New Roman" w:hAnsi="Times New Roman" w:cs="Times New Roman"/>
          <w:bCs/>
          <w:sz w:val="24"/>
          <w:szCs w:val="24"/>
        </w:rPr>
        <w:t xml:space="preserve">. First, by Summons dated 21 February 2022, the </w:t>
      </w:r>
      <w:r w:rsidR="00ED2BD5" w:rsidRPr="00125216">
        <w:rPr>
          <w:rFonts w:ascii="Times New Roman" w:hAnsi="Times New Roman" w:cs="Times New Roman"/>
          <w:bCs/>
          <w:sz w:val="24"/>
          <w:szCs w:val="24"/>
        </w:rPr>
        <w:t>Defendants</w:t>
      </w:r>
      <w:r w:rsidRPr="00125216">
        <w:rPr>
          <w:rFonts w:ascii="Times New Roman" w:hAnsi="Times New Roman" w:cs="Times New Roman"/>
          <w:bCs/>
          <w:sz w:val="24"/>
          <w:szCs w:val="24"/>
        </w:rPr>
        <w:t xml:space="preserve"> seek an order that the Plaintiffs provide discovery in accordance with paragraph 1 of Appendix to the Directions Order dated 12 November 2021. It is said that the Plaintiffs </w:t>
      </w:r>
      <w:r w:rsidR="000A4686" w:rsidRPr="00125216">
        <w:rPr>
          <w:rFonts w:ascii="Times New Roman" w:hAnsi="Times New Roman" w:cs="Times New Roman"/>
          <w:bCs/>
          <w:sz w:val="24"/>
          <w:szCs w:val="24"/>
        </w:rPr>
        <w:t>have</w:t>
      </w:r>
      <w:r w:rsidRPr="00125216">
        <w:rPr>
          <w:rFonts w:ascii="Times New Roman" w:hAnsi="Times New Roman" w:cs="Times New Roman"/>
          <w:bCs/>
          <w:sz w:val="24"/>
          <w:szCs w:val="24"/>
        </w:rPr>
        <w:t xml:space="preserve"> provided Trade Schedules produced for the purposes of proceedings but have not given discovery of documents in their PCP during the relevant look-back period, as required by the Directions Order.</w:t>
      </w:r>
    </w:p>
    <w:p w14:paraId="14568420" w14:textId="5617847C" w:rsidR="002A3A6E" w:rsidRPr="000A625C" w:rsidRDefault="002A3A6E" w:rsidP="000A625C">
      <w:pPr>
        <w:spacing w:line="360" w:lineRule="auto"/>
        <w:jc w:val="both"/>
        <w:rPr>
          <w:rFonts w:ascii="Times New Roman" w:hAnsi="Times New Roman" w:cs="Times New Roman"/>
          <w:bCs/>
          <w:sz w:val="24"/>
          <w:szCs w:val="24"/>
        </w:rPr>
      </w:pPr>
    </w:p>
    <w:p w14:paraId="5F42601D" w14:textId="430E3CE7" w:rsidR="002A3A6E" w:rsidRPr="00125216" w:rsidRDefault="002A3A6E" w:rsidP="00125216">
      <w:pPr>
        <w:pStyle w:val="ListParagraph"/>
        <w:numPr>
          <w:ilvl w:val="0"/>
          <w:numId w:val="1"/>
        </w:numPr>
        <w:spacing w:line="360" w:lineRule="auto"/>
        <w:jc w:val="both"/>
        <w:rPr>
          <w:rFonts w:ascii="Times New Roman" w:hAnsi="Times New Roman" w:cs="Times New Roman"/>
          <w:bCs/>
          <w:sz w:val="24"/>
          <w:szCs w:val="24"/>
        </w:rPr>
      </w:pPr>
      <w:r w:rsidRPr="00125216">
        <w:rPr>
          <w:rFonts w:ascii="Times New Roman" w:hAnsi="Times New Roman" w:cs="Times New Roman"/>
          <w:bCs/>
          <w:sz w:val="24"/>
          <w:szCs w:val="24"/>
        </w:rPr>
        <w:t xml:space="preserve">Second, by Summons dated 21 </w:t>
      </w:r>
      <w:r w:rsidR="005D5E3C" w:rsidRPr="00125216">
        <w:rPr>
          <w:rFonts w:ascii="Times New Roman" w:hAnsi="Times New Roman" w:cs="Times New Roman"/>
          <w:bCs/>
          <w:sz w:val="24"/>
          <w:szCs w:val="24"/>
        </w:rPr>
        <w:t>February</w:t>
      </w:r>
      <w:r w:rsidRPr="00125216">
        <w:rPr>
          <w:rFonts w:ascii="Times New Roman" w:hAnsi="Times New Roman" w:cs="Times New Roman"/>
          <w:bCs/>
          <w:sz w:val="24"/>
          <w:szCs w:val="24"/>
        </w:rPr>
        <w:t xml:space="preserve"> 2022, amended with the leave of the Court granted on 28 September 2022, the </w:t>
      </w:r>
      <w:r w:rsidR="00ED2BD5" w:rsidRPr="00125216">
        <w:rPr>
          <w:rFonts w:ascii="Times New Roman" w:hAnsi="Times New Roman" w:cs="Times New Roman"/>
          <w:bCs/>
          <w:sz w:val="24"/>
          <w:szCs w:val="24"/>
        </w:rPr>
        <w:t>Defendants</w:t>
      </w:r>
      <w:r w:rsidRPr="00125216">
        <w:rPr>
          <w:rFonts w:ascii="Times New Roman" w:hAnsi="Times New Roman" w:cs="Times New Roman"/>
          <w:bCs/>
          <w:sz w:val="24"/>
          <w:szCs w:val="24"/>
        </w:rPr>
        <w:t xml:space="preserve"> seek an order that certain of the Plaintiffs provide in an unredacted form a number of documents disclosed pursuant to paragraphs 2 and 3 of Appendix 2 to the Directions Order. The </w:t>
      </w:r>
      <w:r w:rsidR="00BF64EE" w:rsidRPr="00125216">
        <w:rPr>
          <w:rFonts w:ascii="Times New Roman" w:hAnsi="Times New Roman" w:cs="Times New Roman"/>
          <w:bCs/>
          <w:sz w:val="24"/>
          <w:szCs w:val="24"/>
        </w:rPr>
        <w:t>Defendants</w:t>
      </w:r>
      <w:r w:rsidRPr="00125216">
        <w:rPr>
          <w:rFonts w:ascii="Times New Roman" w:hAnsi="Times New Roman" w:cs="Times New Roman"/>
          <w:bCs/>
          <w:sz w:val="24"/>
          <w:szCs w:val="24"/>
        </w:rPr>
        <w:t xml:space="preserve"> contend that it is clear from the Plaintiffs’ approach to redactions and from the redacted documents themselves that the redactions </w:t>
      </w:r>
      <w:r w:rsidR="001F73F3" w:rsidRPr="00125216">
        <w:rPr>
          <w:rFonts w:ascii="Times New Roman" w:hAnsi="Times New Roman" w:cs="Times New Roman"/>
          <w:bCs/>
          <w:sz w:val="24"/>
          <w:szCs w:val="24"/>
        </w:rPr>
        <w:t>obscure</w:t>
      </w:r>
      <w:r w:rsidRPr="00125216">
        <w:rPr>
          <w:rFonts w:ascii="Times New Roman" w:hAnsi="Times New Roman" w:cs="Times New Roman"/>
          <w:bCs/>
          <w:sz w:val="24"/>
          <w:szCs w:val="24"/>
        </w:rPr>
        <w:t xml:space="preserve"> relevant material, which should be provided.</w:t>
      </w:r>
    </w:p>
    <w:p w14:paraId="6E8C335E" w14:textId="139BA0F3" w:rsidR="002A3A6E" w:rsidRPr="000A625C" w:rsidRDefault="002A3A6E" w:rsidP="000A625C">
      <w:pPr>
        <w:spacing w:line="360" w:lineRule="auto"/>
        <w:jc w:val="both"/>
        <w:rPr>
          <w:rFonts w:ascii="Times New Roman" w:hAnsi="Times New Roman" w:cs="Times New Roman"/>
          <w:bCs/>
          <w:sz w:val="24"/>
          <w:szCs w:val="24"/>
        </w:rPr>
      </w:pPr>
    </w:p>
    <w:p w14:paraId="547A513C" w14:textId="1AE1A2F0" w:rsidR="002A3A6E" w:rsidRPr="0097330C" w:rsidRDefault="002A3A6E" w:rsidP="0097330C">
      <w:pPr>
        <w:pStyle w:val="ListParagraph"/>
        <w:numPr>
          <w:ilvl w:val="0"/>
          <w:numId w:val="4"/>
        </w:numPr>
        <w:spacing w:line="360" w:lineRule="auto"/>
        <w:jc w:val="both"/>
        <w:rPr>
          <w:rFonts w:ascii="Times New Roman" w:hAnsi="Times New Roman" w:cs="Times New Roman"/>
          <w:b/>
          <w:sz w:val="24"/>
          <w:szCs w:val="24"/>
        </w:rPr>
      </w:pPr>
      <w:r w:rsidRPr="0097330C">
        <w:rPr>
          <w:rFonts w:ascii="Times New Roman" w:hAnsi="Times New Roman" w:cs="Times New Roman"/>
          <w:b/>
          <w:sz w:val="24"/>
          <w:szCs w:val="24"/>
        </w:rPr>
        <w:t>The background</w:t>
      </w:r>
    </w:p>
    <w:p w14:paraId="32F6FC13" w14:textId="48313A3F" w:rsidR="002A3A6E" w:rsidRPr="00FD4858" w:rsidRDefault="002A3A6E" w:rsidP="00FD4858">
      <w:pPr>
        <w:spacing w:line="360" w:lineRule="auto"/>
        <w:jc w:val="both"/>
        <w:rPr>
          <w:rFonts w:ascii="Times New Roman" w:hAnsi="Times New Roman" w:cs="Times New Roman"/>
          <w:b/>
          <w:sz w:val="24"/>
          <w:szCs w:val="24"/>
        </w:rPr>
      </w:pPr>
    </w:p>
    <w:p w14:paraId="23945875" w14:textId="63AE5123" w:rsidR="002A3A6E" w:rsidRPr="00125216" w:rsidRDefault="002A3A6E" w:rsidP="00125216">
      <w:pPr>
        <w:pStyle w:val="ListParagraph"/>
        <w:numPr>
          <w:ilvl w:val="0"/>
          <w:numId w:val="1"/>
        </w:numPr>
        <w:spacing w:line="360" w:lineRule="auto"/>
        <w:jc w:val="both"/>
        <w:rPr>
          <w:rFonts w:ascii="Times New Roman" w:hAnsi="Times New Roman" w:cs="Times New Roman"/>
          <w:bCs/>
          <w:sz w:val="24"/>
          <w:szCs w:val="24"/>
        </w:rPr>
      </w:pPr>
      <w:r w:rsidRPr="00125216">
        <w:rPr>
          <w:rFonts w:ascii="Times New Roman" w:hAnsi="Times New Roman" w:cs="Times New Roman"/>
          <w:bCs/>
          <w:sz w:val="24"/>
          <w:szCs w:val="24"/>
        </w:rPr>
        <w:t>The background to these proceedings is set out in the Judgement of this Court dated 12 November 2021 and is repeated here for ease of convenience. As Mr Parr, the Group General Counsel,</w:t>
      </w:r>
      <w:r w:rsidR="000A625C" w:rsidRPr="00125216">
        <w:rPr>
          <w:rFonts w:ascii="Times New Roman" w:hAnsi="Times New Roman" w:cs="Times New Roman"/>
          <w:bCs/>
          <w:sz w:val="24"/>
          <w:szCs w:val="24"/>
        </w:rPr>
        <w:t xml:space="preserve"> explains in his First Affidavit (dated 10 September 2021), Jardine Matheson Holdings Limited (“</w:t>
      </w:r>
      <w:r w:rsidR="000A625C" w:rsidRPr="00125216">
        <w:rPr>
          <w:rFonts w:ascii="Times New Roman" w:hAnsi="Times New Roman" w:cs="Times New Roman"/>
          <w:b/>
          <w:sz w:val="24"/>
          <w:szCs w:val="24"/>
        </w:rPr>
        <w:t>Jardine Matheson</w:t>
      </w:r>
      <w:r w:rsidR="000A625C" w:rsidRPr="00125216">
        <w:rPr>
          <w:rFonts w:ascii="Times New Roman" w:hAnsi="Times New Roman" w:cs="Times New Roman"/>
          <w:bCs/>
          <w:sz w:val="24"/>
          <w:szCs w:val="24"/>
        </w:rPr>
        <w:t xml:space="preserve">”) is a </w:t>
      </w:r>
      <w:r w:rsidR="0036289F" w:rsidRPr="00125216">
        <w:rPr>
          <w:rFonts w:ascii="Times New Roman" w:hAnsi="Times New Roman" w:cs="Times New Roman"/>
          <w:bCs/>
          <w:sz w:val="24"/>
          <w:szCs w:val="24"/>
        </w:rPr>
        <w:t>company</w:t>
      </w:r>
      <w:r w:rsidR="000A625C" w:rsidRPr="00125216">
        <w:rPr>
          <w:rFonts w:ascii="Times New Roman" w:hAnsi="Times New Roman" w:cs="Times New Roman"/>
          <w:bCs/>
          <w:sz w:val="24"/>
          <w:szCs w:val="24"/>
        </w:rPr>
        <w:t xml:space="preserve"> limited by shares and incorporated in Bermuda. It has a primary listing on the Main Market of the London Stock Exchange. It is also secondary listings in Singapore and Bermuda.</w:t>
      </w:r>
    </w:p>
    <w:p w14:paraId="42BC3660" w14:textId="77777777" w:rsidR="000A625C" w:rsidRPr="00FD4858" w:rsidRDefault="000A625C" w:rsidP="00FD4858">
      <w:pPr>
        <w:spacing w:line="360" w:lineRule="auto"/>
        <w:jc w:val="both"/>
        <w:rPr>
          <w:rFonts w:ascii="Times New Roman" w:hAnsi="Times New Roman" w:cs="Times New Roman"/>
          <w:bCs/>
          <w:sz w:val="24"/>
          <w:szCs w:val="24"/>
        </w:rPr>
      </w:pPr>
    </w:p>
    <w:p w14:paraId="4938C4C8" w14:textId="60BBA437" w:rsidR="000A625C" w:rsidRPr="00AF7252" w:rsidRDefault="000A625C" w:rsidP="00AF7252">
      <w:pPr>
        <w:pStyle w:val="ListParagraph"/>
        <w:numPr>
          <w:ilvl w:val="0"/>
          <w:numId w:val="1"/>
        </w:numPr>
        <w:spacing w:line="360" w:lineRule="auto"/>
        <w:jc w:val="both"/>
        <w:rPr>
          <w:rFonts w:ascii="Times New Roman" w:hAnsi="Times New Roman" w:cs="Times New Roman"/>
          <w:bCs/>
          <w:sz w:val="24"/>
          <w:szCs w:val="24"/>
        </w:rPr>
      </w:pPr>
      <w:r w:rsidRPr="00125216">
        <w:rPr>
          <w:rFonts w:ascii="Times New Roman" w:hAnsi="Times New Roman" w:cs="Times New Roman"/>
          <w:bCs/>
          <w:sz w:val="24"/>
          <w:szCs w:val="24"/>
        </w:rPr>
        <w:t xml:space="preserve">Prior to the Amalgamation, amongst other interests in the Group, Jardine Matheson held, </w:t>
      </w:r>
      <w:r w:rsidRPr="00AF7252">
        <w:rPr>
          <w:rFonts w:ascii="Times New Roman" w:hAnsi="Times New Roman" w:cs="Times New Roman"/>
          <w:bCs/>
          <w:sz w:val="24"/>
          <w:szCs w:val="24"/>
        </w:rPr>
        <w:t xml:space="preserve">indirectly, approximately 84.9% of the shares in the </w:t>
      </w:r>
      <w:r w:rsidR="00683100" w:rsidRPr="00AF7252">
        <w:rPr>
          <w:rFonts w:ascii="Times New Roman" w:hAnsi="Times New Roman" w:cs="Times New Roman"/>
          <w:bCs/>
          <w:sz w:val="24"/>
          <w:szCs w:val="24"/>
        </w:rPr>
        <w:t>Company</w:t>
      </w:r>
      <w:r w:rsidRPr="00AF7252">
        <w:rPr>
          <w:rFonts w:ascii="Times New Roman" w:hAnsi="Times New Roman" w:cs="Times New Roman"/>
          <w:bCs/>
          <w:sz w:val="24"/>
          <w:szCs w:val="24"/>
        </w:rPr>
        <w:t xml:space="preserve">. Prior to the Amalgamation, the </w:t>
      </w:r>
      <w:r w:rsidR="009C267F" w:rsidRPr="00AF7252">
        <w:rPr>
          <w:rFonts w:ascii="Times New Roman" w:hAnsi="Times New Roman" w:cs="Times New Roman"/>
          <w:bCs/>
          <w:sz w:val="24"/>
          <w:szCs w:val="24"/>
        </w:rPr>
        <w:t>Company</w:t>
      </w:r>
      <w:r w:rsidRPr="00AF7252">
        <w:rPr>
          <w:rFonts w:ascii="Times New Roman" w:hAnsi="Times New Roman" w:cs="Times New Roman"/>
          <w:bCs/>
          <w:sz w:val="24"/>
          <w:szCs w:val="24"/>
        </w:rPr>
        <w:t xml:space="preserve"> was also incorporated in Bermuda and had as its primary listing a standard listing on the Main Market of the London Stock Exchange. It also had secondary listings in Singapore and Bermuda. </w:t>
      </w:r>
    </w:p>
    <w:p w14:paraId="21E21209" w14:textId="77777777" w:rsidR="000A625C" w:rsidRPr="00FD4858" w:rsidRDefault="000A625C" w:rsidP="00FD4858">
      <w:pPr>
        <w:spacing w:line="240" w:lineRule="auto"/>
        <w:jc w:val="both"/>
        <w:rPr>
          <w:rFonts w:ascii="Times New Roman" w:hAnsi="Times New Roman" w:cs="Times New Roman"/>
          <w:bCs/>
          <w:sz w:val="24"/>
          <w:szCs w:val="24"/>
        </w:rPr>
      </w:pPr>
    </w:p>
    <w:p w14:paraId="6A3D3E49" w14:textId="25B1E2E2" w:rsidR="000A625C" w:rsidRPr="00AF7252" w:rsidRDefault="000A625C" w:rsidP="00AF7252">
      <w:pPr>
        <w:pStyle w:val="ListParagraph"/>
        <w:numPr>
          <w:ilvl w:val="0"/>
          <w:numId w:val="1"/>
        </w:numPr>
        <w:spacing w:line="360" w:lineRule="auto"/>
        <w:jc w:val="both"/>
        <w:rPr>
          <w:rFonts w:ascii="Times New Roman" w:hAnsi="Times New Roman" w:cs="Times New Roman"/>
          <w:bCs/>
          <w:sz w:val="24"/>
          <w:szCs w:val="24"/>
        </w:rPr>
      </w:pPr>
      <w:r w:rsidRPr="00125216">
        <w:rPr>
          <w:rFonts w:ascii="Times New Roman" w:hAnsi="Times New Roman" w:cs="Times New Roman"/>
          <w:bCs/>
          <w:sz w:val="24"/>
          <w:szCs w:val="24"/>
        </w:rPr>
        <w:t xml:space="preserve">The Group is comprised of a broad portfolio of businesses operating principally in China </w:t>
      </w:r>
      <w:r w:rsidRPr="00AF7252">
        <w:rPr>
          <w:rFonts w:ascii="Times New Roman" w:hAnsi="Times New Roman" w:cs="Times New Roman"/>
          <w:bCs/>
          <w:sz w:val="24"/>
          <w:szCs w:val="24"/>
        </w:rPr>
        <w:t xml:space="preserve">and Southeast Asia. Across the Group, over 400,000 employees work in a wide range of businesses in sectors including motor vehicles and related operations, property investment and development, food retailing, health and beauty, home furnishings, engineering and construction, transport services, restaurants, luxury hotels, financial services, heavy equipment, mining and agribusiness. </w:t>
      </w:r>
    </w:p>
    <w:p w14:paraId="4A8B5CA5" w14:textId="77777777" w:rsidR="000A625C" w:rsidRPr="00FD4858" w:rsidRDefault="000A625C" w:rsidP="00FD4858">
      <w:pPr>
        <w:spacing w:line="240" w:lineRule="auto"/>
        <w:jc w:val="both"/>
        <w:rPr>
          <w:rFonts w:ascii="Times New Roman" w:hAnsi="Times New Roman" w:cs="Times New Roman"/>
          <w:bCs/>
          <w:sz w:val="24"/>
          <w:szCs w:val="24"/>
        </w:rPr>
      </w:pPr>
    </w:p>
    <w:p w14:paraId="2D462A52" w14:textId="4A06DC0B" w:rsidR="000A625C" w:rsidRPr="00125216" w:rsidRDefault="000A625C" w:rsidP="00125216">
      <w:pPr>
        <w:pStyle w:val="ListParagraph"/>
        <w:numPr>
          <w:ilvl w:val="0"/>
          <w:numId w:val="1"/>
        </w:numPr>
        <w:spacing w:line="360" w:lineRule="auto"/>
        <w:jc w:val="both"/>
        <w:rPr>
          <w:rFonts w:ascii="Times New Roman" w:hAnsi="Times New Roman" w:cs="Times New Roman"/>
          <w:bCs/>
          <w:sz w:val="24"/>
          <w:szCs w:val="24"/>
        </w:rPr>
      </w:pPr>
      <w:r w:rsidRPr="00125216">
        <w:rPr>
          <w:rFonts w:ascii="Times New Roman" w:hAnsi="Times New Roman" w:cs="Times New Roman"/>
          <w:bCs/>
          <w:sz w:val="24"/>
          <w:szCs w:val="24"/>
        </w:rPr>
        <w:t xml:space="preserve">The Group’s structure included a cross-holding structure between the two listed companies. The </w:t>
      </w:r>
      <w:r w:rsidR="00176F23" w:rsidRPr="00125216">
        <w:rPr>
          <w:rFonts w:ascii="Times New Roman" w:hAnsi="Times New Roman" w:cs="Times New Roman"/>
          <w:bCs/>
          <w:sz w:val="24"/>
          <w:szCs w:val="24"/>
        </w:rPr>
        <w:t>Company</w:t>
      </w:r>
      <w:r w:rsidRPr="00125216">
        <w:rPr>
          <w:rFonts w:ascii="Times New Roman" w:hAnsi="Times New Roman" w:cs="Times New Roman"/>
          <w:bCs/>
          <w:sz w:val="24"/>
          <w:szCs w:val="24"/>
        </w:rPr>
        <w:t xml:space="preserve"> owned, directly and indirectly, 59.3% of the shares in Jardine Matheson. In addition, the </w:t>
      </w:r>
      <w:r w:rsidR="00176F23" w:rsidRPr="00125216">
        <w:rPr>
          <w:rFonts w:ascii="Times New Roman" w:hAnsi="Times New Roman" w:cs="Times New Roman"/>
          <w:bCs/>
          <w:sz w:val="24"/>
          <w:szCs w:val="24"/>
        </w:rPr>
        <w:t>Company</w:t>
      </w:r>
      <w:r w:rsidRPr="00125216">
        <w:rPr>
          <w:rFonts w:ascii="Times New Roman" w:hAnsi="Times New Roman" w:cs="Times New Roman"/>
          <w:bCs/>
          <w:sz w:val="24"/>
          <w:szCs w:val="24"/>
        </w:rPr>
        <w:t xml:space="preserve"> held most of the Group’s major listed interests, including, for example, approximately 50.4% of Hong Kong Land Holdings Ltd, 77.6% of Dairy Farm International Holdings Ltd, 79.5% of Mandarin Oriental International Ltd and 75% of Jardine Cycle &amp; Carriage Ltd. </w:t>
      </w:r>
    </w:p>
    <w:p w14:paraId="21189222" w14:textId="77777777" w:rsidR="000A625C" w:rsidRPr="00FD4858" w:rsidRDefault="000A625C" w:rsidP="00FD4858">
      <w:pPr>
        <w:spacing w:line="240" w:lineRule="auto"/>
        <w:jc w:val="both"/>
        <w:rPr>
          <w:rFonts w:ascii="Times New Roman" w:hAnsi="Times New Roman" w:cs="Times New Roman"/>
          <w:bCs/>
          <w:sz w:val="24"/>
          <w:szCs w:val="24"/>
        </w:rPr>
      </w:pPr>
    </w:p>
    <w:p w14:paraId="7451E3BD" w14:textId="31BB0439" w:rsidR="000A625C" w:rsidRPr="00AF7252" w:rsidRDefault="000A625C" w:rsidP="00AF7252">
      <w:pPr>
        <w:pStyle w:val="ListParagraph"/>
        <w:numPr>
          <w:ilvl w:val="0"/>
          <w:numId w:val="1"/>
        </w:numPr>
        <w:spacing w:line="360" w:lineRule="auto"/>
        <w:jc w:val="both"/>
        <w:rPr>
          <w:rFonts w:ascii="Times New Roman" w:hAnsi="Times New Roman" w:cs="Times New Roman"/>
          <w:bCs/>
          <w:sz w:val="24"/>
          <w:szCs w:val="24"/>
        </w:rPr>
      </w:pPr>
      <w:r w:rsidRPr="00125216">
        <w:rPr>
          <w:rFonts w:ascii="Times New Roman" w:hAnsi="Times New Roman" w:cs="Times New Roman"/>
          <w:bCs/>
          <w:sz w:val="24"/>
          <w:szCs w:val="24"/>
        </w:rPr>
        <w:t xml:space="preserve">On 8 March 2021, the </w:t>
      </w:r>
      <w:r w:rsidR="002F56CB" w:rsidRPr="00125216">
        <w:rPr>
          <w:rFonts w:ascii="Times New Roman" w:hAnsi="Times New Roman" w:cs="Times New Roman"/>
          <w:bCs/>
          <w:sz w:val="24"/>
          <w:szCs w:val="24"/>
        </w:rPr>
        <w:t>Company</w:t>
      </w:r>
      <w:r w:rsidRPr="00125216">
        <w:rPr>
          <w:rFonts w:ascii="Times New Roman" w:hAnsi="Times New Roman" w:cs="Times New Roman"/>
          <w:bCs/>
          <w:sz w:val="24"/>
          <w:szCs w:val="24"/>
        </w:rPr>
        <w:t xml:space="preserve"> and Jardine Matheson announced plans to simplify the</w:t>
      </w:r>
      <w:r w:rsidR="00AF7252">
        <w:rPr>
          <w:rFonts w:ascii="Times New Roman" w:hAnsi="Times New Roman" w:cs="Times New Roman"/>
          <w:bCs/>
          <w:sz w:val="24"/>
          <w:szCs w:val="24"/>
        </w:rPr>
        <w:t xml:space="preserve"> </w:t>
      </w:r>
      <w:r w:rsidRPr="00AF7252">
        <w:rPr>
          <w:rFonts w:ascii="Times New Roman" w:hAnsi="Times New Roman" w:cs="Times New Roman"/>
          <w:bCs/>
          <w:sz w:val="24"/>
          <w:szCs w:val="24"/>
        </w:rPr>
        <w:t>structure of the Group. In summary, the planned simplification would involve (1) the</w:t>
      </w:r>
      <w:r w:rsidR="00AF7252">
        <w:rPr>
          <w:rFonts w:ascii="Times New Roman" w:hAnsi="Times New Roman" w:cs="Times New Roman"/>
          <w:bCs/>
          <w:sz w:val="24"/>
          <w:szCs w:val="24"/>
        </w:rPr>
        <w:t xml:space="preserve"> </w:t>
      </w:r>
      <w:r w:rsidRPr="00AF7252">
        <w:rPr>
          <w:rFonts w:ascii="Times New Roman" w:hAnsi="Times New Roman" w:cs="Times New Roman"/>
          <w:bCs/>
          <w:sz w:val="24"/>
          <w:szCs w:val="24"/>
        </w:rPr>
        <w:t>acquisition by Jardine Matheson, for cash, of the approximately 15% of the issued share</w:t>
      </w:r>
      <w:r w:rsidR="00AF7252">
        <w:rPr>
          <w:rFonts w:ascii="Times New Roman" w:hAnsi="Times New Roman" w:cs="Times New Roman"/>
          <w:bCs/>
          <w:sz w:val="24"/>
          <w:szCs w:val="24"/>
        </w:rPr>
        <w:t xml:space="preserve"> </w:t>
      </w:r>
      <w:r w:rsidRPr="00AF7252">
        <w:rPr>
          <w:rFonts w:ascii="Times New Roman" w:hAnsi="Times New Roman" w:cs="Times New Roman"/>
          <w:bCs/>
          <w:sz w:val="24"/>
          <w:szCs w:val="24"/>
        </w:rPr>
        <w:t xml:space="preserve">capital of the </w:t>
      </w:r>
      <w:r w:rsidR="002F56CB" w:rsidRPr="00AF7252">
        <w:rPr>
          <w:rFonts w:ascii="Times New Roman" w:hAnsi="Times New Roman" w:cs="Times New Roman"/>
          <w:bCs/>
          <w:sz w:val="24"/>
          <w:szCs w:val="24"/>
        </w:rPr>
        <w:t>Company</w:t>
      </w:r>
      <w:r w:rsidRPr="00AF7252">
        <w:rPr>
          <w:rFonts w:ascii="Times New Roman" w:hAnsi="Times New Roman" w:cs="Times New Roman"/>
          <w:bCs/>
          <w:sz w:val="24"/>
          <w:szCs w:val="24"/>
        </w:rPr>
        <w:t xml:space="preserve"> that it did not already own directly or indirectly and (2) the</w:t>
      </w:r>
      <w:r w:rsidR="00AF7252">
        <w:rPr>
          <w:rFonts w:ascii="Times New Roman" w:hAnsi="Times New Roman" w:cs="Times New Roman"/>
          <w:bCs/>
          <w:sz w:val="24"/>
          <w:szCs w:val="24"/>
        </w:rPr>
        <w:t xml:space="preserve"> </w:t>
      </w:r>
      <w:r w:rsidRPr="00AF7252">
        <w:rPr>
          <w:rFonts w:ascii="Times New Roman" w:hAnsi="Times New Roman" w:cs="Times New Roman"/>
          <w:bCs/>
          <w:sz w:val="24"/>
          <w:szCs w:val="24"/>
        </w:rPr>
        <w:t xml:space="preserve">subsequent cancellation by Jardine Matheson of the </w:t>
      </w:r>
      <w:r w:rsidR="00EE307F" w:rsidRPr="00AF7252">
        <w:rPr>
          <w:rFonts w:ascii="Times New Roman" w:hAnsi="Times New Roman" w:cs="Times New Roman"/>
          <w:bCs/>
          <w:sz w:val="24"/>
          <w:szCs w:val="24"/>
        </w:rPr>
        <w:t>Company’s</w:t>
      </w:r>
      <w:r w:rsidRPr="00AF7252">
        <w:rPr>
          <w:rFonts w:ascii="Times New Roman" w:hAnsi="Times New Roman" w:cs="Times New Roman"/>
          <w:bCs/>
          <w:sz w:val="24"/>
          <w:szCs w:val="24"/>
        </w:rPr>
        <w:t xml:space="preserve"> almost 59% shareholding</w:t>
      </w:r>
      <w:r w:rsidR="00AF7252">
        <w:rPr>
          <w:rFonts w:ascii="Times New Roman" w:hAnsi="Times New Roman" w:cs="Times New Roman"/>
          <w:bCs/>
          <w:sz w:val="24"/>
          <w:szCs w:val="24"/>
        </w:rPr>
        <w:t xml:space="preserve"> </w:t>
      </w:r>
      <w:r w:rsidRPr="00AF7252">
        <w:rPr>
          <w:rFonts w:ascii="Times New Roman" w:hAnsi="Times New Roman" w:cs="Times New Roman"/>
          <w:bCs/>
          <w:sz w:val="24"/>
          <w:szCs w:val="24"/>
        </w:rPr>
        <w:t xml:space="preserve">in it. The present claims by the </w:t>
      </w:r>
      <w:r w:rsidR="00EE307F" w:rsidRPr="00AF7252">
        <w:rPr>
          <w:rFonts w:ascii="Times New Roman" w:hAnsi="Times New Roman" w:cs="Times New Roman"/>
          <w:bCs/>
          <w:sz w:val="24"/>
          <w:szCs w:val="24"/>
        </w:rPr>
        <w:t>Plaintiffs</w:t>
      </w:r>
      <w:r w:rsidRPr="00AF7252">
        <w:rPr>
          <w:rFonts w:ascii="Times New Roman" w:hAnsi="Times New Roman" w:cs="Times New Roman"/>
          <w:bCs/>
          <w:sz w:val="24"/>
          <w:szCs w:val="24"/>
        </w:rPr>
        <w:t xml:space="preserve"> are concerned with the first of those two steps.</w:t>
      </w:r>
    </w:p>
    <w:p w14:paraId="049ABA0E" w14:textId="77777777" w:rsidR="000A625C" w:rsidRPr="00FD4858" w:rsidRDefault="000A625C" w:rsidP="00FD4858">
      <w:pPr>
        <w:spacing w:line="240" w:lineRule="auto"/>
        <w:jc w:val="both"/>
        <w:rPr>
          <w:rFonts w:ascii="Times New Roman" w:hAnsi="Times New Roman" w:cs="Times New Roman"/>
          <w:bCs/>
          <w:sz w:val="24"/>
          <w:szCs w:val="24"/>
        </w:rPr>
      </w:pPr>
    </w:p>
    <w:p w14:paraId="52653371" w14:textId="617D46DB" w:rsidR="000A625C" w:rsidRPr="00AF7252" w:rsidRDefault="000A625C" w:rsidP="00AF7252">
      <w:pPr>
        <w:pStyle w:val="ListParagraph"/>
        <w:numPr>
          <w:ilvl w:val="0"/>
          <w:numId w:val="1"/>
        </w:numPr>
        <w:spacing w:line="360" w:lineRule="auto"/>
        <w:jc w:val="both"/>
        <w:rPr>
          <w:rFonts w:ascii="Times New Roman" w:hAnsi="Times New Roman" w:cs="Times New Roman"/>
          <w:bCs/>
          <w:sz w:val="24"/>
          <w:szCs w:val="24"/>
        </w:rPr>
      </w:pPr>
      <w:r w:rsidRPr="00AF7252">
        <w:rPr>
          <w:rFonts w:ascii="Times New Roman" w:hAnsi="Times New Roman" w:cs="Times New Roman"/>
          <w:bCs/>
          <w:sz w:val="24"/>
          <w:szCs w:val="24"/>
        </w:rPr>
        <w:t>The acquisition was implemented by way of an amalga</w:t>
      </w:r>
      <w:r w:rsidR="00AF7252" w:rsidRPr="00AF7252">
        <w:rPr>
          <w:rFonts w:ascii="Times New Roman" w:hAnsi="Times New Roman" w:cs="Times New Roman"/>
          <w:bCs/>
          <w:sz w:val="24"/>
          <w:szCs w:val="24"/>
        </w:rPr>
        <w:t xml:space="preserve">mation under the Act. Under </w:t>
      </w:r>
      <w:r w:rsidRPr="00AF7252">
        <w:rPr>
          <w:rFonts w:ascii="Times New Roman" w:hAnsi="Times New Roman" w:cs="Times New Roman"/>
          <w:bCs/>
          <w:sz w:val="24"/>
          <w:szCs w:val="24"/>
        </w:rPr>
        <w:t xml:space="preserve">Bermuda law and the </w:t>
      </w:r>
      <w:r w:rsidR="0082759F" w:rsidRPr="00AF7252">
        <w:rPr>
          <w:rFonts w:ascii="Times New Roman" w:hAnsi="Times New Roman" w:cs="Times New Roman"/>
          <w:bCs/>
          <w:sz w:val="24"/>
          <w:szCs w:val="24"/>
        </w:rPr>
        <w:t>Company’s</w:t>
      </w:r>
      <w:r w:rsidRPr="00AF7252">
        <w:rPr>
          <w:rFonts w:ascii="Times New Roman" w:hAnsi="Times New Roman" w:cs="Times New Roman"/>
          <w:bCs/>
          <w:sz w:val="24"/>
          <w:szCs w:val="24"/>
        </w:rPr>
        <w:t xml:space="preserve"> bye-laws, the Amalgamati</w:t>
      </w:r>
      <w:r w:rsidR="00AF7252" w:rsidRPr="00AF7252">
        <w:rPr>
          <w:rFonts w:ascii="Times New Roman" w:hAnsi="Times New Roman" w:cs="Times New Roman"/>
          <w:bCs/>
          <w:sz w:val="24"/>
          <w:szCs w:val="24"/>
        </w:rPr>
        <w:t xml:space="preserve">on required the approval of at </w:t>
      </w:r>
      <w:r w:rsidRPr="00AF7252">
        <w:rPr>
          <w:rFonts w:ascii="Times New Roman" w:hAnsi="Times New Roman" w:cs="Times New Roman"/>
          <w:bCs/>
          <w:sz w:val="24"/>
          <w:szCs w:val="24"/>
        </w:rPr>
        <w:t xml:space="preserve">least 75% of the votes cast by shareholders in the </w:t>
      </w:r>
      <w:r w:rsidR="0082759F" w:rsidRPr="00AF7252">
        <w:rPr>
          <w:rFonts w:ascii="Times New Roman" w:hAnsi="Times New Roman" w:cs="Times New Roman"/>
          <w:bCs/>
          <w:sz w:val="24"/>
          <w:szCs w:val="24"/>
        </w:rPr>
        <w:t>Company</w:t>
      </w:r>
      <w:r w:rsidR="00AF7252" w:rsidRPr="00AF7252">
        <w:rPr>
          <w:rFonts w:ascii="Times New Roman" w:hAnsi="Times New Roman" w:cs="Times New Roman"/>
          <w:bCs/>
          <w:sz w:val="24"/>
          <w:szCs w:val="24"/>
        </w:rPr>
        <w:t xml:space="preserve">. Jardine Matheson had </w:t>
      </w:r>
      <w:r w:rsidRPr="00AF7252">
        <w:rPr>
          <w:rFonts w:ascii="Times New Roman" w:hAnsi="Times New Roman" w:cs="Times New Roman"/>
          <w:bCs/>
          <w:sz w:val="24"/>
          <w:szCs w:val="24"/>
        </w:rPr>
        <w:t xml:space="preserve">undertaken to the </w:t>
      </w:r>
      <w:r w:rsidR="0082759F" w:rsidRPr="00AF7252">
        <w:rPr>
          <w:rFonts w:ascii="Times New Roman" w:hAnsi="Times New Roman" w:cs="Times New Roman"/>
          <w:bCs/>
          <w:sz w:val="24"/>
          <w:szCs w:val="24"/>
        </w:rPr>
        <w:t>Company</w:t>
      </w:r>
      <w:r w:rsidRPr="00AF7252">
        <w:rPr>
          <w:rFonts w:ascii="Times New Roman" w:hAnsi="Times New Roman" w:cs="Times New Roman"/>
          <w:bCs/>
          <w:sz w:val="24"/>
          <w:szCs w:val="24"/>
        </w:rPr>
        <w:t xml:space="preserve"> that it would vote and would proc</w:t>
      </w:r>
      <w:r w:rsidR="00AF7252" w:rsidRPr="00AF7252">
        <w:rPr>
          <w:rFonts w:ascii="Times New Roman" w:hAnsi="Times New Roman" w:cs="Times New Roman"/>
          <w:bCs/>
          <w:sz w:val="24"/>
          <w:szCs w:val="24"/>
        </w:rPr>
        <w:t xml:space="preserve">ure that its wholly-owned </w:t>
      </w:r>
      <w:r w:rsidRPr="00AF7252">
        <w:rPr>
          <w:rFonts w:ascii="Times New Roman" w:hAnsi="Times New Roman" w:cs="Times New Roman"/>
          <w:bCs/>
          <w:sz w:val="24"/>
          <w:szCs w:val="24"/>
        </w:rPr>
        <w:t xml:space="preserve">subsidiaries would vote the 940,903,135 shares (representing 84.89% of the existing issued share capital of the </w:t>
      </w:r>
      <w:r w:rsidR="007540C4" w:rsidRPr="00AF7252">
        <w:rPr>
          <w:rFonts w:ascii="Times New Roman" w:hAnsi="Times New Roman" w:cs="Times New Roman"/>
          <w:bCs/>
          <w:sz w:val="24"/>
          <w:szCs w:val="24"/>
        </w:rPr>
        <w:t>Company</w:t>
      </w:r>
      <w:r w:rsidRPr="00AF7252">
        <w:rPr>
          <w:rFonts w:ascii="Times New Roman" w:hAnsi="Times New Roman" w:cs="Times New Roman"/>
          <w:bCs/>
          <w:sz w:val="24"/>
          <w:szCs w:val="24"/>
        </w:rPr>
        <w:t>) in favour of the resoluti</w:t>
      </w:r>
      <w:r w:rsidR="00AF7252" w:rsidRPr="00AF7252">
        <w:rPr>
          <w:rFonts w:ascii="Times New Roman" w:hAnsi="Times New Roman" w:cs="Times New Roman"/>
          <w:bCs/>
          <w:sz w:val="24"/>
          <w:szCs w:val="24"/>
        </w:rPr>
        <w:t xml:space="preserve">on. The requisite approval was </w:t>
      </w:r>
      <w:r w:rsidR="008C556B" w:rsidRPr="00AF7252">
        <w:rPr>
          <w:rFonts w:ascii="Times New Roman" w:hAnsi="Times New Roman" w:cs="Times New Roman"/>
          <w:bCs/>
          <w:sz w:val="24"/>
          <w:szCs w:val="24"/>
        </w:rPr>
        <w:t>therefore,</w:t>
      </w:r>
      <w:r w:rsidRPr="00AF7252">
        <w:rPr>
          <w:rFonts w:ascii="Times New Roman" w:hAnsi="Times New Roman" w:cs="Times New Roman"/>
          <w:bCs/>
          <w:sz w:val="24"/>
          <w:szCs w:val="24"/>
        </w:rPr>
        <w:t xml:space="preserve"> certain to be secured. </w:t>
      </w:r>
    </w:p>
    <w:p w14:paraId="0F735C42" w14:textId="77777777" w:rsidR="000A625C" w:rsidRPr="00FD4858" w:rsidRDefault="000A625C" w:rsidP="00FD4858">
      <w:pPr>
        <w:spacing w:line="240" w:lineRule="auto"/>
        <w:jc w:val="both"/>
        <w:rPr>
          <w:rFonts w:ascii="Times New Roman" w:hAnsi="Times New Roman" w:cs="Times New Roman"/>
          <w:bCs/>
          <w:sz w:val="24"/>
          <w:szCs w:val="24"/>
        </w:rPr>
      </w:pPr>
    </w:p>
    <w:p w14:paraId="049A3B36" w14:textId="28B47264" w:rsidR="000A625C" w:rsidRPr="00AF7252" w:rsidRDefault="000A625C" w:rsidP="00AF7252">
      <w:pPr>
        <w:pStyle w:val="ListParagraph"/>
        <w:numPr>
          <w:ilvl w:val="0"/>
          <w:numId w:val="1"/>
        </w:numPr>
        <w:spacing w:line="360" w:lineRule="auto"/>
        <w:jc w:val="both"/>
        <w:rPr>
          <w:rFonts w:ascii="Times New Roman" w:hAnsi="Times New Roman" w:cs="Times New Roman"/>
          <w:bCs/>
          <w:sz w:val="24"/>
          <w:szCs w:val="24"/>
        </w:rPr>
      </w:pPr>
      <w:r w:rsidRPr="00AF7252">
        <w:rPr>
          <w:rFonts w:ascii="Times New Roman" w:hAnsi="Times New Roman" w:cs="Times New Roman"/>
          <w:bCs/>
          <w:sz w:val="24"/>
          <w:szCs w:val="24"/>
        </w:rPr>
        <w:t xml:space="preserve">Under the terms of the Amalgamation, shareholders in the </w:t>
      </w:r>
      <w:r w:rsidR="007540C4" w:rsidRPr="00AF7252">
        <w:rPr>
          <w:rFonts w:ascii="Times New Roman" w:hAnsi="Times New Roman" w:cs="Times New Roman"/>
          <w:bCs/>
          <w:sz w:val="24"/>
          <w:szCs w:val="24"/>
        </w:rPr>
        <w:t>Company</w:t>
      </w:r>
      <w:r w:rsidR="00AF7252" w:rsidRPr="00AF7252">
        <w:rPr>
          <w:rFonts w:ascii="Times New Roman" w:hAnsi="Times New Roman" w:cs="Times New Roman"/>
          <w:bCs/>
          <w:sz w:val="24"/>
          <w:szCs w:val="24"/>
        </w:rPr>
        <w:t xml:space="preserve"> (other than Jardine </w:t>
      </w:r>
      <w:r w:rsidRPr="00AF7252">
        <w:rPr>
          <w:rFonts w:ascii="Times New Roman" w:hAnsi="Times New Roman" w:cs="Times New Roman"/>
          <w:bCs/>
          <w:sz w:val="24"/>
          <w:szCs w:val="24"/>
        </w:rPr>
        <w:t xml:space="preserve">Matheson and its </w:t>
      </w:r>
      <w:r w:rsidR="00C0468C" w:rsidRPr="00AF7252">
        <w:rPr>
          <w:rFonts w:ascii="Times New Roman" w:hAnsi="Times New Roman" w:cs="Times New Roman"/>
          <w:bCs/>
          <w:sz w:val="24"/>
          <w:szCs w:val="24"/>
        </w:rPr>
        <w:t>wholly owned</w:t>
      </w:r>
      <w:r w:rsidRPr="00AF7252">
        <w:rPr>
          <w:rFonts w:ascii="Times New Roman" w:hAnsi="Times New Roman" w:cs="Times New Roman"/>
          <w:bCs/>
          <w:sz w:val="24"/>
          <w:szCs w:val="24"/>
        </w:rPr>
        <w:t xml:space="preserve"> subsidiaries) were entitle</w:t>
      </w:r>
      <w:r w:rsidR="00AF7252" w:rsidRPr="00AF7252">
        <w:rPr>
          <w:rFonts w:ascii="Times New Roman" w:hAnsi="Times New Roman" w:cs="Times New Roman"/>
          <w:bCs/>
          <w:sz w:val="24"/>
          <w:szCs w:val="24"/>
        </w:rPr>
        <w:t xml:space="preserve">d to receive US$ 33.00 in cash </w:t>
      </w:r>
      <w:r w:rsidRPr="00AF7252">
        <w:rPr>
          <w:rFonts w:ascii="Times New Roman" w:hAnsi="Times New Roman" w:cs="Times New Roman"/>
          <w:bCs/>
          <w:sz w:val="24"/>
          <w:szCs w:val="24"/>
        </w:rPr>
        <w:t>for each ordinary share which they held in the</w:t>
      </w:r>
      <w:r w:rsidR="00DB3991" w:rsidRPr="00AF7252">
        <w:rPr>
          <w:rFonts w:ascii="Times New Roman" w:hAnsi="Times New Roman" w:cs="Times New Roman"/>
          <w:bCs/>
          <w:sz w:val="24"/>
          <w:szCs w:val="24"/>
        </w:rPr>
        <w:t xml:space="preserve"> Company</w:t>
      </w:r>
      <w:r w:rsidRPr="00AF7252">
        <w:rPr>
          <w:rFonts w:ascii="Times New Roman" w:hAnsi="Times New Roman" w:cs="Times New Roman"/>
          <w:bCs/>
          <w:sz w:val="24"/>
          <w:szCs w:val="24"/>
        </w:rPr>
        <w:t xml:space="preserve"> (the </w:t>
      </w:r>
      <w:r w:rsidRPr="00AF7252">
        <w:rPr>
          <w:rFonts w:ascii="Times New Roman" w:hAnsi="Times New Roman" w:cs="Times New Roman"/>
          <w:b/>
          <w:sz w:val="24"/>
          <w:szCs w:val="24"/>
        </w:rPr>
        <w:t>Acquisition Price</w:t>
      </w:r>
      <w:r w:rsidR="00AF7252" w:rsidRPr="00AF7252">
        <w:rPr>
          <w:rFonts w:ascii="Times New Roman" w:hAnsi="Times New Roman" w:cs="Times New Roman"/>
          <w:bCs/>
          <w:sz w:val="24"/>
          <w:szCs w:val="24"/>
        </w:rPr>
        <w:t xml:space="preserve">). Mr. Parr </w:t>
      </w:r>
      <w:r w:rsidRPr="00AF7252">
        <w:rPr>
          <w:rFonts w:ascii="Times New Roman" w:hAnsi="Times New Roman" w:cs="Times New Roman"/>
          <w:bCs/>
          <w:sz w:val="24"/>
          <w:szCs w:val="24"/>
        </w:rPr>
        <w:t>states that the Acquisition Price valued the shares at U</w:t>
      </w:r>
      <w:r w:rsidR="00AF7252" w:rsidRPr="00AF7252">
        <w:rPr>
          <w:rFonts w:ascii="Times New Roman" w:hAnsi="Times New Roman" w:cs="Times New Roman"/>
          <w:bCs/>
          <w:sz w:val="24"/>
          <w:szCs w:val="24"/>
        </w:rPr>
        <w:t xml:space="preserve">S$ 5.5 billion, representing a </w:t>
      </w:r>
      <w:r w:rsidRPr="00AF7252">
        <w:rPr>
          <w:rFonts w:ascii="Times New Roman" w:hAnsi="Times New Roman" w:cs="Times New Roman"/>
          <w:bCs/>
          <w:sz w:val="24"/>
          <w:szCs w:val="24"/>
        </w:rPr>
        <w:t>premium of approximately: (i) 20.2% to the closing middle</w:t>
      </w:r>
      <w:r w:rsidR="00AF7252" w:rsidRPr="00AF7252">
        <w:rPr>
          <w:rFonts w:ascii="Times New Roman" w:hAnsi="Times New Roman" w:cs="Times New Roman"/>
          <w:bCs/>
          <w:sz w:val="24"/>
          <w:szCs w:val="24"/>
        </w:rPr>
        <w:t xml:space="preserve"> market price of US$ 27.45 per </w:t>
      </w:r>
      <w:r w:rsidRPr="00AF7252">
        <w:rPr>
          <w:rFonts w:ascii="Times New Roman" w:hAnsi="Times New Roman" w:cs="Times New Roman"/>
          <w:bCs/>
          <w:sz w:val="24"/>
          <w:szCs w:val="24"/>
        </w:rPr>
        <w:t>share on the Singapore Stock Exchange on 5 March 2021; (ii) 29% to the volume-weighte</w:t>
      </w:r>
      <w:r w:rsidR="00AF7252" w:rsidRPr="00AF7252">
        <w:rPr>
          <w:rFonts w:ascii="Times New Roman" w:hAnsi="Times New Roman" w:cs="Times New Roman"/>
          <w:bCs/>
          <w:sz w:val="24"/>
          <w:szCs w:val="24"/>
        </w:rPr>
        <w:t xml:space="preserve">d </w:t>
      </w:r>
      <w:r w:rsidRPr="00AF7252">
        <w:rPr>
          <w:rFonts w:ascii="Times New Roman" w:hAnsi="Times New Roman" w:cs="Times New Roman"/>
          <w:bCs/>
          <w:sz w:val="24"/>
          <w:szCs w:val="24"/>
        </w:rPr>
        <w:t>average closing middle market price of US$ 25.58 pe</w:t>
      </w:r>
      <w:r w:rsidR="00AF7252" w:rsidRPr="00AF7252">
        <w:rPr>
          <w:rFonts w:ascii="Times New Roman" w:hAnsi="Times New Roman" w:cs="Times New Roman"/>
          <w:bCs/>
          <w:sz w:val="24"/>
          <w:szCs w:val="24"/>
        </w:rPr>
        <w:t xml:space="preserve">r share on the Singapore Stock </w:t>
      </w:r>
      <w:r w:rsidRPr="00AF7252">
        <w:rPr>
          <w:rFonts w:ascii="Times New Roman" w:hAnsi="Times New Roman" w:cs="Times New Roman"/>
          <w:bCs/>
          <w:sz w:val="24"/>
          <w:szCs w:val="24"/>
        </w:rPr>
        <w:t xml:space="preserve">Exchange over the one-month period ended 5 March 2021; </w:t>
      </w:r>
      <w:r w:rsidR="00AF7252" w:rsidRPr="00AF7252">
        <w:rPr>
          <w:rFonts w:ascii="Times New Roman" w:hAnsi="Times New Roman" w:cs="Times New Roman"/>
          <w:bCs/>
          <w:sz w:val="24"/>
          <w:szCs w:val="24"/>
        </w:rPr>
        <w:t>and (iii) 40.3% to the volume-</w:t>
      </w:r>
      <w:r w:rsidRPr="00AF7252">
        <w:rPr>
          <w:rFonts w:ascii="Times New Roman" w:hAnsi="Times New Roman" w:cs="Times New Roman"/>
          <w:bCs/>
          <w:sz w:val="24"/>
          <w:szCs w:val="24"/>
        </w:rPr>
        <w:t>weighted average closing middle market price of US$ 23.53 per share on the Singapor</w:t>
      </w:r>
      <w:r w:rsidR="00AF7252" w:rsidRPr="00AF7252">
        <w:rPr>
          <w:rFonts w:ascii="Times New Roman" w:hAnsi="Times New Roman" w:cs="Times New Roman"/>
          <w:bCs/>
          <w:sz w:val="24"/>
          <w:szCs w:val="24"/>
        </w:rPr>
        <w:t xml:space="preserve">e </w:t>
      </w:r>
      <w:r w:rsidRPr="00AF7252">
        <w:rPr>
          <w:rFonts w:ascii="Times New Roman" w:hAnsi="Times New Roman" w:cs="Times New Roman"/>
          <w:bCs/>
          <w:sz w:val="24"/>
          <w:szCs w:val="24"/>
        </w:rPr>
        <w:t xml:space="preserve">Stock Exchange over the six-month period ended 5 March 2021. </w:t>
      </w:r>
    </w:p>
    <w:p w14:paraId="2BDE3586" w14:textId="77777777" w:rsidR="000A625C" w:rsidRPr="00FD4858" w:rsidRDefault="000A625C" w:rsidP="00FD4858">
      <w:pPr>
        <w:spacing w:line="240" w:lineRule="auto"/>
        <w:jc w:val="both"/>
        <w:rPr>
          <w:rFonts w:ascii="Times New Roman" w:hAnsi="Times New Roman" w:cs="Times New Roman"/>
          <w:bCs/>
          <w:sz w:val="24"/>
          <w:szCs w:val="24"/>
        </w:rPr>
      </w:pPr>
    </w:p>
    <w:p w14:paraId="346B07AF" w14:textId="4C77D5FD" w:rsidR="000A625C" w:rsidRPr="00AF7252" w:rsidRDefault="000A625C" w:rsidP="00AF7252">
      <w:pPr>
        <w:pStyle w:val="ListParagraph"/>
        <w:numPr>
          <w:ilvl w:val="0"/>
          <w:numId w:val="1"/>
        </w:numPr>
        <w:spacing w:line="360" w:lineRule="auto"/>
        <w:jc w:val="both"/>
        <w:rPr>
          <w:rFonts w:ascii="Times New Roman" w:hAnsi="Times New Roman" w:cs="Times New Roman"/>
          <w:bCs/>
          <w:sz w:val="24"/>
          <w:szCs w:val="24"/>
        </w:rPr>
      </w:pPr>
      <w:r w:rsidRPr="00AF7252">
        <w:rPr>
          <w:rFonts w:ascii="Times New Roman" w:hAnsi="Times New Roman" w:cs="Times New Roman"/>
          <w:bCs/>
          <w:sz w:val="24"/>
          <w:szCs w:val="24"/>
        </w:rPr>
        <w:t xml:space="preserve">As a number of the directors of the </w:t>
      </w:r>
      <w:r w:rsidR="00DB3991" w:rsidRPr="00AF7252">
        <w:rPr>
          <w:rFonts w:ascii="Times New Roman" w:hAnsi="Times New Roman" w:cs="Times New Roman"/>
          <w:bCs/>
          <w:sz w:val="24"/>
          <w:szCs w:val="24"/>
        </w:rPr>
        <w:t>Company</w:t>
      </w:r>
      <w:r w:rsidRPr="00AF7252">
        <w:rPr>
          <w:rFonts w:ascii="Times New Roman" w:hAnsi="Times New Roman" w:cs="Times New Roman"/>
          <w:bCs/>
          <w:sz w:val="24"/>
          <w:szCs w:val="24"/>
        </w:rPr>
        <w:t xml:space="preserve"> were also dire</w:t>
      </w:r>
      <w:r w:rsidR="00AF7252" w:rsidRPr="00AF7252">
        <w:rPr>
          <w:rFonts w:ascii="Times New Roman" w:hAnsi="Times New Roman" w:cs="Times New Roman"/>
          <w:bCs/>
          <w:sz w:val="24"/>
          <w:szCs w:val="24"/>
        </w:rPr>
        <w:t xml:space="preserve">ctors of Jardine Matheson, the </w:t>
      </w:r>
      <w:r w:rsidR="00161AD1" w:rsidRPr="00AF7252">
        <w:rPr>
          <w:rFonts w:ascii="Times New Roman" w:hAnsi="Times New Roman" w:cs="Times New Roman"/>
          <w:bCs/>
          <w:sz w:val="24"/>
          <w:szCs w:val="24"/>
        </w:rPr>
        <w:t>Company’s</w:t>
      </w:r>
      <w:r w:rsidRPr="00AF7252">
        <w:rPr>
          <w:rFonts w:ascii="Times New Roman" w:hAnsi="Times New Roman" w:cs="Times New Roman"/>
          <w:bCs/>
          <w:sz w:val="24"/>
          <w:szCs w:val="24"/>
        </w:rPr>
        <w:t xml:space="preserve"> board delegated responsibility for con</w:t>
      </w:r>
      <w:r w:rsidR="00AF7252" w:rsidRPr="00AF7252">
        <w:rPr>
          <w:rFonts w:ascii="Times New Roman" w:hAnsi="Times New Roman" w:cs="Times New Roman"/>
          <w:bCs/>
          <w:sz w:val="24"/>
          <w:szCs w:val="24"/>
        </w:rPr>
        <w:t xml:space="preserve">sidering the Amalgamation to a </w:t>
      </w:r>
      <w:r w:rsidRPr="00AF7252">
        <w:rPr>
          <w:rFonts w:ascii="Times New Roman" w:hAnsi="Times New Roman" w:cs="Times New Roman"/>
          <w:bCs/>
          <w:sz w:val="24"/>
          <w:szCs w:val="24"/>
        </w:rPr>
        <w:t xml:space="preserve">committee of directors who were not also directors of Jardine Matheson (“the </w:t>
      </w:r>
      <w:r w:rsidRPr="00AF7252">
        <w:rPr>
          <w:rFonts w:ascii="Times New Roman" w:hAnsi="Times New Roman" w:cs="Times New Roman"/>
          <w:b/>
          <w:sz w:val="24"/>
          <w:szCs w:val="24"/>
        </w:rPr>
        <w:t>Transaction</w:t>
      </w:r>
      <w:r w:rsidR="00AF7252" w:rsidRPr="00AF7252">
        <w:rPr>
          <w:rFonts w:ascii="Times New Roman" w:hAnsi="Times New Roman" w:cs="Times New Roman"/>
          <w:bCs/>
          <w:sz w:val="24"/>
          <w:szCs w:val="24"/>
        </w:rPr>
        <w:t xml:space="preserve"> </w:t>
      </w:r>
      <w:r w:rsidRPr="00AF7252">
        <w:rPr>
          <w:rFonts w:ascii="Times New Roman" w:hAnsi="Times New Roman" w:cs="Times New Roman"/>
          <w:b/>
          <w:sz w:val="24"/>
          <w:szCs w:val="24"/>
        </w:rPr>
        <w:t>Committee</w:t>
      </w:r>
      <w:r w:rsidRPr="00AF7252">
        <w:rPr>
          <w:rFonts w:ascii="Times New Roman" w:hAnsi="Times New Roman" w:cs="Times New Roman"/>
          <w:bCs/>
          <w:sz w:val="24"/>
          <w:szCs w:val="24"/>
        </w:rPr>
        <w:t>”). The members of the Transaction Committee were Lord Powell of Bayswater</w:t>
      </w:r>
      <w:r w:rsidR="00AF7252" w:rsidRPr="00AF7252">
        <w:rPr>
          <w:rFonts w:ascii="Times New Roman" w:hAnsi="Times New Roman" w:cs="Times New Roman"/>
          <w:bCs/>
          <w:sz w:val="24"/>
          <w:szCs w:val="24"/>
        </w:rPr>
        <w:t xml:space="preserve">, </w:t>
      </w:r>
      <w:r w:rsidRPr="00AF7252">
        <w:rPr>
          <w:rFonts w:ascii="Times New Roman" w:hAnsi="Times New Roman" w:cs="Times New Roman"/>
          <w:bCs/>
          <w:sz w:val="24"/>
          <w:szCs w:val="24"/>
        </w:rPr>
        <w:t xml:space="preserve">KCMG and Mr Lincoln KK Leong. </w:t>
      </w:r>
    </w:p>
    <w:p w14:paraId="09128C0F" w14:textId="77777777" w:rsidR="000A625C" w:rsidRPr="00FD4858" w:rsidRDefault="000A625C" w:rsidP="00FD4858">
      <w:pPr>
        <w:spacing w:line="240" w:lineRule="auto"/>
        <w:jc w:val="both"/>
        <w:rPr>
          <w:rFonts w:ascii="Times New Roman" w:hAnsi="Times New Roman" w:cs="Times New Roman"/>
          <w:bCs/>
          <w:sz w:val="24"/>
          <w:szCs w:val="24"/>
        </w:rPr>
      </w:pPr>
    </w:p>
    <w:p w14:paraId="4ED630E3" w14:textId="34FB5752" w:rsidR="000A625C" w:rsidRPr="00AF7252" w:rsidRDefault="000A625C" w:rsidP="00AF7252">
      <w:pPr>
        <w:pStyle w:val="ListParagraph"/>
        <w:numPr>
          <w:ilvl w:val="0"/>
          <w:numId w:val="1"/>
        </w:numPr>
        <w:spacing w:line="360" w:lineRule="auto"/>
        <w:jc w:val="both"/>
        <w:rPr>
          <w:rFonts w:ascii="Times New Roman" w:hAnsi="Times New Roman" w:cs="Times New Roman"/>
          <w:bCs/>
          <w:sz w:val="24"/>
          <w:szCs w:val="24"/>
        </w:rPr>
      </w:pPr>
      <w:r w:rsidRPr="00AF7252">
        <w:rPr>
          <w:rFonts w:ascii="Times New Roman" w:hAnsi="Times New Roman" w:cs="Times New Roman"/>
          <w:bCs/>
          <w:sz w:val="24"/>
          <w:szCs w:val="24"/>
        </w:rPr>
        <w:t>The Transaction Committee, advised by Evercore Partners International LLP (“</w:t>
      </w:r>
      <w:r w:rsidRPr="00AF7252">
        <w:rPr>
          <w:rFonts w:ascii="Times New Roman" w:hAnsi="Times New Roman" w:cs="Times New Roman"/>
          <w:b/>
          <w:sz w:val="24"/>
          <w:szCs w:val="24"/>
        </w:rPr>
        <w:t>Evercore</w:t>
      </w:r>
      <w:r w:rsidR="00AF7252" w:rsidRPr="00AF7252">
        <w:rPr>
          <w:rFonts w:ascii="Times New Roman" w:hAnsi="Times New Roman" w:cs="Times New Roman"/>
          <w:bCs/>
          <w:sz w:val="24"/>
          <w:szCs w:val="24"/>
        </w:rPr>
        <w:t xml:space="preserve">”) </w:t>
      </w:r>
      <w:r w:rsidRPr="00AF7252">
        <w:rPr>
          <w:rFonts w:ascii="Times New Roman" w:hAnsi="Times New Roman" w:cs="Times New Roman"/>
          <w:bCs/>
          <w:sz w:val="24"/>
          <w:szCs w:val="24"/>
        </w:rPr>
        <w:t>as to the financial terms of the Amalgamation, considered</w:t>
      </w:r>
      <w:r w:rsidR="00AF7252" w:rsidRPr="00AF7252">
        <w:rPr>
          <w:rFonts w:ascii="Times New Roman" w:hAnsi="Times New Roman" w:cs="Times New Roman"/>
          <w:bCs/>
          <w:sz w:val="24"/>
          <w:szCs w:val="24"/>
        </w:rPr>
        <w:t xml:space="preserve"> the terms of the Amalgamation </w:t>
      </w:r>
      <w:r w:rsidRPr="00AF7252">
        <w:rPr>
          <w:rFonts w:ascii="Times New Roman" w:hAnsi="Times New Roman" w:cs="Times New Roman"/>
          <w:bCs/>
          <w:sz w:val="24"/>
          <w:szCs w:val="24"/>
        </w:rPr>
        <w:t xml:space="preserve">to be fair and reasonable so far as independent shareholders in the </w:t>
      </w:r>
      <w:r w:rsidR="00645F7F" w:rsidRPr="00AF7252">
        <w:rPr>
          <w:rFonts w:ascii="Times New Roman" w:hAnsi="Times New Roman" w:cs="Times New Roman"/>
          <w:bCs/>
          <w:sz w:val="24"/>
          <w:szCs w:val="24"/>
        </w:rPr>
        <w:t>Company</w:t>
      </w:r>
      <w:r w:rsidR="00AF7252" w:rsidRPr="00AF7252">
        <w:rPr>
          <w:rFonts w:ascii="Times New Roman" w:hAnsi="Times New Roman" w:cs="Times New Roman"/>
          <w:bCs/>
          <w:sz w:val="24"/>
          <w:szCs w:val="24"/>
        </w:rPr>
        <w:t xml:space="preserve"> were </w:t>
      </w:r>
      <w:r w:rsidRPr="00AF7252">
        <w:rPr>
          <w:rFonts w:ascii="Times New Roman" w:hAnsi="Times New Roman" w:cs="Times New Roman"/>
          <w:bCs/>
          <w:sz w:val="24"/>
          <w:szCs w:val="24"/>
        </w:rPr>
        <w:t xml:space="preserve">concerned. At the General Meeting of the </w:t>
      </w:r>
      <w:r w:rsidR="00645F7F" w:rsidRPr="00AF7252">
        <w:rPr>
          <w:rFonts w:ascii="Times New Roman" w:hAnsi="Times New Roman" w:cs="Times New Roman"/>
          <w:bCs/>
          <w:sz w:val="24"/>
          <w:szCs w:val="24"/>
        </w:rPr>
        <w:t>Company</w:t>
      </w:r>
      <w:r w:rsidRPr="00AF7252">
        <w:rPr>
          <w:rFonts w:ascii="Times New Roman" w:hAnsi="Times New Roman" w:cs="Times New Roman"/>
          <w:bCs/>
          <w:sz w:val="24"/>
          <w:szCs w:val="24"/>
        </w:rPr>
        <w:t xml:space="preserve"> held on 12 April</w:t>
      </w:r>
      <w:r w:rsidR="00AF7252" w:rsidRPr="00AF7252">
        <w:rPr>
          <w:rFonts w:ascii="Times New Roman" w:hAnsi="Times New Roman" w:cs="Times New Roman"/>
          <w:bCs/>
          <w:sz w:val="24"/>
          <w:szCs w:val="24"/>
        </w:rPr>
        <w:t xml:space="preserve"> 2021, a resolution </w:t>
      </w:r>
      <w:r w:rsidRPr="00AF7252">
        <w:rPr>
          <w:rFonts w:ascii="Times New Roman" w:hAnsi="Times New Roman" w:cs="Times New Roman"/>
          <w:bCs/>
          <w:sz w:val="24"/>
          <w:szCs w:val="24"/>
        </w:rPr>
        <w:t>approving the Amalgamation Agreement was passed. The</w:t>
      </w:r>
      <w:r w:rsidR="00AF7252" w:rsidRPr="00AF7252">
        <w:rPr>
          <w:rFonts w:ascii="Times New Roman" w:hAnsi="Times New Roman" w:cs="Times New Roman"/>
          <w:bCs/>
          <w:sz w:val="24"/>
          <w:szCs w:val="24"/>
        </w:rPr>
        <w:t xml:space="preserve"> Amalgamation became effective </w:t>
      </w:r>
      <w:r w:rsidRPr="00AF7252">
        <w:rPr>
          <w:rFonts w:ascii="Times New Roman" w:hAnsi="Times New Roman" w:cs="Times New Roman"/>
          <w:bCs/>
          <w:sz w:val="24"/>
          <w:szCs w:val="24"/>
        </w:rPr>
        <w:t xml:space="preserve">on 14 April 2021. </w:t>
      </w:r>
    </w:p>
    <w:p w14:paraId="3DC02D13" w14:textId="77777777" w:rsidR="00AF7252" w:rsidRDefault="00AF7252" w:rsidP="00AF7252">
      <w:pPr>
        <w:spacing w:line="360" w:lineRule="auto"/>
        <w:jc w:val="both"/>
        <w:rPr>
          <w:rFonts w:ascii="Times New Roman" w:hAnsi="Times New Roman" w:cs="Times New Roman"/>
          <w:bCs/>
          <w:sz w:val="24"/>
          <w:szCs w:val="24"/>
        </w:rPr>
      </w:pPr>
    </w:p>
    <w:p w14:paraId="536DCD02" w14:textId="69C6B667" w:rsidR="000A625C" w:rsidRPr="00AF7252" w:rsidRDefault="000A625C" w:rsidP="00AF7252">
      <w:pPr>
        <w:pStyle w:val="ListParagraph"/>
        <w:numPr>
          <w:ilvl w:val="0"/>
          <w:numId w:val="1"/>
        </w:numPr>
        <w:spacing w:line="360" w:lineRule="auto"/>
        <w:jc w:val="both"/>
        <w:rPr>
          <w:rFonts w:ascii="Times New Roman" w:hAnsi="Times New Roman" w:cs="Times New Roman"/>
          <w:bCs/>
          <w:sz w:val="24"/>
          <w:szCs w:val="24"/>
        </w:rPr>
      </w:pPr>
      <w:r w:rsidRPr="00AF7252">
        <w:rPr>
          <w:rFonts w:ascii="Times New Roman" w:hAnsi="Times New Roman" w:cs="Times New Roman"/>
          <w:bCs/>
          <w:sz w:val="24"/>
          <w:szCs w:val="24"/>
        </w:rPr>
        <w:t>On 12 and 15 April 2021, 18 originating summonses were filed in relation to the</w:t>
      </w:r>
      <w:r w:rsidR="00AF7252" w:rsidRPr="00AF7252">
        <w:rPr>
          <w:rFonts w:ascii="Times New Roman" w:hAnsi="Times New Roman" w:cs="Times New Roman"/>
          <w:bCs/>
          <w:sz w:val="24"/>
          <w:szCs w:val="24"/>
        </w:rPr>
        <w:t xml:space="preserve"> </w:t>
      </w:r>
      <w:r w:rsidRPr="00AF7252">
        <w:rPr>
          <w:rFonts w:ascii="Times New Roman" w:hAnsi="Times New Roman" w:cs="Times New Roman"/>
          <w:bCs/>
          <w:sz w:val="24"/>
          <w:szCs w:val="24"/>
        </w:rPr>
        <w:t xml:space="preserve">Amalgamation. By those summonses, the Plaintiffs seek appraisals pursuant to section 106 of the Act to determine the fair value of their shares in the </w:t>
      </w:r>
      <w:r w:rsidR="00C40284" w:rsidRPr="00AF7252">
        <w:rPr>
          <w:rFonts w:ascii="Times New Roman" w:hAnsi="Times New Roman" w:cs="Times New Roman"/>
          <w:bCs/>
          <w:sz w:val="24"/>
          <w:szCs w:val="24"/>
        </w:rPr>
        <w:t>Company</w:t>
      </w:r>
      <w:r w:rsidRPr="00AF7252">
        <w:rPr>
          <w:rFonts w:ascii="Times New Roman" w:hAnsi="Times New Roman" w:cs="Times New Roman"/>
          <w:bCs/>
          <w:sz w:val="24"/>
          <w:szCs w:val="24"/>
        </w:rPr>
        <w:t>.</w:t>
      </w:r>
    </w:p>
    <w:p w14:paraId="47209EEF" w14:textId="497E0AAB" w:rsidR="00CD2083" w:rsidRDefault="00CD2083" w:rsidP="00FD4858">
      <w:pPr>
        <w:spacing w:line="240" w:lineRule="auto"/>
        <w:jc w:val="both"/>
        <w:rPr>
          <w:rFonts w:ascii="Times New Roman" w:hAnsi="Times New Roman" w:cs="Times New Roman"/>
          <w:bCs/>
          <w:sz w:val="24"/>
          <w:szCs w:val="24"/>
        </w:rPr>
      </w:pPr>
    </w:p>
    <w:p w14:paraId="036C25C8" w14:textId="4D241034" w:rsidR="00CD2083" w:rsidRPr="0097330C" w:rsidRDefault="00CD2083" w:rsidP="0097330C">
      <w:pPr>
        <w:pStyle w:val="ListParagraph"/>
        <w:numPr>
          <w:ilvl w:val="0"/>
          <w:numId w:val="4"/>
        </w:numPr>
        <w:spacing w:line="240" w:lineRule="auto"/>
        <w:jc w:val="both"/>
        <w:rPr>
          <w:rFonts w:ascii="Times New Roman" w:hAnsi="Times New Roman" w:cs="Times New Roman"/>
          <w:b/>
          <w:sz w:val="24"/>
          <w:szCs w:val="24"/>
        </w:rPr>
      </w:pPr>
      <w:r w:rsidRPr="0097330C">
        <w:rPr>
          <w:rFonts w:ascii="Times New Roman" w:hAnsi="Times New Roman" w:cs="Times New Roman"/>
          <w:b/>
          <w:sz w:val="24"/>
          <w:szCs w:val="24"/>
        </w:rPr>
        <w:t>The Possession, Custody or Power (“PCP”) issue</w:t>
      </w:r>
    </w:p>
    <w:p w14:paraId="10C145D4" w14:textId="61A09973" w:rsidR="00CD2083" w:rsidRDefault="00CD2083" w:rsidP="00FD4858">
      <w:pPr>
        <w:spacing w:line="240" w:lineRule="auto"/>
        <w:jc w:val="both"/>
        <w:rPr>
          <w:rFonts w:ascii="Times New Roman" w:hAnsi="Times New Roman" w:cs="Times New Roman"/>
          <w:b/>
          <w:sz w:val="24"/>
          <w:szCs w:val="24"/>
        </w:rPr>
      </w:pPr>
    </w:p>
    <w:p w14:paraId="692BBCE6" w14:textId="4E6AE23F" w:rsidR="00CD2083" w:rsidRPr="00AF7252" w:rsidRDefault="00CD2083" w:rsidP="00AF7252">
      <w:pPr>
        <w:pStyle w:val="ListParagraph"/>
        <w:numPr>
          <w:ilvl w:val="0"/>
          <w:numId w:val="1"/>
        </w:numPr>
        <w:spacing w:line="360" w:lineRule="auto"/>
        <w:jc w:val="both"/>
        <w:rPr>
          <w:rFonts w:ascii="Times New Roman" w:hAnsi="Times New Roman" w:cs="Times New Roman"/>
          <w:bCs/>
          <w:sz w:val="24"/>
          <w:szCs w:val="24"/>
        </w:rPr>
      </w:pPr>
      <w:r w:rsidRPr="00AF7252">
        <w:rPr>
          <w:rFonts w:ascii="Times New Roman" w:hAnsi="Times New Roman" w:cs="Times New Roman"/>
          <w:bCs/>
          <w:sz w:val="24"/>
          <w:szCs w:val="24"/>
        </w:rPr>
        <w:t>This issue arises in the context of requests made by Mr Bezant, the Plaintiffs</w:t>
      </w:r>
      <w:r w:rsidR="00A442E3" w:rsidRPr="00AF7252">
        <w:rPr>
          <w:rFonts w:ascii="Times New Roman" w:hAnsi="Times New Roman" w:cs="Times New Roman"/>
          <w:bCs/>
          <w:sz w:val="24"/>
          <w:szCs w:val="24"/>
        </w:rPr>
        <w:t>’</w:t>
      </w:r>
      <w:r w:rsidRPr="00AF7252">
        <w:rPr>
          <w:rFonts w:ascii="Times New Roman" w:hAnsi="Times New Roman" w:cs="Times New Roman"/>
          <w:bCs/>
          <w:sz w:val="24"/>
          <w:szCs w:val="24"/>
        </w:rPr>
        <w:t xml:space="preserve"> valuation expert, in </w:t>
      </w:r>
      <w:r w:rsidR="000974C8" w:rsidRPr="00AF7252">
        <w:rPr>
          <w:rFonts w:ascii="Times New Roman" w:hAnsi="Times New Roman" w:cs="Times New Roman"/>
          <w:bCs/>
          <w:sz w:val="24"/>
          <w:szCs w:val="24"/>
        </w:rPr>
        <w:t>his</w:t>
      </w:r>
      <w:r w:rsidRPr="00AF7252">
        <w:rPr>
          <w:rFonts w:ascii="Times New Roman" w:hAnsi="Times New Roman" w:cs="Times New Roman"/>
          <w:bCs/>
          <w:sz w:val="24"/>
          <w:szCs w:val="24"/>
        </w:rPr>
        <w:t xml:space="preserve"> letter </w:t>
      </w:r>
      <w:r w:rsidR="00423B11" w:rsidRPr="00AF7252">
        <w:rPr>
          <w:rFonts w:ascii="Times New Roman" w:hAnsi="Times New Roman" w:cs="Times New Roman"/>
          <w:bCs/>
          <w:sz w:val="24"/>
          <w:szCs w:val="24"/>
        </w:rPr>
        <w:t xml:space="preserve">to the Plaintiffs </w:t>
      </w:r>
      <w:r w:rsidRPr="00AF7252">
        <w:rPr>
          <w:rFonts w:ascii="Times New Roman" w:hAnsi="Times New Roman" w:cs="Times New Roman"/>
          <w:bCs/>
          <w:sz w:val="24"/>
          <w:szCs w:val="24"/>
        </w:rPr>
        <w:t>dated 14 November 2022.</w:t>
      </w:r>
      <w:r w:rsidR="00423B11" w:rsidRPr="00AF7252">
        <w:rPr>
          <w:rFonts w:ascii="Times New Roman" w:hAnsi="Times New Roman" w:cs="Times New Roman"/>
          <w:bCs/>
          <w:sz w:val="24"/>
          <w:szCs w:val="24"/>
        </w:rPr>
        <w:t xml:space="preserve"> In that letter Mr Bezant explains that the Jardine Group is a highly complex, multi</w:t>
      </w:r>
      <w:r w:rsidR="006A39FB" w:rsidRPr="00AF7252">
        <w:rPr>
          <w:rFonts w:ascii="Times New Roman" w:hAnsi="Times New Roman" w:cs="Times New Roman"/>
          <w:bCs/>
          <w:sz w:val="24"/>
          <w:szCs w:val="24"/>
        </w:rPr>
        <w:t>-</w:t>
      </w:r>
      <w:r w:rsidR="00423B11" w:rsidRPr="00AF7252">
        <w:rPr>
          <w:rFonts w:ascii="Times New Roman" w:hAnsi="Times New Roman" w:cs="Times New Roman"/>
          <w:bCs/>
          <w:sz w:val="24"/>
          <w:szCs w:val="24"/>
        </w:rPr>
        <w:t xml:space="preserve">layered conglomerate with investments covering a wide range of industries. The </w:t>
      </w:r>
      <w:r w:rsidR="008E589C" w:rsidRPr="00AF7252">
        <w:rPr>
          <w:rFonts w:ascii="Times New Roman" w:hAnsi="Times New Roman" w:cs="Times New Roman"/>
          <w:bCs/>
          <w:sz w:val="24"/>
          <w:szCs w:val="24"/>
        </w:rPr>
        <w:t>Company</w:t>
      </w:r>
      <w:r w:rsidR="00423B11" w:rsidRPr="00AF7252">
        <w:rPr>
          <w:rFonts w:ascii="Times New Roman" w:hAnsi="Times New Roman" w:cs="Times New Roman"/>
          <w:bCs/>
          <w:sz w:val="24"/>
          <w:szCs w:val="24"/>
        </w:rPr>
        <w:t xml:space="preserve"> is an investment holding </w:t>
      </w:r>
      <w:r w:rsidR="008E589C" w:rsidRPr="00AF7252">
        <w:rPr>
          <w:rFonts w:ascii="Times New Roman" w:hAnsi="Times New Roman" w:cs="Times New Roman"/>
          <w:bCs/>
          <w:sz w:val="24"/>
          <w:szCs w:val="24"/>
        </w:rPr>
        <w:t>company</w:t>
      </w:r>
      <w:r w:rsidR="00423B11" w:rsidRPr="00AF7252">
        <w:rPr>
          <w:rFonts w:ascii="Times New Roman" w:hAnsi="Times New Roman" w:cs="Times New Roman"/>
          <w:bCs/>
          <w:sz w:val="24"/>
          <w:szCs w:val="24"/>
        </w:rPr>
        <w:t xml:space="preserve"> within the group, and its substantial assets - which are the sources of its value - are its direct and indirect interests in the Principal Group Companies (some of which are themselves conglomerates, namely JC&amp;C and Astra</w:t>
      </w:r>
      <w:r w:rsidR="004D764E" w:rsidRPr="00AF7252">
        <w:rPr>
          <w:rFonts w:ascii="Times New Roman" w:hAnsi="Times New Roman" w:cs="Times New Roman"/>
          <w:bCs/>
          <w:sz w:val="24"/>
          <w:szCs w:val="24"/>
        </w:rPr>
        <w:t>).</w:t>
      </w:r>
    </w:p>
    <w:p w14:paraId="2C285B0E" w14:textId="77777777" w:rsidR="002D7E69" w:rsidRDefault="002D7E69" w:rsidP="00423B11">
      <w:pPr>
        <w:spacing w:line="360" w:lineRule="auto"/>
        <w:jc w:val="both"/>
        <w:rPr>
          <w:rFonts w:ascii="Times New Roman" w:hAnsi="Times New Roman" w:cs="Times New Roman"/>
          <w:bCs/>
          <w:sz w:val="24"/>
          <w:szCs w:val="24"/>
        </w:rPr>
      </w:pPr>
    </w:p>
    <w:p w14:paraId="7E698C51" w14:textId="35500AA2" w:rsidR="002D7E69" w:rsidRPr="00AF7252" w:rsidRDefault="002D7E69" w:rsidP="00AF7252">
      <w:pPr>
        <w:pStyle w:val="ListParagraph"/>
        <w:numPr>
          <w:ilvl w:val="0"/>
          <w:numId w:val="1"/>
        </w:numPr>
        <w:spacing w:line="360" w:lineRule="auto"/>
        <w:jc w:val="both"/>
        <w:rPr>
          <w:rFonts w:ascii="Times New Roman" w:hAnsi="Times New Roman" w:cs="Times New Roman"/>
          <w:bCs/>
          <w:sz w:val="24"/>
          <w:szCs w:val="24"/>
        </w:rPr>
      </w:pPr>
      <w:r w:rsidRPr="00AF7252">
        <w:rPr>
          <w:rFonts w:ascii="Times New Roman" w:hAnsi="Times New Roman" w:cs="Times New Roman"/>
          <w:bCs/>
          <w:sz w:val="24"/>
          <w:szCs w:val="24"/>
        </w:rPr>
        <w:t xml:space="preserve">Mr Bezant states that holding companies such as the </w:t>
      </w:r>
      <w:r w:rsidR="00C46309" w:rsidRPr="00AF7252">
        <w:rPr>
          <w:rFonts w:ascii="Times New Roman" w:hAnsi="Times New Roman" w:cs="Times New Roman"/>
          <w:bCs/>
          <w:sz w:val="24"/>
          <w:szCs w:val="24"/>
        </w:rPr>
        <w:t>Company</w:t>
      </w:r>
      <w:r w:rsidR="001D5608" w:rsidRPr="00AF7252">
        <w:rPr>
          <w:rFonts w:ascii="Times New Roman" w:hAnsi="Times New Roman" w:cs="Times New Roman"/>
          <w:bCs/>
          <w:sz w:val="24"/>
          <w:szCs w:val="24"/>
        </w:rPr>
        <w:t xml:space="preserve"> are commonly valued on a “</w:t>
      </w:r>
      <w:r w:rsidR="001D5608" w:rsidRPr="00AF7252">
        <w:rPr>
          <w:rFonts w:ascii="Times New Roman" w:hAnsi="Times New Roman" w:cs="Times New Roman"/>
          <w:bCs/>
          <w:i/>
          <w:iCs/>
          <w:sz w:val="24"/>
          <w:szCs w:val="24"/>
        </w:rPr>
        <w:t>sum of parts</w:t>
      </w:r>
      <w:r w:rsidR="001D5608" w:rsidRPr="00AF7252">
        <w:rPr>
          <w:rFonts w:ascii="Times New Roman" w:hAnsi="Times New Roman" w:cs="Times New Roman"/>
          <w:bCs/>
          <w:sz w:val="24"/>
          <w:szCs w:val="24"/>
        </w:rPr>
        <w:t xml:space="preserve">” basis, which requires (i) assessing the value of holding </w:t>
      </w:r>
      <w:r w:rsidR="000718DD" w:rsidRPr="00AF7252">
        <w:rPr>
          <w:rFonts w:ascii="Times New Roman" w:hAnsi="Times New Roman" w:cs="Times New Roman"/>
          <w:bCs/>
          <w:sz w:val="24"/>
          <w:szCs w:val="24"/>
        </w:rPr>
        <w:t>company</w:t>
      </w:r>
      <w:r w:rsidR="001D5608" w:rsidRPr="00AF7252">
        <w:rPr>
          <w:rFonts w:ascii="Times New Roman" w:hAnsi="Times New Roman" w:cs="Times New Roman"/>
          <w:bCs/>
          <w:sz w:val="24"/>
          <w:szCs w:val="24"/>
        </w:rPr>
        <w:t>’s individual assets</w:t>
      </w:r>
      <w:r w:rsidR="00741811" w:rsidRPr="00AF7252">
        <w:rPr>
          <w:rFonts w:ascii="Times New Roman" w:hAnsi="Times New Roman" w:cs="Times New Roman"/>
          <w:bCs/>
          <w:sz w:val="24"/>
          <w:szCs w:val="24"/>
        </w:rPr>
        <w:t xml:space="preserve"> and liabilities (such as interest in the Principal Group Companies); and (ii) consider the relationship between the sum of these values</w:t>
      </w:r>
      <w:r w:rsidR="00497ED1" w:rsidRPr="00AF7252">
        <w:rPr>
          <w:rFonts w:ascii="Times New Roman" w:hAnsi="Times New Roman" w:cs="Times New Roman"/>
          <w:bCs/>
          <w:sz w:val="24"/>
          <w:szCs w:val="24"/>
        </w:rPr>
        <w:t xml:space="preserve"> and the overall value of the holding </w:t>
      </w:r>
      <w:r w:rsidR="00791829" w:rsidRPr="00AF7252">
        <w:rPr>
          <w:rFonts w:ascii="Times New Roman" w:hAnsi="Times New Roman" w:cs="Times New Roman"/>
          <w:bCs/>
          <w:sz w:val="24"/>
          <w:szCs w:val="24"/>
        </w:rPr>
        <w:t>c</w:t>
      </w:r>
      <w:r w:rsidR="000718DD" w:rsidRPr="00AF7252">
        <w:rPr>
          <w:rFonts w:ascii="Times New Roman" w:hAnsi="Times New Roman" w:cs="Times New Roman"/>
          <w:bCs/>
          <w:sz w:val="24"/>
          <w:szCs w:val="24"/>
        </w:rPr>
        <w:t>ompany</w:t>
      </w:r>
      <w:r w:rsidR="00497ED1" w:rsidRPr="00AF7252">
        <w:rPr>
          <w:rFonts w:ascii="Times New Roman" w:hAnsi="Times New Roman" w:cs="Times New Roman"/>
          <w:bCs/>
          <w:sz w:val="24"/>
          <w:szCs w:val="24"/>
        </w:rPr>
        <w:t>.</w:t>
      </w:r>
      <w:r w:rsidR="0005181F" w:rsidRPr="00AF7252">
        <w:rPr>
          <w:rFonts w:ascii="Times New Roman" w:hAnsi="Times New Roman" w:cs="Times New Roman"/>
          <w:bCs/>
          <w:sz w:val="24"/>
          <w:szCs w:val="24"/>
        </w:rPr>
        <w:t xml:space="preserve"> Mr </w:t>
      </w:r>
      <w:r w:rsidR="00F0202D" w:rsidRPr="00AF7252">
        <w:rPr>
          <w:rFonts w:ascii="Times New Roman" w:hAnsi="Times New Roman" w:cs="Times New Roman"/>
          <w:bCs/>
          <w:sz w:val="24"/>
          <w:szCs w:val="24"/>
        </w:rPr>
        <w:t xml:space="preserve">Bezant considers that in performing a sum of parts valuation of the </w:t>
      </w:r>
      <w:r w:rsidR="00791829" w:rsidRPr="00AF7252">
        <w:rPr>
          <w:rFonts w:ascii="Times New Roman" w:hAnsi="Times New Roman" w:cs="Times New Roman"/>
          <w:bCs/>
          <w:sz w:val="24"/>
          <w:szCs w:val="24"/>
        </w:rPr>
        <w:t>Company</w:t>
      </w:r>
      <w:r w:rsidR="00F0202D" w:rsidRPr="00AF7252">
        <w:rPr>
          <w:rFonts w:ascii="Times New Roman" w:hAnsi="Times New Roman" w:cs="Times New Roman"/>
          <w:bCs/>
          <w:sz w:val="24"/>
          <w:szCs w:val="24"/>
        </w:rPr>
        <w:t xml:space="preserve"> it will be necessary to describe a value of each of its direct and indirect interests</w:t>
      </w:r>
      <w:r w:rsidR="007167B7" w:rsidRPr="00AF7252">
        <w:rPr>
          <w:rFonts w:ascii="Times New Roman" w:hAnsi="Times New Roman" w:cs="Times New Roman"/>
          <w:bCs/>
          <w:sz w:val="24"/>
          <w:szCs w:val="24"/>
        </w:rPr>
        <w:t xml:space="preserve"> in the Principal Group Companies. Among other things, he says, this will require an understanding of the Principal Group Companies’</w:t>
      </w:r>
      <w:r w:rsidR="00223D9B">
        <w:rPr>
          <w:rFonts w:ascii="Times New Roman" w:hAnsi="Times New Roman" w:cs="Times New Roman"/>
          <w:bCs/>
          <w:sz w:val="24"/>
          <w:szCs w:val="24"/>
        </w:rPr>
        <w:t xml:space="preserve"> </w:t>
      </w:r>
      <w:r w:rsidR="007167B7" w:rsidRPr="00AF7252">
        <w:rPr>
          <w:rFonts w:ascii="Times New Roman" w:hAnsi="Times New Roman" w:cs="Times New Roman"/>
          <w:bCs/>
          <w:sz w:val="24"/>
          <w:szCs w:val="24"/>
        </w:rPr>
        <w:t>past performance</w:t>
      </w:r>
      <w:r w:rsidR="002C5621" w:rsidRPr="00AF7252">
        <w:rPr>
          <w:rFonts w:ascii="Times New Roman" w:hAnsi="Times New Roman" w:cs="Times New Roman"/>
          <w:bCs/>
          <w:sz w:val="24"/>
          <w:szCs w:val="24"/>
        </w:rPr>
        <w:t xml:space="preserve"> and their prospects during a period in which the recent and potential ongoing effects of the covert 19 pandemic on the individual businesses need to be taken into account.</w:t>
      </w:r>
    </w:p>
    <w:p w14:paraId="650F562A" w14:textId="77777777" w:rsidR="002C5621" w:rsidRDefault="002C5621" w:rsidP="00423B11">
      <w:pPr>
        <w:spacing w:line="360" w:lineRule="auto"/>
        <w:jc w:val="both"/>
        <w:rPr>
          <w:rFonts w:ascii="Times New Roman" w:hAnsi="Times New Roman" w:cs="Times New Roman"/>
          <w:bCs/>
          <w:sz w:val="24"/>
          <w:szCs w:val="24"/>
        </w:rPr>
      </w:pPr>
    </w:p>
    <w:p w14:paraId="2BED7DA5" w14:textId="77777777" w:rsidR="003A5F0E" w:rsidRPr="00AF7252" w:rsidRDefault="003943BE" w:rsidP="00AF7252">
      <w:pPr>
        <w:pStyle w:val="ListParagraph"/>
        <w:numPr>
          <w:ilvl w:val="0"/>
          <w:numId w:val="1"/>
        </w:numPr>
        <w:spacing w:line="360" w:lineRule="auto"/>
        <w:jc w:val="both"/>
        <w:rPr>
          <w:rFonts w:ascii="Times New Roman" w:hAnsi="Times New Roman" w:cs="Times New Roman"/>
          <w:bCs/>
          <w:sz w:val="24"/>
          <w:szCs w:val="24"/>
        </w:rPr>
      </w:pPr>
      <w:r w:rsidRPr="00AF7252">
        <w:rPr>
          <w:rFonts w:ascii="Times New Roman" w:hAnsi="Times New Roman" w:cs="Times New Roman"/>
          <w:bCs/>
          <w:sz w:val="24"/>
          <w:szCs w:val="24"/>
        </w:rPr>
        <w:t>By way of examples</w:t>
      </w:r>
      <w:r w:rsidR="003A1CB8" w:rsidRPr="00AF7252">
        <w:rPr>
          <w:rFonts w:ascii="Times New Roman" w:hAnsi="Times New Roman" w:cs="Times New Roman"/>
          <w:bCs/>
          <w:sz w:val="24"/>
          <w:szCs w:val="24"/>
        </w:rPr>
        <w:t xml:space="preserve"> Mr Bezant states that he has made requests for following material</w:t>
      </w:r>
      <w:r w:rsidR="0079415B" w:rsidRPr="00AF7252">
        <w:rPr>
          <w:rFonts w:ascii="Times New Roman" w:hAnsi="Times New Roman" w:cs="Times New Roman"/>
          <w:bCs/>
          <w:sz w:val="24"/>
          <w:szCs w:val="24"/>
        </w:rPr>
        <w:t xml:space="preserve"> and for which, he says, either no or a limited response has been receive</w:t>
      </w:r>
      <w:r w:rsidR="003A5F0E" w:rsidRPr="00AF7252">
        <w:rPr>
          <w:rFonts w:ascii="Times New Roman" w:hAnsi="Times New Roman" w:cs="Times New Roman"/>
          <w:bCs/>
          <w:sz w:val="24"/>
          <w:szCs w:val="24"/>
        </w:rPr>
        <w:t xml:space="preserve">d: </w:t>
      </w:r>
    </w:p>
    <w:p w14:paraId="1E2FD6F2" w14:textId="19E163C0" w:rsidR="003D7C3F" w:rsidRPr="001D674A" w:rsidRDefault="003D7C3F" w:rsidP="007153FB">
      <w:pPr>
        <w:pStyle w:val="ListParagraph"/>
        <w:numPr>
          <w:ilvl w:val="0"/>
          <w:numId w:val="3"/>
        </w:numPr>
        <w:spacing w:line="276" w:lineRule="auto"/>
        <w:jc w:val="both"/>
        <w:rPr>
          <w:rFonts w:ascii="Times New Roman" w:hAnsi="Times New Roman" w:cs="Times New Roman"/>
          <w:bCs/>
          <w:sz w:val="24"/>
          <w:szCs w:val="24"/>
        </w:rPr>
      </w:pPr>
      <w:r w:rsidRPr="001D674A">
        <w:rPr>
          <w:rFonts w:ascii="Times New Roman" w:hAnsi="Times New Roman" w:cs="Times New Roman"/>
          <w:sz w:val="24"/>
          <w:szCs w:val="24"/>
        </w:rPr>
        <w:t xml:space="preserve">Monthly management accounts for </w:t>
      </w:r>
      <w:r w:rsidR="00F04730" w:rsidRPr="001D674A">
        <w:rPr>
          <w:rFonts w:ascii="Times New Roman" w:hAnsi="Times New Roman" w:cs="Times New Roman"/>
          <w:sz w:val="24"/>
          <w:szCs w:val="24"/>
        </w:rPr>
        <w:t xml:space="preserve">the </w:t>
      </w:r>
      <w:r w:rsidR="00990E2E">
        <w:rPr>
          <w:rFonts w:ascii="Times New Roman" w:hAnsi="Times New Roman" w:cs="Times New Roman"/>
          <w:sz w:val="24"/>
          <w:szCs w:val="24"/>
        </w:rPr>
        <w:t>Company</w:t>
      </w:r>
      <w:r w:rsidRPr="001D674A">
        <w:rPr>
          <w:rFonts w:ascii="Times New Roman" w:hAnsi="Times New Roman" w:cs="Times New Roman"/>
          <w:sz w:val="24"/>
          <w:szCs w:val="24"/>
        </w:rPr>
        <w:t xml:space="preserve"> and the Principal Group Companies</w:t>
      </w:r>
      <w:r w:rsidR="003A4CB2" w:rsidRPr="001D674A">
        <w:rPr>
          <w:rFonts w:ascii="Times New Roman" w:hAnsi="Times New Roman" w:cs="Times New Roman"/>
          <w:sz w:val="24"/>
          <w:szCs w:val="24"/>
        </w:rPr>
        <w:t>.</w:t>
      </w:r>
      <w:r w:rsidRPr="001D674A">
        <w:rPr>
          <w:rFonts w:ascii="Times New Roman" w:hAnsi="Times New Roman" w:cs="Times New Roman"/>
          <w:sz w:val="24"/>
          <w:szCs w:val="24"/>
        </w:rPr>
        <w:t xml:space="preserve"> </w:t>
      </w:r>
    </w:p>
    <w:p w14:paraId="71A631C5" w14:textId="479D66BD" w:rsidR="003D7C3F" w:rsidRPr="00CB2ACE" w:rsidRDefault="003D7C3F" w:rsidP="007153FB">
      <w:pPr>
        <w:pStyle w:val="ListParagraph"/>
        <w:numPr>
          <w:ilvl w:val="0"/>
          <w:numId w:val="3"/>
        </w:numPr>
        <w:spacing w:line="276" w:lineRule="auto"/>
        <w:rPr>
          <w:rFonts w:ascii="Times New Roman" w:hAnsi="Times New Roman" w:cs="Times New Roman"/>
          <w:sz w:val="24"/>
          <w:szCs w:val="24"/>
        </w:rPr>
      </w:pPr>
      <w:r w:rsidRPr="00CB2ACE">
        <w:rPr>
          <w:rFonts w:ascii="Times New Roman" w:hAnsi="Times New Roman" w:cs="Times New Roman"/>
          <w:sz w:val="24"/>
          <w:szCs w:val="24"/>
        </w:rPr>
        <w:t xml:space="preserve">Spreadsheets and other data sources underlying </w:t>
      </w:r>
      <w:r w:rsidR="00F04730">
        <w:rPr>
          <w:rFonts w:ascii="Times New Roman" w:hAnsi="Times New Roman" w:cs="Times New Roman"/>
          <w:sz w:val="24"/>
          <w:szCs w:val="24"/>
        </w:rPr>
        <w:t xml:space="preserve">the </w:t>
      </w:r>
      <w:r w:rsidR="00990E2E">
        <w:rPr>
          <w:rFonts w:ascii="Times New Roman" w:hAnsi="Times New Roman" w:cs="Times New Roman"/>
          <w:sz w:val="24"/>
          <w:szCs w:val="24"/>
        </w:rPr>
        <w:t>Company</w:t>
      </w:r>
      <w:r w:rsidR="003D2556">
        <w:rPr>
          <w:rFonts w:ascii="Times New Roman" w:hAnsi="Times New Roman" w:cs="Times New Roman"/>
          <w:sz w:val="24"/>
          <w:szCs w:val="24"/>
        </w:rPr>
        <w:t>’s</w:t>
      </w:r>
      <w:r w:rsidRPr="00CB2ACE">
        <w:rPr>
          <w:rFonts w:ascii="Times New Roman" w:hAnsi="Times New Roman" w:cs="Times New Roman"/>
          <w:sz w:val="24"/>
          <w:szCs w:val="24"/>
        </w:rPr>
        <w:t xml:space="preserve"> 2021 budget</w:t>
      </w:r>
      <w:r w:rsidR="003A4CB2" w:rsidRPr="00CB2ACE">
        <w:rPr>
          <w:rFonts w:ascii="Times New Roman" w:hAnsi="Times New Roman" w:cs="Times New Roman"/>
          <w:sz w:val="24"/>
          <w:szCs w:val="24"/>
        </w:rPr>
        <w:t>.</w:t>
      </w:r>
    </w:p>
    <w:p w14:paraId="734E68C1" w14:textId="69D781B5" w:rsidR="008902A5" w:rsidRDefault="003D7C3F" w:rsidP="007153FB">
      <w:pPr>
        <w:pStyle w:val="ListParagraph"/>
        <w:numPr>
          <w:ilvl w:val="0"/>
          <w:numId w:val="3"/>
        </w:numPr>
        <w:spacing w:line="276" w:lineRule="auto"/>
        <w:rPr>
          <w:rFonts w:ascii="Times New Roman" w:hAnsi="Times New Roman" w:cs="Times New Roman"/>
          <w:sz w:val="24"/>
          <w:szCs w:val="24"/>
        </w:rPr>
      </w:pPr>
      <w:r w:rsidRPr="00CB2ACE">
        <w:rPr>
          <w:rFonts w:ascii="Times New Roman" w:hAnsi="Times New Roman" w:cs="Times New Roman"/>
          <w:sz w:val="24"/>
          <w:szCs w:val="24"/>
        </w:rPr>
        <w:t xml:space="preserve">Additional forecasts, including longer-term forecasts, prepared in respect of </w:t>
      </w:r>
      <w:r w:rsidR="00430097">
        <w:rPr>
          <w:rFonts w:ascii="Times New Roman" w:hAnsi="Times New Roman" w:cs="Times New Roman"/>
          <w:sz w:val="24"/>
          <w:szCs w:val="24"/>
        </w:rPr>
        <w:t xml:space="preserve">the </w:t>
      </w:r>
      <w:r w:rsidR="003D2556">
        <w:rPr>
          <w:rFonts w:ascii="Times New Roman" w:hAnsi="Times New Roman" w:cs="Times New Roman"/>
          <w:sz w:val="24"/>
          <w:szCs w:val="24"/>
        </w:rPr>
        <w:t>Company</w:t>
      </w:r>
      <w:r w:rsidRPr="00CB2ACE">
        <w:rPr>
          <w:rFonts w:ascii="Times New Roman" w:hAnsi="Times New Roman" w:cs="Times New Roman"/>
          <w:sz w:val="24"/>
          <w:szCs w:val="24"/>
        </w:rPr>
        <w:t xml:space="preserve"> and the Principal Group Companies</w:t>
      </w:r>
      <w:r w:rsidR="0054586C" w:rsidRPr="00CB2ACE">
        <w:rPr>
          <w:rFonts w:ascii="Times New Roman" w:hAnsi="Times New Roman" w:cs="Times New Roman"/>
          <w:sz w:val="24"/>
          <w:szCs w:val="24"/>
        </w:rPr>
        <w:t>.</w:t>
      </w:r>
    </w:p>
    <w:p w14:paraId="3A8A5EAC" w14:textId="01B97CDB" w:rsidR="00B4044F" w:rsidRDefault="003D7C3F" w:rsidP="007153FB">
      <w:pPr>
        <w:pStyle w:val="ListParagraph"/>
        <w:numPr>
          <w:ilvl w:val="0"/>
          <w:numId w:val="3"/>
        </w:numPr>
        <w:spacing w:line="276" w:lineRule="auto"/>
        <w:rPr>
          <w:rFonts w:ascii="Times New Roman" w:hAnsi="Times New Roman" w:cs="Times New Roman"/>
          <w:sz w:val="24"/>
          <w:szCs w:val="24"/>
        </w:rPr>
      </w:pPr>
      <w:r w:rsidRPr="00CB2ACE">
        <w:rPr>
          <w:rFonts w:ascii="Times New Roman" w:hAnsi="Times New Roman" w:cs="Times New Roman"/>
          <w:sz w:val="24"/>
          <w:szCs w:val="24"/>
        </w:rPr>
        <w:t xml:space="preserve">Internal valuation analyses in respect of </w:t>
      </w:r>
      <w:r w:rsidR="00430097">
        <w:rPr>
          <w:rFonts w:ascii="Times New Roman" w:hAnsi="Times New Roman" w:cs="Times New Roman"/>
          <w:sz w:val="24"/>
          <w:szCs w:val="24"/>
        </w:rPr>
        <w:t xml:space="preserve">the </w:t>
      </w:r>
      <w:r w:rsidR="003D2556">
        <w:rPr>
          <w:rFonts w:ascii="Times New Roman" w:hAnsi="Times New Roman" w:cs="Times New Roman"/>
          <w:sz w:val="24"/>
          <w:szCs w:val="24"/>
        </w:rPr>
        <w:t>Company</w:t>
      </w:r>
      <w:r w:rsidRPr="00CB2ACE">
        <w:rPr>
          <w:rFonts w:ascii="Times New Roman" w:hAnsi="Times New Roman" w:cs="Times New Roman"/>
          <w:sz w:val="24"/>
          <w:szCs w:val="24"/>
        </w:rPr>
        <w:t xml:space="preserve"> and the Principal Group Companies</w:t>
      </w:r>
      <w:r w:rsidR="0054586C" w:rsidRPr="00CB2ACE">
        <w:rPr>
          <w:rFonts w:ascii="Times New Roman" w:hAnsi="Times New Roman" w:cs="Times New Roman"/>
          <w:sz w:val="24"/>
          <w:szCs w:val="24"/>
        </w:rPr>
        <w:t>.</w:t>
      </w:r>
      <w:r w:rsidRPr="00CB2ACE">
        <w:rPr>
          <w:rFonts w:ascii="Times New Roman" w:hAnsi="Times New Roman" w:cs="Times New Roman"/>
          <w:sz w:val="24"/>
          <w:szCs w:val="24"/>
        </w:rPr>
        <w:t xml:space="preserve"> </w:t>
      </w:r>
    </w:p>
    <w:p w14:paraId="216A402A" w14:textId="77777777" w:rsidR="007153FB" w:rsidRDefault="007153FB" w:rsidP="007153FB">
      <w:pPr>
        <w:pStyle w:val="ListParagraph"/>
        <w:spacing w:line="276" w:lineRule="auto"/>
        <w:ind w:left="1080"/>
        <w:rPr>
          <w:rFonts w:ascii="Times New Roman" w:hAnsi="Times New Roman" w:cs="Times New Roman"/>
          <w:sz w:val="24"/>
          <w:szCs w:val="24"/>
        </w:rPr>
      </w:pPr>
    </w:p>
    <w:p w14:paraId="7155530F" w14:textId="29E920B8" w:rsidR="001D674A" w:rsidRPr="00AF7252" w:rsidRDefault="00551D31" w:rsidP="00AF7252">
      <w:pPr>
        <w:pStyle w:val="ListParagraph"/>
        <w:numPr>
          <w:ilvl w:val="0"/>
          <w:numId w:val="1"/>
        </w:numPr>
        <w:spacing w:line="360" w:lineRule="auto"/>
        <w:jc w:val="both"/>
        <w:rPr>
          <w:rFonts w:ascii="Times New Roman" w:hAnsi="Times New Roman" w:cs="Times New Roman"/>
          <w:sz w:val="24"/>
          <w:szCs w:val="24"/>
        </w:rPr>
      </w:pPr>
      <w:r w:rsidRPr="00AF7252">
        <w:rPr>
          <w:rFonts w:ascii="Times New Roman" w:hAnsi="Times New Roman" w:cs="Times New Roman"/>
          <w:sz w:val="24"/>
          <w:szCs w:val="24"/>
        </w:rPr>
        <w:t xml:space="preserve">The </w:t>
      </w:r>
      <w:r w:rsidR="00A13663" w:rsidRPr="00AF7252">
        <w:rPr>
          <w:rFonts w:ascii="Times New Roman" w:hAnsi="Times New Roman" w:cs="Times New Roman"/>
          <w:sz w:val="24"/>
          <w:szCs w:val="24"/>
        </w:rPr>
        <w:t>Defendants</w:t>
      </w:r>
      <w:r w:rsidRPr="00AF7252">
        <w:rPr>
          <w:rFonts w:ascii="Times New Roman" w:hAnsi="Times New Roman" w:cs="Times New Roman"/>
          <w:sz w:val="24"/>
          <w:szCs w:val="24"/>
        </w:rPr>
        <w:t xml:space="preserve"> ha</w:t>
      </w:r>
      <w:r w:rsidR="006E32DE" w:rsidRPr="00AF7252">
        <w:rPr>
          <w:rFonts w:ascii="Times New Roman" w:hAnsi="Times New Roman" w:cs="Times New Roman"/>
          <w:sz w:val="24"/>
          <w:szCs w:val="24"/>
        </w:rPr>
        <w:t>ve</w:t>
      </w:r>
      <w:r w:rsidRPr="00AF7252">
        <w:rPr>
          <w:rFonts w:ascii="Times New Roman" w:hAnsi="Times New Roman" w:cs="Times New Roman"/>
          <w:sz w:val="24"/>
          <w:szCs w:val="24"/>
        </w:rPr>
        <w:t xml:space="preserve"> taken the position that </w:t>
      </w:r>
      <w:r w:rsidR="006E32DE" w:rsidRPr="00AF7252">
        <w:rPr>
          <w:rFonts w:ascii="Times New Roman" w:hAnsi="Times New Roman" w:cs="Times New Roman"/>
          <w:sz w:val="24"/>
          <w:szCs w:val="24"/>
        </w:rPr>
        <w:t>they</w:t>
      </w:r>
      <w:r w:rsidRPr="00AF7252">
        <w:rPr>
          <w:rFonts w:ascii="Times New Roman" w:hAnsi="Times New Roman" w:cs="Times New Roman"/>
          <w:sz w:val="24"/>
          <w:szCs w:val="24"/>
        </w:rPr>
        <w:t xml:space="preserve"> can only provide</w:t>
      </w:r>
      <w:r w:rsidR="0055519C" w:rsidRPr="00AF7252">
        <w:rPr>
          <w:rFonts w:ascii="Times New Roman" w:hAnsi="Times New Roman" w:cs="Times New Roman"/>
          <w:sz w:val="24"/>
          <w:szCs w:val="24"/>
        </w:rPr>
        <w:t xml:space="preserve"> documents which are within </w:t>
      </w:r>
      <w:r w:rsidR="006E32DE" w:rsidRPr="00AF7252">
        <w:rPr>
          <w:rFonts w:ascii="Times New Roman" w:hAnsi="Times New Roman" w:cs="Times New Roman"/>
          <w:sz w:val="24"/>
          <w:szCs w:val="24"/>
        </w:rPr>
        <w:t>their</w:t>
      </w:r>
      <w:r w:rsidR="0055519C" w:rsidRPr="00AF7252">
        <w:rPr>
          <w:rFonts w:ascii="Times New Roman" w:hAnsi="Times New Roman" w:cs="Times New Roman"/>
          <w:sz w:val="24"/>
          <w:szCs w:val="24"/>
        </w:rPr>
        <w:t xml:space="preserve"> PCP and that the documents held by the Principal Group Companies are not within the PCP</w:t>
      </w:r>
      <w:r w:rsidR="00162200" w:rsidRPr="00AF7252">
        <w:rPr>
          <w:rFonts w:ascii="Times New Roman" w:hAnsi="Times New Roman" w:cs="Times New Roman"/>
          <w:sz w:val="24"/>
          <w:szCs w:val="24"/>
        </w:rPr>
        <w:t xml:space="preserve"> of the </w:t>
      </w:r>
      <w:r w:rsidR="00427052" w:rsidRPr="00AF7252">
        <w:rPr>
          <w:rFonts w:ascii="Times New Roman" w:hAnsi="Times New Roman" w:cs="Times New Roman"/>
          <w:sz w:val="24"/>
          <w:szCs w:val="24"/>
        </w:rPr>
        <w:t>Defendants</w:t>
      </w:r>
      <w:r w:rsidR="00162200" w:rsidRPr="00AF7252">
        <w:rPr>
          <w:rFonts w:ascii="Times New Roman" w:hAnsi="Times New Roman" w:cs="Times New Roman"/>
          <w:sz w:val="24"/>
          <w:szCs w:val="24"/>
        </w:rPr>
        <w:t xml:space="preserve">. The Plaintiffs do not accept this contention by the </w:t>
      </w:r>
      <w:r w:rsidR="00427052" w:rsidRPr="00AF7252">
        <w:rPr>
          <w:rFonts w:ascii="Times New Roman" w:hAnsi="Times New Roman" w:cs="Times New Roman"/>
          <w:sz w:val="24"/>
          <w:szCs w:val="24"/>
        </w:rPr>
        <w:t>Defendants</w:t>
      </w:r>
      <w:r w:rsidR="00162200" w:rsidRPr="00AF7252">
        <w:rPr>
          <w:rFonts w:ascii="Times New Roman" w:hAnsi="Times New Roman" w:cs="Times New Roman"/>
          <w:sz w:val="24"/>
          <w:szCs w:val="24"/>
        </w:rPr>
        <w:t xml:space="preserve">. It is the </w:t>
      </w:r>
      <w:r w:rsidR="00766BE2" w:rsidRPr="00AF7252">
        <w:rPr>
          <w:rFonts w:ascii="Times New Roman" w:hAnsi="Times New Roman" w:cs="Times New Roman"/>
          <w:sz w:val="24"/>
          <w:szCs w:val="24"/>
        </w:rPr>
        <w:t>Plaintiffs’ contention</w:t>
      </w:r>
      <w:r w:rsidR="00162200" w:rsidRPr="00AF7252">
        <w:rPr>
          <w:rFonts w:ascii="Times New Roman" w:hAnsi="Times New Roman" w:cs="Times New Roman"/>
          <w:sz w:val="24"/>
          <w:szCs w:val="24"/>
        </w:rPr>
        <w:t xml:space="preserve"> that the material sought by Mr Bezant</w:t>
      </w:r>
      <w:r w:rsidR="00A413D3" w:rsidRPr="00AF7252">
        <w:rPr>
          <w:rFonts w:ascii="Times New Roman" w:hAnsi="Times New Roman" w:cs="Times New Roman"/>
          <w:sz w:val="24"/>
          <w:szCs w:val="24"/>
        </w:rPr>
        <w:t xml:space="preserve"> and held by the Principal Group Companies has been and remains within the </w:t>
      </w:r>
      <w:r w:rsidR="00427052" w:rsidRPr="00AF7252">
        <w:rPr>
          <w:rFonts w:ascii="Times New Roman" w:hAnsi="Times New Roman" w:cs="Times New Roman"/>
          <w:sz w:val="24"/>
          <w:szCs w:val="24"/>
        </w:rPr>
        <w:t>Defendants</w:t>
      </w:r>
      <w:r w:rsidR="00112B8B" w:rsidRPr="00AF7252">
        <w:rPr>
          <w:rFonts w:ascii="Times New Roman" w:hAnsi="Times New Roman" w:cs="Times New Roman"/>
          <w:sz w:val="24"/>
          <w:szCs w:val="24"/>
        </w:rPr>
        <w:t>’</w:t>
      </w:r>
      <w:r w:rsidR="00A413D3" w:rsidRPr="00AF7252">
        <w:rPr>
          <w:rFonts w:ascii="Times New Roman" w:hAnsi="Times New Roman" w:cs="Times New Roman"/>
          <w:sz w:val="24"/>
          <w:szCs w:val="24"/>
        </w:rPr>
        <w:t xml:space="preserve"> power, and they should be order</w:t>
      </w:r>
      <w:r w:rsidR="00766BE2" w:rsidRPr="00AF7252">
        <w:rPr>
          <w:rFonts w:ascii="Times New Roman" w:hAnsi="Times New Roman" w:cs="Times New Roman"/>
          <w:sz w:val="24"/>
          <w:szCs w:val="24"/>
        </w:rPr>
        <w:t>ed</w:t>
      </w:r>
      <w:r w:rsidR="00A413D3" w:rsidRPr="00AF7252">
        <w:rPr>
          <w:rFonts w:ascii="Times New Roman" w:hAnsi="Times New Roman" w:cs="Times New Roman"/>
          <w:sz w:val="24"/>
          <w:szCs w:val="24"/>
        </w:rPr>
        <w:t xml:space="preserve"> to produce it on that footing</w:t>
      </w:r>
      <w:r w:rsidR="00A06117" w:rsidRPr="00AF7252">
        <w:rPr>
          <w:rFonts w:ascii="Times New Roman" w:hAnsi="Times New Roman" w:cs="Times New Roman"/>
          <w:sz w:val="24"/>
          <w:szCs w:val="24"/>
        </w:rPr>
        <w:t>.</w:t>
      </w:r>
      <w:r w:rsidR="00FC315C" w:rsidRPr="00AF7252">
        <w:rPr>
          <w:rFonts w:ascii="Times New Roman" w:hAnsi="Times New Roman" w:cs="Times New Roman"/>
          <w:sz w:val="24"/>
          <w:szCs w:val="24"/>
        </w:rPr>
        <w:t xml:space="preserve"> In order to determine this </w:t>
      </w:r>
      <w:r w:rsidR="00EE274A" w:rsidRPr="00AF7252">
        <w:rPr>
          <w:rFonts w:ascii="Times New Roman" w:hAnsi="Times New Roman" w:cs="Times New Roman"/>
          <w:sz w:val="24"/>
          <w:szCs w:val="24"/>
        </w:rPr>
        <w:t>issue,</w:t>
      </w:r>
      <w:r w:rsidR="00FC315C" w:rsidRPr="00AF7252">
        <w:rPr>
          <w:rFonts w:ascii="Times New Roman" w:hAnsi="Times New Roman" w:cs="Times New Roman"/>
          <w:sz w:val="24"/>
          <w:szCs w:val="24"/>
        </w:rPr>
        <w:t xml:space="preserve"> it is necessary for the Court to consider the relevant law</w:t>
      </w:r>
      <w:r w:rsidR="00AB5F4D" w:rsidRPr="00AF7252">
        <w:rPr>
          <w:rFonts w:ascii="Times New Roman" w:hAnsi="Times New Roman" w:cs="Times New Roman"/>
          <w:sz w:val="24"/>
          <w:szCs w:val="24"/>
        </w:rPr>
        <w:t xml:space="preserve"> and the factual basis for the assertion by the Plaintiffs that the documents held by the Principal Group Companies are within the</w:t>
      </w:r>
      <w:r w:rsidR="00592532" w:rsidRPr="00AF7252">
        <w:rPr>
          <w:rFonts w:ascii="Times New Roman" w:hAnsi="Times New Roman" w:cs="Times New Roman"/>
          <w:sz w:val="24"/>
          <w:szCs w:val="24"/>
        </w:rPr>
        <w:t xml:space="preserve"> control of the </w:t>
      </w:r>
      <w:r w:rsidR="00645F7F" w:rsidRPr="00AF7252">
        <w:rPr>
          <w:rFonts w:ascii="Times New Roman" w:hAnsi="Times New Roman" w:cs="Times New Roman"/>
          <w:sz w:val="24"/>
          <w:szCs w:val="24"/>
        </w:rPr>
        <w:t>Company</w:t>
      </w:r>
      <w:r w:rsidR="00592532" w:rsidRPr="00AF7252">
        <w:rPr>
          <w:rFonts w:ascii="Times New Roman" w:hAnsi="Times New Roman" w:cs="Times New Roman"/>
          <w:sz w:val="24"/>
          <w:szCs w:val="24"/>
        </w:rPr>
        <w:t>.</w:t>
      </w:r>
      <w:r w:rsidR="00F068DC" w:rsidRPr="00AF7252">
        <w:rPr>
          <w:rFonts w:ascii="Times New Roman" w:hAnsi="Times New Roman" w:cs="Times New Roman"/>
          <w:sz w:val="24"/>
          <w:szCs w:val="24"/>
        </w:rPr>
        <w:t xml:space="preserve"> It should be noted at the outset</w:t>
      </w:r>
      <w:r w:rsidR="003E5BE4" w:rsidRPr="00AF7252">
        <w:rPr>
          <w:rFonts w:ascii="Times New Roman" w:hAnsi="Times New Roman" w:cs="Times New Roman"/>
          <w:sz w:val="24"/>
          <w:szCs w:val="24"/>
        </w:rPr>
        <w:t xml:space="preserve"> that Mr Bezant does not contend that he would be unable</w:t>
      </w:r>
      <w:r w:rsidR="002D3368" w:rsidRPr="00AF7252">
        <w:rPr>
          <w:rFonts w:ascii="Times New Roman" w:hAnsi="Times New Roman" w:cs="Times New Roman"/>
          <w:sz w:val="24"/>
          <w:szCs w:val="24"/>
        </w:rPr>
        <w:t xml:space="preserve"> to undertake </w:t>
      </w:r>
      <w:r w:rsidR="00CF392F" w:rsidRPr="00AF7252">
        <w:rPr>
          <w:rFonts w:ascii="Times New Roman" w:hAnsi="Times New Roman" w:cs="Times New Roman"/>
          <w:sz w:val="24"/>
          <w:szCs w:val="24"/>
        </w:rPr>
        <w:t>the</w:t>
      </w:r>
      <w:r w:rsidR="002D3368" w:rsidRPr="00AF7252">
        <w:rPr>
          <w:rFonts w:ascii="Times New Roman" w:hAnsi="Times New Roman" w:cs="Times New Roman"/>
          <w:sz w:val="24"/>
          <w:szCs w:val="24"/>
        </w:rPr>
        <w:t xml:space="preserve"> </w:t>
      </w:r>
      <w:r w:rsidR="00CF392F" w:rsidRPr="00AF7252">
        <w:rPr>
          <w:rFonts w:ascii="Times New Roman" w:hAnsi="Times New Roman" w:cs="Times New Roman"/>
          <w:sz w:val="24"/>
          <w:szCs w:val="24"/>
        </w:rPr>
        <w:t>“</w:t>
      </w:r>
      <w:r w:rsidR="002D3368" w:rsidRPr="00AF7252">
        <w:rPr>
          <w:rFonts w:ascii="Times New Roman" w:hAnsi="Times New Roman" w:cs="Times New Roman"/>
          <w:i/>
          <w:iCs/>
          <w:sz w:val="24"/>
          <w:szCs w:val="24"/>
        </w:rPr>
        <w:t>sum of parts</w:t>
      </w:r>
      <w:r w:rsidR="00CF392F" w:rsidRPr="00AF7252">
        <w:rPr>
          <w:rFonts w:ascii="Times New Roman" w:hAnsi="Times New Roman" w:cs="Times New Roman"/>
          <w:sz w:val="24"/>
          <w:szCs w:val="24"/>
        </w:rPr>
        <w:t>”</w:t>
      </w:r>
      <w:r w:rsidR="002D3368" w:rsidRPr="00AF7252">
        <w:rPr>
          <w:rFonts w:ascii="Times New Roman" w:hAnsi="Times New Roman" w:cs="Times New Roman"/>
          <w:sz w:val="24"/>
          <w:szCs w:val="24"/>
        </w:rPr>
        <w:t xml:space="preserve"> valuation without the requested documents held by the Principal Group Companies</w:t>
      </w:r>
      <w:r w:rsidR="00CF392F" w:rsidRPr="00AF7252">
        <w:rPr>
          <w:rFonts w:ascii="Times New Roman" w:hAnsi="Times New Roman" w:cs="Times New Roman"/>
          <w:sz w:val="24"/>
          <w:szCs w:val="24"/>
        </w:rPr>
        <w:t>.</w:t>
      </w:r>
    </w:p>
    <w:p w14:paraId="2431CA6E" w14:textId="77777777" w:rsidR="0097330C" w:rsidRDefault="0097330C" w:rsidP="001D674A">
      <w:pPr>
        <w:spacing w:line="360" w:lineRule="auto"/>
        <w:rPr>
          <w:rFonts w:ascii="Times New Roman" w:hAnsi="Times New Roman" w:cs="Times New Roman"/>
          <w:sz w:val="24"/>
          <w:szCs w:val="24"/>
        </w:rPr>
      </w:pPr>
    </w:p>
    <w:p w14:paraId="2FF9242F" w14:textId="7BCAE28E" w:rsidR="0097330C" w:rsidRDefault="007659BD" w:rsidP="001D674A">
      <w:pPr>
        <w:spacing w:line="360" w:lineRule="auto"/>
        <w:rPr>
          <w:rFonts w:ascii="Times New Roman" w:hAnsi="Times New Roman" w:cs="Times New Roman"/>
          <w:b/>
          <w:bCs/>
          <w:i/>
          <w:iCs/>
          <w:sz w:val="24"/>
          <w:szCs w:val="24"/>
        </w:rPr>
      </w:pPr>
      <w:r w:rsidRPr="007659BD">
        <w:rPr>
          <w:rFonts w:ascii="Times New Roman" w:hAnsi="Times New Roman" w:cs="Times New Roman"/>
          <w:b/>
          <w:bCs/>
          <w:i/>
          <w:iCs/>
          <w:sz w:val="24"/>
          <w:szCs w:val="24"/>
        </w:rPr>
        <w:t>The relevant legal principle</w:t>
      </w:r>
      <w:r w:rsidR="00FB6018">
        <w:rPr>
          <w:rFonts w:ascii="Times New Roman" w:hAnsi="Times New Roman" w:cs="Times New Roman"/>
          <w:b/>
          <w:bCs/>
          <w:i/>
          <w:iCs/>
          <w:sz w:val="24"/>
          <w:szCs w:val="24"/>
        </w:rPr>
        <w:t>s</w:t>
      </w:r>
    </w:p>
    <w:p w14:paraId="25AA7B94" w14:textId="77777777" w:rsidR="00FB6018" w:rsidRDefault="00FB6018" w:rsidP="001D674A">
      <w:pPr>
        <w:spacing w:line="360" w:lineRule="auto"/>
        <w:rPr>
          <w:rFonts w:ascii="Times New Roman" w:hAnsi="Times New Roman" w:cs="Times New Roman"/>
          <w:b/>
          <w:bCs/>
          <w:i/>
          <w:iCs/>
          <w:sz w:val="24"/>
          <w:szCs w:val="24"/>
        </w:rPr>
      </w:pPr>
    </w:p>
    <w:p w14:paraId="66F9D6C4" w14:textId="627AA810" w:rsidR="007659BD" w:rsidRPr="00AF7252" w:rsidRDefault="00F7649E" w:rsidP="00AF7252">
      <w:pPr>
        <w:pStyle w:val="ListParagraph"/>
        <w:numPr>
          <w:ilvl w:val="0"/>
          <w:numId w:val="1"/>
        </w:numPr>
        <w:spacing w:line="360" w:lineRule="auto"/>
        <w:jc w:val="both"/>
        <w:rPr>
          <w:rFonts w:ascii="Times New Roman" w:hAnsi="Times New Roman" w:cs="Times New Roman"/>
          <w:sz w:val="24"/>
          <w:szCs w:val="24"/>
        </w:rPr>
      </w:pPr>
      <w:r w:rsidRPr="00AF7252">
        <w:rPr>
          <w:rFonts w:ascii="Times New Roman" w:hAnsi="Times New Roman" w:cs="Times New Roman"/>
          <w:sz w:val="24"/>
          <w:szCs w:val="24"/>
        </w:rPr>
        <w:t>RSC Order 24</w:t>
      </w:r>
      <w:r w:rsidR="00FB6018" w:rsidRPr="00AF7252">
        <w:rPr>
          <w:rFonts w:ascii="Times New Roman" w:hAnsi="Times New Roman" w:cs="Times New Roman"/>
          <w:sz w:val="24"/>
          <w:szCs w:val="24"/>
        </w:rPr>
        <w:t xml:space="preserve"> rule 1</w:t>
      </w:r>
      <w:r w:rsidR="00660039" w:rsidRPr="00AF7252">
        <w:rPr>
          <w:rFonts w:ascii="Times New Roman" w:hAnsi="Times New Roman" w:cs="Times New Roman"/>
          <w:sz w:val="24"/>
          <w:szCs w:val="24"/>
        </w:rPr>
        <w:t xml:space="preserve"> requires that after the close of pleadings in an action begun by writ there shall be</w:t>
      </w:r>
      <w:r w:rsidR="004045C3" w:rsidRPr="00AF7252">
        <w:rPr>
          <w:rFonts w:ascii="Times New Roman" w:hAnsi="Times New Roman" w:cs="Times New Roman"/>
          <w:sz w:val="24"/>
          <w:szCs w:val="24"/>
        </w:rPr>
        <w:t xml:space="preserve"> discovery by the parties to the action of the documents which are or have been in their possession, custody or power relating to matters in question in the action.</w:t>
      </w:r>
      <w:r w:rsidR="0005427C" w:rsidRPr="00AF7252">
        <w:rPr>
          <w:rFonts w:ascii="Times New Roman" w:hAnsi="Times New Roman" w:cs="Times New Roman"/>
          <w:sz w:val="24"/>
          <w:szCs w:val="24"/>
        </w:rPr>
        <w:t xml:space="preserve"> It is common ground that on this application the question arises whether the material sought by Mr </w:t>
      </w:r>
      <w:r w:rsidR="00FE7FD3" w:rsidRPr="00AF7252">
        <w:rPr>
          <w:rFonts w:ascii="Times New Roman" w:hAnsi="Times New Roman" w:cs="Times New Roman"/>
          <w:sz w:val="24"/>
          <w:szCs w:val="24"/>
        </w:rPr>
        <w:t>B</w:t>
      </w:r>
      <w:r w:rsidR="0005427C" w:rsidRPr="00AF7252">
        <w:rPr>
          <w:rFonts w:ascii="Times New Roman" w:hAnsi="Times New Roman" w:cs="Times New Roman"/>
          <w:sz w:val="24"/>
          <w:szCs w:val="24"/>
        </w:rPr>
        <w:t>ezant</w:t>
      </w:r>
      <w:r w:rsidR="00FE7FD3" w:rsidRPr="00AF7252">
        <w:rPr>
          <w:rFonts w:ascii="Times New Roman" w:hAnsi="Times New Roman" w:cs="Times New Roman"/>
          <w:sz w:val="24"/>
          <w:szCs w:val="24"/>
        </w:rPr>
        <w:t xml:space="preserve"> held by the Principal Group Companies is or has been within the power of the </w:t>
      </w:r>
      <w:r w:rsidR="0061726E" w:rsidRPr="00AF7252">
        <w:rPr>
          <w:rFonts w:ascii="Times New Roman" w:hAnsi="Times New Roman" w:cs="Times New Roman"/>
          <w:sz w:val="24"/>
          <w:szCs w:val="24"/>
        </w:rPr>
        <w:t>Defendants</w:t>
      </w:r>
      <w:r w:rsidR="00FE7FD3" w:rsidRPr="00AF7252">
        <w:rPr>
          <w:rFonts w:ascii="Times New Roman" w:hAnsi="Times New Roman" w:cs="Times New Roman"/>
          <w:sz w:val="24"/>
          <w:szCs w:val="24"/>
        </w:rPr>
        <w:t xml:space="preserve"> and therefore falls to be disclosed by them in response to its requests.</w:t>
      </w:r>
      <w:r w:rsidR="0004538C" w:rsidRPr="00AF7252">
        <w:rPr>
          <w:rFonts w:ascii="Times New Roman" w:hAnsi="Times New Roman" w:cs="Times New Roman"/>
          <w:sz w:val="24"/>
          <w:szCs w:val="24"/>
        </w:rPr>
        <w:t xml:space="preserve"> This issue</w:t>
      </w:r>
      <w:r w:rsidR="000C0ACC" w:rsidRPr="00AF7252">
        <w:rPr>
          <w:rFonts w:ascii="Times New Roman" w:hAnsi="Times New Roman" w:cs="Times New Roman"/>
          <w:sz w:val="24"/>
          <w:szCs w:val="24"/>
        </w:rPr>
        <w:t xml:space="preserve"> requires the Court to consider the authorities in which disclosure was so</w:t>
      </w:r>
      <w:r w:rsidR="00B50701" w:rsidRPr="00AF7252">
        <w:rPr>
          <w:rFonts w:ascii="Times New Roman" w:hAnsi="Times New Roman" w:cs="Times New Roman"/>
          <w:sz w:val="24"/>
          <w:szCs w:val="24"/>
        </w:rPr>
        <w:t>ught</w:t>
      </w:r>
      <w:r w:rsidR="000C0ACC" w:rsidRPr="00AF7252">
        <w:rPr>
          <w:rFonts w:ascii="Times New Roman" w:hAnsi="Times New Roman" w:cs="Times New Roman"/>
          <w:sz w:val="24"/>
          <w:szCs w:val="24"/>
        </w:rPr>
        <w:t xml:space="preserve"> of the documents in the hands of third parties but over which it was said disclosing party</w:t>
      </w:r>
      <w:r w:rsidR="00EE160B" w:rsidRPr="00AF7252">
        <w:rPr>
          <w:rFonts w:ascii="Times New Roman" w:hAnsi="Times New Roman" w:cs="Times New Roman"/>
          <w:sz w:val="24"/>
          <w:szCs w:val="24"/>
        </w:rPr>
        <w:t xml:space="preserve"> had “</w:t>
      </w:r>
      <w:r w:rsidR="00EE160B" w:rsidRPr="00AF7252">
        <w:rPr>
          <w:rFonts w:ascii="Times New Roman" w:hAnsi="Times New Roman" w:cs="Times New Roman"/>
          <w:i/>
          <w:iCs/>
          <w:sz w:val="24"/>
          <w:szCs w:val="24"/>
        </w:rPr>
        <w:t>power</w:t>
      </w:r>
      <w:r w:rsidR="00EE160B" w:rsidRPr="00AF7252">
        <w:rPr>
          <w:rFonts w:ascii="Times New Roman" w:hAnsi="Times New Roman" w:cs="Times New Roman"/>
          <w:sz w:val="24"/>
          <w:szCs w:val="24"/>
        </w:rPr>
        <w:t>”</w:t>
      </w:r>
      <w:r w:rsidR="002049A8" w:rsidRPr="00AF7252">
        <w:rPr>
          <w:rFonts w:ascii="Times New Roman" w:hAnsi="Times New Roman" w:cs="Times New Roman"/>
          <w:sz w:val="24"/>
          <w:szCs w:val="24"/>
        </w:rPr>
        <w:t xml:space="preserve"> within the meaning of Order 24 rule 1.</w:t>
      </w:r>
    </w:p>
    <w:p w14:paraId="5B062121" w14:textId="77777777" w:rsidR="00DE0F97" w:rsidRDefault="00DE0F97" w:rsidP="001D674A">
      <w:pPr>
        <w:spacing w:line="360" w:lineRule="auto"/>
        <w:rPr>
          <w:rFonts w:ascii="Times New Roman" w:hAnsi="Times New Roman" w:cs="Times New Roman"/>
          <w:sz w:val="24"/>
          <w:szCs w:val="24"/>
        </w:rPr>
      </w:pPr>
    </w:p>
    <w:p w14:paraId="49F79EA3" w14:textId="77777777" w:rsidR="00AF7252" w:rsidRDefault="00AF7252" w:rsidP="001D674A">
      <w:pPr>
        <w:spacing w:line="360" w:lineRule="auto"/>
        <w:rPr>
          <w:rFonts w:ascii="Times New Roman" w:hAnsi="Times New Roman" w:cs="Times New Roman"/>
          <w:sz w:val="24"/>
          <w:szCs w:val="24"/>
        </w:rPr>
      </w:pPr>
    </w:p>
    <w:p w14:paraId="328A97D6" w14:textId="0C252C3A" w:rsidR="00DE0F97" w:rsidRDefault="002D724A" w:rsidP="001D674A">
      <w:pPr>
        <w:spacing w:line="360" w:lineRule="auto"/>
        <w:rPr>
          <w:rFonts w:ascii="Times New Roman" w:hAnsi="Times New Roman" w:cs="Times New Roman"/>
          <w:b/>
          <w:bCs/>
          <w:i/>
          <w:iCs/>
          <w:sz w:val="24"/>
          <w:szCs w:val="24"/>
        </w:rPr>
      </w:pPr>
      <w:r w:rsidRPr="002D724A">
        <w:rPr>
          <w:rFonts w:ascii="Times New Roman" w:hAnsi="Times New Roman" w:cs="Times New Roman"/>
          <w:b/>
          <w:bCs/>
          <w:i/>
          <w:iCs/>
          <w:sz w:val="24"/>
          <w:szCs w:val="24"/>
        </w:rPr>
        <w:t>Lonr</w:t>
      </w:r>
      <w:r w:rsidR="00385FB8">
        <w:rPr>
          <w:rFonts w:ascii="Times New Roman" w:hAnsi="Times New Roman" w:cs="Times New Roman"/>
          <w:b/>
          <w:bCs/>
          <w:i/>
          <w:iCs/>
          <w:sz w:val="24"/>
          <w:szCs w:val="24"/>
        </w:rPr>
        <w:t>ho</w:t>
      </w:r>
      <w:r w:rsidRPr="002D724A">
        <w:rPr>
          <w:rFonts w:ascii="Times New Roman" w:hAnsi="Times New Roman" w:cs="Times New Roman"/>
          <w:b/>
          <w:bCs/>
          <w:i/>
          <w:iCs/>
          <w:sz w:val="24"/>
          <w:szCs w:val="24"/>
        </w:rPr>
        <w:t xml:space="preserve"> v Shell</w:t>
      </w:r>
    </w:p>
    <w:p w14:paraId="6EAC9E0B" w14:textId="77777777" w:rsidR="00385FB8" w:rsidRDefault="00385FB8" w:rsidP="001D674A">
      <w:pPr>
        <w:spacing w:line="360" w:lineRule="auto"/>
        <w:rPr>
          <w:rFonts w:ascii="Times New Roman" w:hAnsi="Times New Roman" w:cs="Times New Roman"/>
          <w:b/>
          <w:bCs/>
          <w:i/>
          <w:iCs/>
          <w:sz w:val="24"/>
          <w:szCs w:val="24"/>
        </w:rPr>
      </w:pPr>
    </w:p>
    <w:p w14:paraId="53F9951E" w14:textId="4FBAC669" w:rsidR="00385FB8" w:rsidRPr="00AF7252" w:rsidRDefault="00FA4F0A" w:rsidP="00AF7252">
      <w:pPr>
        <w:pStyle w:val="ListParagraph"/>
        <w:numPr>
          <w:ilvl w:val="0"/>
          <w:numId w:val="1"/>
        </w:numPr>
        <w:spacing w:line="360" w:lineRule="auto"/>
        <w:jc w:val="both"/>
        <w:rPr>
          <w:rFonts w:ascii="Times New Roman" w:hAnsi="Times New Roman" w:cs="Times New Roman"/>
          <w:sz w:val="24"/>
          <w:szCs w:val="24"/>
        </w:rPr>
      </w:pPr>
      <w:r w:rsidRPr="00AF7252">
        <w:rPr>
          <w:rFonts w:ascii="Times New Roman" w:hAnsi="Times New Roman" w:cs="Times New Roman"/>
          <w:sz w:val="24"/>
          <w:szCs w:val="24"/>
        </w:rPr>
        <w:t xml:space="preserve">In </w:t>
      </w:r>
      <w:r w:rsidRPr="00AF7252">
        <w:rPr>
          <w:rFonts w:ascii="Times New Roman" w:hAnsi="Times New Roman" w:cs="Times New Roman"/>
          <w:i/>
          <w:iCs/>
          <w:sz w:val="24"/>
          <w:szCs w:val="24"/>
        </w:rPr>
        <w:t>Lon</w:t>
      </w:r>
      <w:r w:rsidR="0095794A" w:rsidRPr="00AF7252">
        <w:rPr>
          <w:rFonts w:ascii="Times New Roman" w:hAnsi="Times New Roman" w:cs="Times New Roman"/>
          <w:i/>
          <w:iCs/>
          <w:sz w:val="24"/>
          <w:szCs w:val="24"/>
        </w:rPr>
        <w:t>rho Ltd v Shell Petroleum Co Ltd and another</w:t>
      </w:r>
      <w:r w:rsidR="00444FA7" w:rsidRPr="00AF7252">
        <w:rPr>
          <w:rFonts w:ascii="Times New Roman" w:hAnsi="Times New Roman" w:cs="Times New Roman"/>
          <w:sz w:val="24"/>
          <w:szCs w:val="24"/>
        </w:rPr>
        <w:t xml:space="preserve"> [1980] </w:t>
      </w:r>
      <w:r w:rsidR="00181464" w:rsidRPr="00AF7252">
        <w:rPr>
          <w:rFonts w:ascii="Times New Roman" w:hAnsi="Times New Roman" w:cs="Times New Roman"/>
          <w:sz w:val="24"/>
          <w:szCs w:val="24"/>
        </w:rPr>
        <w:t>1 WLR 627 the House of Lords was concerned with the issue whether</w:t>
      </w:r>
      <w:r w:rsidR="00B765FB" w:rsidRPr="00AF7252">
        <w:rPr>
          <w:rFonts w:ascii="Times New Roman" w:hAnsi="Times New Roman" w:cs="Times New Roman"/>
          <w:sz w:val="24"/>
          <w:szCs w:val="24"/>
        </w:rPr>
        <w:t xml:space="preserve"> documents held by</w:t>
      </w:r>
      <w:r w:rsidR="001E330F" w:rsidRPr="00AF7252">
        <w:rPr>
          <w:rFonts w:ascii="Times New Roman" w:hAnsi="Times New Roman" w:cs="Times New Roman"/>
          <w:sz w:val="24"/>
          <w:szCs w:val="24"/>
        </w:rPr>
        <w:t xml:space="preserve"> the subsidiaries of</w:t>
      </w:r>
      <w:r w:rsidR="00181464" w:rsidRPr="00AF7252">
        <w:rPr>
          <w:rFonts w:ascii="Times New Roman" w:hAnsi="Times New Roman" w:cs="Times New Roman"/>
          <w:sz w:val="24"/>
          <w:szCs w:val="24"/>
        </w:rPr>
        <w:t xml:space="preserve"> Shell </w:t>
      </w:r>
      <w:r w:rsidR="0046683E" w:rsidRPr="00AF7252">
        <w:rPr>
          <w:rFonts w:ascii="Times New Roman" w:hAnsi="Times New Roman" w:cs="Times New Roman"/>
          <w:sz w:val="24"/>
          <w:szCs w:val="24"/>
        </w:rPr>
        <w:t>P</w:t>
      </w:r>
      <w:r w:rsidR="00181464" w:rsidRPr="00AF7252">
        <w:rPr>
          <w:rFonts w:ascii="Times New Roman" w:hAnsi="Times New Roman" w:cs="Times New Roman"/>
          <w:sz w:val="24"/>
          <w:szCs w:val="24"/>
        </w:rPr>
        <w:t>etroleum</w:t>
      </w:r>
      <w:r w:rsidR="0046683E" w:rsidRPr="00AF7252">
        <w:rPr>
          <w:rFonts w:ascii="Times New Roman" w:hAnsi="Times New Roman" w:cs="Times New Roman"/>
          <w:sz w:val="24"/>
          <w:szCs w:val="24"/>
        </w:rPr>
        <w:t xml:space="preserve"> and British Petroleum</w:t>
      </w:r>
      <w:r w:rsidR="001E330F" w:rsidRPr="00AF7252">
        <w:rPr>
          <w:rFonts w:ascii="Times New Roman" w:hAnsi="Times New Roman" w:cs="Times New Roman"/>
          <w:sz w:val="24"/>
          <w:szCs w:val="24"/>
        </w:rPr>
        <w:t xml:space="preserve"> were within the</w:t>
      </w:r>
      <w:r w:rsidR="006A3619" w:rsidRPr="00AF7252">
        <w:rPr>
          <w:rFonts w:ascii="Times New Roman" w:hAnsi="Times New Roman" w:cs="Times New Roman"/>
          <w:sz w:val="24"/>
          <w:szCs w:val="24"/>
        </w:rPr>
        <w:t xml:space="preserve"> </w:t>
      </w:r>
      <w:r w:rsidR="00E11AC2" w:rsidRPr="00AF7252">
        <w:rPr>
          <w:rFonts w:ascii="Times New Roman" w:hAnsi="Times New Roman" w:cs="Times New Roman"/>
          <w:sz w:val="24"/>
          <w:szCs w:val="24"/>
        </w:rPr>
        <w:t>“</w:t>
      </w:r>
      <w:r w:rsidR="00E11AC2" w:rsidRPr="00AF7252">
        <w:rPr>
          <w:rFonts w:ascii="Times New Roman" w:hAnsi="Times New Roman" w:cs="Times New Roman"/>
          <w:i/>
          <w:iCs/>
          <w:sz w:val="24"/>
          <w:szCs w:val="24"/>
        </w:rPr>
        <w:t>power</w:t>
      </w:r>
      <w:r w:rsidR="00E11AC2" w:rsidRPr="00AF7252">
        <w:rPr>
          <w:rFonts w:ascii="Times New Roman" w:hAnsi="Times New Roman" w:cs="Times New Roman"/>
          <w:sz w:val="24"/>
          <w:szCs w:val="24"/>
        </w:rPr>
        <w:t>”</w:t>
      </w:r>
      <w:r w:rsidR="0086658B" w:rsidRPr="00AF7252">
        <w:rPr>
          <w:rFonts w:ascii="Times New Roman" w:hAnsi="Times New Roman" w:cs="Times New Roman"/>
          <w:sz w:val="24"/>
          <w:szCs w:val="24"/>
        </w:rPr>
        <w:t xml:space="preserve"> of the holding companies such that the holding companies were obliged to</w:t>
      </w:r>
      <w:r w:rsidR="001734CC" w:rsidRPr="00AF7252">
        <w:rPr>
          <w:rFonts w:ascii="Times New Roman" w:hAnsi="Times New Roman" w:cs="Times New Roman"/>
          <w:sz w:val="24"/>
          <w:szCs w:val="24"/>
        </w:rPr>
        <w:t xml:space="preserve"> </w:t>
      </w:r>
      <w:r w:rsidR="00000DD7" w:rsidRPr="00AF7252">
        <w:rPr>
          <w:rFonts w:ascii="Times New Roman" w:hAnsi="Times New Roman" w:cs="Times New Roman"/>
          <w:sz w:val="24"/>
          <w:szCs w:val="24"/>
        </w:rPr>
        <w:t xml:space="preserve">disclose </w:t>
      </w:r>
      <w:r w:rsidR="00BC713F" w:rsidRPr="00AF7252">
        <w:rPr>
          <w:rFonts w:ascii="Times New Roman" w:hAnsi="Times New Roman" w:cs="Times New Roman"/>
          <w:sz w:val="24"/>
          <w:szCs w:val="24"/>
        </w:rPr>
        <w:t xml:space="preserve">the </w:t>
      </w:r>
      <w:r w:rsidR="00000DD7" w:rsidRPr="00AF7252">
        <w:rPr>
          <w:rFonts w:ascii="Times New Roman" w:hAnsi="Times New Roman" w:cs="Times New Roman"/>
          <w:sz w:val="24"/>
          <w:szCs w:val="24"/>
        </w:rPr>
        <w:t>documents held by their subsidiaries</w:t>
      </w:r>
      <w:r w:rsidR="001734CC" w:rsidRPr="00AF7252">
        <w:rPr>
          <w:rFonts w:ascii="Times New Roman" w:hAnsi="Times New Roman" w:cs="Times New Roman"/>
          <w:sz w:val="24"/>
          <w:szCs w:val="24"/>
        </w:rPr>
        <w:t>.</w:t>
      </w:r>
      <w:r w:rsidR="005A3788" w:rsidRPr="00AF7252">
        <w:rPr>
          <w:rFonts w:ascii="Times New Roman" w:hAnsi="Times New Roman" w:cs="Times New Roman"/>
          <w:sz w:val="24"/>
          <w:szCs w:val="24"/>
        </w:rPr>
        <w:t xml:space="preserve"> In the underlying arbitration proceedings</w:t>
      </w:r>
      <w:r w:rsidR="00085F2F" w:rsidRPr="00AF7252">
        <w:rPr>
          <w:rFonts w:ascii="Times New Roman" w:hAnsi="Times New Roman" w:cs="Times New Roman"/>
          <w:sz w:val="24"/>
          <w:szCs w:val="24"/>
        </w:rPr>
        <w:t xml:space="preserve"> Sh</w:t>
      </w:r>
      <w:r w:rsidR="004B277F" w:rsidRPr="00AF7252">
        <w:rPr>
          <w:rFonts w:ascii="Times New Roman" w:hAnsi="Times New Roman" w:cs="Times New Roman"/>
          <w:sz w:val="24"/>
          <w:szCs w:val="24"/>
        </w:rPr>
        <w:t>e</w:t>
      </w:r>
      <w:r w:rsidR="00085F2F" w:rsidRPr="00AF7252">
        <w:rPr>
          <w:rFonts w:ascii="Times New Roman" w:hAnsi="Times New Roman" w:cs="Times New Roman"/>
          <w:sz w:val="24"/>
          <w:szCs w:val="24"/>
        </w:rPr>
        <w:t>ll Petroleum and the British Petroleum had disclosed many documents in their possession but did not disclose documents in the possession of the subsidiaries in Rhodesia and South Africa which the local directors had refused to disclose</w:t>
      </w:r>
      <w:r w:rsidR="00F92ABF" w:rsidRPr="00AF7252">
        <w:rPr>
          <w:rFonts w:ascii="Times New Roman" w:hAnsi="Times New Roman" w:cs="Times New Roman"/>
          <w:sz w:val="24"/>
          <w:szCs w:val="24"/>
        </w:rPr>
        <w:t xml:space="preserve"> although in some cases 100% of the shareholding of the local subsidiaries was owned or controlled by</w:t>
      </w:r>
      <w:r w:rsidR="002F3D3A" w:rsidRPr="00AF7252">
        <w:rPr>
          <w:rFonts w:ascii="Times New Roman" w:hAnsi="Times New Roman" w:cs="Times New Roman"/>
          <w:sz w:val="24"/>
          <w:szCs w:val="24"/>
        </w:rPr>
        <w:t xml:space="preserve"> the holding companies. The plaintiffs contended that the documents in possession of such subsidiaries were in the “</w:t>
      </w:r>
      <w:r w:rsidR="002F3D3A" w:rsidRPr="00AF7252">
        <w:rPr>
          <w:rFonts w:ascii="Times New Roman" w:hAnsi="Times New Roman" w:cs="Times New Roman"/>
          <w:i/>
          <w:iCs/>
          <w:sz w:val="24"/>
          <w:szCs w:val="24"/>
        </w:rPr>
        <w:t>power</w:t>
      </w:r>
      <w:r w:rsidR="002F3D3A" w:rsidRPr="00AF7252">
        <w:rPr>
          <w:rFonts w:ascii="Times New Roman" w:hAnsi="Times New Roman" w:cs="Times New Roman"/>
          <w:sz w:val="24"/>
          <w:szCs w:val="24"/>
        </w:rPr>
        <w:t>”</w:t>
      </w:r>
      <w:r w:rsidR="00904D45" w:rsidRPr="00AF7252">
        <w:rPr>
          <w:rFonts w:ascii="Times New Roman" w:hAnsi="Times New Roman" w:cs="Times New Roman"/>
          <w:sz w:val="24"/>
          <w:szCs w:val="24"/>
        </w:rPr>
        <w:t xml:space="preserve"> </w:t>
      </w:r>
      <w:r w:rsidR="002F3D3A" w:rsidRPr="00AF7252">
        <w:rPr>
          <w:rFonts w:ascii="Times New Roman" w:hAnsi="Times New Roman" w:cs="Times New Roman"/>
          <w:sz w:val="24"/>
          <w:szCs w:val="24"/>
        </w:rPr>
        <w:t xml:space="preserve">of the </w:t>
      </w:r>
      <w:r w:rsidR="000E00F6" w:rsidRPr="00AF7252">
        <w:rPr>
          <w:rFonts w:ascii="Times New Roman" w:hAnsi="Times New Roman" w:cs="Times New Roman"/>
          <w:sz w:val="24"/>
          <w:szCs w:val="24"/>
        </w:rPr>
        <w:t>c</w:t>
      </w:r>
      <w:r w:rsidR="00645F7F" w:rsidRPr="00AF7252">
        <w:rPr>
          <w:rFonts w:ascii="Times New Roman" w:hAnsi="Times New Roman" w:cs="Times New Roman"/>
          <w:sz w:val="24"/>
          <w:szCs w:val="24"/>
        </w:rPr>
        <w:t>ompany</w:t>
      </w:r>
      <w:r w:rsidR="002F3D3A" w:rsidRPr="00AF7252">
        <w:rPr>
          <w:rFonts w:ascii="Times New Roman" w:hAnsi="Times New Roman" w:cs="Times New Roman"/>
          <w:sz w:val="24"/>
          <w:szCs w:val="24"/>
        </w:rPr>
        <w:t xml:space="preserve"> within</w:t>
      </w:r>
      <w:r w:rsidR="00904D45" w:rsidRPr="00AF7252">
        <w:rPr>
          <w:rFonts w:ascii="Times New Roman" w:hAnsi="Times New Roman" w:cs="Times New Roman"/>
          <w:sz w:val="24"/>
          <w:szCs w:val="24"/>
        </w:rPr>
        <w:t xml:space="preserve"> Order 24 rules (1) and (3).</w:t>
      </w:r>
      <w:r w:rsidR="00FC284D" w:rsidRPr="00AF7252">
        <w:rPr>
          <w:rFonts w:ascii="Times New Roman" w:hAnsi="Times New Roman" w:cs="Times New Roman"/>
          <w:sz w:val="24"/>
          <w:szCs w:val="24"/>
        </w:rPr>
        <w:t xml:space="preserve"> Lord </w:t>
      </w:r>
      <w:r w:rsidR="009D1796" w:rsidRPr="00AF7252">
        <w:rPr>
          <w:rFonts w:ascii="Times New Roman" w:hAnsi="Times New Roman" w:cs="Times New Roman"/>
          <w:sz w:val="24"/>
          <w:szCs w:val="24"/>
        </w:rPr>
        <w:t>D</w:t>
      </w:r>
      <w:r w:rsidR="00FC284D" w:rsidRPr="00AF7252">
        <w:rPr>
          <w:rFonts w:ascii="Times New Roman" w:hAnsi="Times New Roman" w:cs="Times New Roman"/>
          <w:sz w:val="24"/>
          <w:szCs w:val="24"/>
        </w:rPr>
        <w:t>iplock</w:t>
      </w:r>
      <w:r w:rsidR="00D73F56" w:rsidRPr="00AF7252">
        <w:rPr>
          <w:rFonts w:ascii="Times New Roman" w:hAnsi="Times New Roman" w:cs="Times New Roman"/>
          <w:sz w:val="24"/>
          <w:szCs w:val="24"/>
        </w:rPr>
        <w:t xml:space="preserve"> </w:t>
      </w:r>
      <w:r w:rsidR="00932614" w:rsidRPr="00AF7252">
        <w:rPr>
          <w:rFonts w:ascii="Times New Roman" w:hAnsi="Times New Roman" w:cs="Times New Roman"/>
          <w:sz w:val="24"/>
          <w:szCs w:val="24"/>
        </w:rPr>
        <w:t>defined the concept of “power” in this context as a presently enforceable legal right</w:t>
      </w:r>
      <w:r w:rsidR="00663B20" w:rsidRPr="00AF7252">
        <w:rPr>
          <w:rFonts w:ascii="Times New Roman" w:hAnsi="Times New Roman" w:cs="Times New Roman"/>
          <w:sz w:val="24"/>
          <w:szCs w:val="24"/>
        </w:rPr>
        <w:t xml:space="preserve"> without the need to obtain consent of anyone else. </w:t>
      </w:r>
      <w:r w:rsidR="009D0991" w:rsidRPr="00AF7252">
        <w:rPr>
          <w:rFonts w:ascii="Times New Roman" w:hAnsi="Times New Roman" w:cs="Times New Roman"/>
          <w:sz w:val="24"/>
          <w:szCs w:val="24"/>
        </w:rPr>
        <w:t xml:space="preserve">Lord Diplock held at </w:t>
      </w:r>
      <w:r w:rsidR="008E7CB1" w:rsidRPr="00AF7252">
        <w:rPr>
          <w:rFonts w:ascii="Times New Roman" w:hAnsi="Times New Roman" w:cs="Times New Roman"/>
          <w:sz w:val="24"/>
          <w:szCs w:val="24"/>
        </w:rPr>
        <w:t>635 E-H:</w:t>
      </w:r>
    </w:p>
    <w:p w14:paraId="54F70D8A" w14:textId="44F094A5" w:rsidR="008E7CB1" w:rsidRPr="00BD2650" w:rsidRDefault="00121A6D" w:rsidP="00070C06">
      <w:pPr>
        <w:spacing w:line="276" w:lineRule="auto"/>
        <w:ind w:left="720"/>
        <w:rPr>
          <w:rFonts w:ascii="Times New Roman" w:hAnsi="Times New Roman" w:cs="Times New Roman"/>
          <w:i/>
          <w:iCs/>
          <w:sz w:val="24"/>
          <w:szCs w:val="24"/>
        </w:rPr>
      </w:pPr>
      <w:r w:rsidRPr="00BD2650">
        <w:rPr>
          <w:rFonts w:ascii="Times New Roman" w:hAnsi="Times New Roman" w:cs="Times New Roman"/>
          <w:i/>
          <w:iCs/>
          <w:sz w:val="24"/>
          <w:szCs w:val="24"/>
        </w:rPr>
        <w:t xml:space="preserve">Your Lordships are not concerned with any other consequences of the relationship between parent and subsidiary companies than those which affect the duty of a parent </w:t>
      </w:r>
      <w:r w:rsidR="00645F7F">
        <w:rPr>
          <w:rFonts w:ascii="Times New Roman" w:hAnsi="Times New Roman" w:cs="Times New Roman"/>
          <w:i/>
          <w:iCs/>
          <w:sz w:val="24"/>
          <w:szCs w:val="24"/>
        </w:rPr>
        <w:t>Company</w:t>
      </w:r>
      <w:r w:rsidRPr="00BD2650">
        <w:rPr>
          <w:rFonts w:ascii="Times New Roman" w:hAnsi="Times New Roman" w:cs="Times New Roman"/>
          <w:i/>
          <w:iCs/>
          <w:sz w:val="24"/>
          <w:szCs w:val="24"/>
        </w:rPr>
        <w:t xml:space="preserve"> of a multi-national group, whose </w:t>
      </w:r>
      <w:r w:rsidR="00645F7F">
        <w:rPr>
          <w:rFonts w:ascii="Times New Roman" w:hAnsi="Times New Roman" w:cs="Times New Roman"/>
          <w:i/>
          <w:iCs/>
          <w:sz w:val="24"/>
          <w:szCs w:val="24"/>
        </w:rPr>
        <w:t>Company</w:t>
      </w:r>
      <w:r w:rsidRPr="00BD2650">
        <w:rPr>
          <w:rFonts w:ascii="Times New Roman" w:hAnsi="Times New Roman" w:cs="Times New Roman"/>
          <w:i/>
          <w:iCs/>
          <w:sz w:val="24"/>
          <w:szCs w:val="24"/>
        </w:rPr>
        <w:t xml:space="preserve"> structure is that of the Shell or B.P. groups, to give discovery of documents under R.S.C., Ord. 24; and this, as I have pointed out, depends upon the true construction of the word " power " in the phrase " the documents which are or have been in his possession, custody or power."</w:t>
      </w:r>
    </w:p>
    <w:p w14:paraId="4FE170F3" w14:textId="097AE811" w:rsidR="00284938" w:rsidRDefault="00CF6C91" w:rsidP="00070C06">
      <w:pPr>
        <w:spacing w:line="276" w:lineRule="auto"/>
        <w:ind w:left="720"/>
        <w:rPr>
          <w:rFonts w:ascii="Times New Roman" w:hAnsi="Times New Roman" w:cs="Times New Roman"/>
          <w:i/>
          <w:iCs/>
          <w:sz w:val="24"/>
          <w:szCs w:val="24"/>
        </w:rPr>
      </w:pPr>
      <w:r w:rsidRPr="00BD2650">
        <w:rPr>
          <w:rFonts w:ascii="Times New Roman" w:hAnsi="Times New Roman" w:cs="Times New Roman"/>
          <w:i/>
          <w:iCs/>
          <w:sz w:val="24"/>
          <w:szCs w:val="24"/>
        </w:rPr>
        <w:t>…</w:t>
      </w:r>
      <w:r w:rsidR="00C36BEE" w:rsidRPr="00BD2650">
        <w:rPr>
          <w:rFonts w:ascii="Times New Roman" w:hAnsi="Times New Roman" w:cs="Times New Roman"/>
          <w:i/>
          <w:iCs/>
          <w:sz w:val="24"/>
          <w:szCs w:val="24"/>
        </w:rPr>
        <w:t xml:space="preserve">As a first stage in discovery, which is the stage with which the subsidiaries appeal is concerned, it requires a </w:t>
      </w:r>
      <w:r w:rsidR="00FE498F" w:rsidRPr="00BD2650">
        <w:rPr>
          <w:rFonts w:ascii="Times New Roman" w:hAnsi="Times New Roman" w:cs="Times New Roman"/>
          <w:i/>
          <w:iCs/>
          <w:sz w:val="24"/>
          <w:szCs w:val="24"/>
        </w:rPr>
        <w:t>party to</w:t>
      </w:r>
      <w:r w:rsidR="00C36BEE" w:rsidRPr="00BD2650">
        <w:rPr>
          <w:rFonts w:ascii="Times New Roman" w:hAnsi="Times New Roman" w:cs="Times New Roman"/>
          <w:i/>
          <w:iCs/>
          <w:sz w:val="24"/>
          <w:szCs w:val="24"/>
        </w:rPr>
        <w:t xml:space="preserve"> provide a list, identifying documents relating to any matter in</w:t>
      </w:r>
      <w:r w:rsidRPr="00BD2650">
        <w:rPr>
          <w:rFonts w:ascii="Times New Roman" w:hAnsi="Times New Roman" w:cs="Times New Roman"/>
          <w:i/>
          <w:iCs/>
          <w:sz w:val="24"/>
          <w:szCs w:val="24"/>
        </w:rPr>
        <w:t xml:space="preserve"> </w:t>
      </w:r>
      <w:r w:rsidR="00C36BEE" w:rsidRPr="00BD2650">
        <w:rPr>
          <w:rFonts w:ascii="Times New Roman" w:hAnsi="Times New Roman" w:cs="Times New Roman"/>
          <w:i/>
          <w:iCs/>
          <w:sz w:val="24"/>
          <w:szCs w:val="24"/>
        </w:rPr>
        <w:t xml:space="preserve">question in the cause of matter in which discovery is ordered. Identification of documents requires that they must be or have at one time been available to be looked at by the person upon whom the duty lies to provide the list. Such is the case when they are or have been in the possession or custody of that person; and in the context of the phrase " possession, custody or power </w:t>
      </w:r>
      <w:r w:rsidR="00C36BEE" w:rsidRPr="00BB5EC3">
        <w:rPr>
          <w:rFonts w:ascii="Times New Roman" w:hAnsi="Times New Roman" w:cs="Times New Roman"/>
          <w:i/>
          <w:iCs/>
          <w:sz w:val="24"/>
          <w:szCs w:val="24"/>
        </w:rPr>
        <w:t xml:space="preserve">" </w:t>
      </w:r>
      <w:r w:rsidR="00C36BEE" w:rsidRPr="00BD2650">
        <w:rPr>
          <w:rFonts w:ascii="Times New Roman" w:hAnsi="Times New Roman" w:cs="Times New Roman"/>
          <w:b/>
          <w:bCs/>
          <w:i/>
          <w:iCs/>
          <w:sz w:val="24"/>
          <w:szCs w:val="24"/>
        </w:rPr>
        <w:t>the expression " power " must, in my view, mean a presently enforceable legal right to obtain from whoever actually holds the document inspection of it without the need to obtain the consent of anyone else</w:t>
      </w:r>
      <w:r w:rsidR="00C36BEE" w:rsidRPr="00BD2650">
        <w:rPr>
          <w:rFonts w:ascii="Times New Roman" w:hAnsi="Times New Roman" w:cs="Times New Roman"/>
          <w:i/>
          <w:iCs/>
          <w:sz w:val="24"/>
          <w:szCs w:val="24"/>
        </w:rPr>
        <w:t>.</w:t>
      </w:r>
      <w:r w:rsidR="00B426A5">
        <w:rPr>
          <w:rFonts w:ascii="Times New Roman" w:hAnsi="Times New Roman" w:cs="Times New Roman"/>
          <w:i/>
          <w:iCs/>
          <w:sz w:val="24"/>
          <w:szCs w:val="24"/>
        </w:rPr>
        <w:t xml:space="preserve"> </w:t>
      </w:r>
      <w:r w:rsidR="00B426A5" w:rsidRPr="0079455E">
        <w:rPr>
          <w:rFonts w:ascii="Times New Roman" w:hAnsi="Times New Roman" w:cs="Times New Roman"/>
          <w:sz w:val="24"/>
          <w:szCs w:val="24"/>
        </w:rPr>
        <w:t>(emphasis added)</w:t>
      </w:r>
    </w:p>
    <w:p w14:paraId="33CECC5A" w14:textId="77777777" w:rsidR="00B426A5" w:rsidRDefault="00B426A5" w:rsidP="008149AA">
      <w:pPr>
        <w:spacing w:line="600" w:lineRule="auto"/>
        <w:ind w:left="720"/>
        <w:rPr>
          <w:rFonts w:ascii="Times New Roman" w:hAnsi="Times New Roman" w:cs="Times New Roman"/>
          <w:i/>
          <w:iCs/>
          <w:sz w:val="24"/>
          <w:szCs w:val="24"/>
        </w:rPr>
      </w:pPr>
    </w:p>
    <w:p w14:paraId="314D541B" w14:textId="342CA20C" w:rsidR="00592532" w:rsidRPr="00AF7252" w:rsidRDefault="00E9657A" w:rsidP="00AF7252">
      <w:pPr>
        <w:pStyle w:val="ListParagraph"/>
        <w:numPr>
          <w:ilvl w:val="0"/>
          <w:numId w:val="1"/>
        </w:numPr>
        <w:spacing w:line="600" w:lineRule="auto"/>
        <w:rPr>
          <w:rFonts w:ascii="Times New Roman" w:hAnsi="Times New Roman" w:cs="Times New Roman"/>
          <w:sz w:val="24"/>
          <w:szCs w:val="24"/>
        </w:rPr>
      </w:pPr>
      <w:r w:rsidRPr="00AF7252">
        <w:rPr>
          <w:rFonts w:ascii="Times New Roman" w:hAnsi="Times New Roman" w:cs="Times New Roman"/>
          <w:sz w:val="24"/>
          <w:szCs w:val="24"/>
        </w:rPr>
        <w:t xml:space="preserve">Lord Diplock </w:t>
      </w:r>
      <w:r w:rsidR="000F0283" w:rsidRPr="00AF7252">
        <w:rPr>
          <w:rFonts w:ascii="Times New Roman" w:hAnsi="Times New Roman" w:cs="Times New Roman"/>
          <w:sz w:val="24"/>
          <w:szCs w:val="24"/>
        </w:rPr>
        <w:t>further explained the notion of “</w:t>
      </w:r>
      <w:r w:rsidR="000F0283" w:rsidRPr="00AF7252">
        <w:rPr>
          <w:rFonts w:ascii="Times New Roman" w:hAnsi="Times New Roman" w:cs="Times New Roman"/>
          <w:i/>
          <w:iCs/>
          <w:sz w:val="24"/>
          <w:szCs w:val="24"/>
        </w:rPr>
        <w:t>presently enforceable legal right</w:t>
      </w:r>
      <w:r w:rsidR="000F0283" w:rsidRPr="00AF7252">
        <w:rPr>
          <w:rFonts w:ascii="Times New Roman" w:hAnsi="Times New Roman" w:cs="Times New Roman"/>
          <w:sz w:val="24"/>
          <w:szCs w:val="24"/>
        </w:rPr>
        <w:t>” at 63</w:t>
      </w:r>
      <w:r w:rsidR="00847BDC" w:rsidRPr="00AF7252">
        <w:rPr>
          <w:rFonts w:ascii="Times New Roman" w:hAnsi="Times New Roman" w:cs="Times New Roman"/>
          <w:sz w:val="24"/>
          <w:szCs w:val="24"/>
        </w:rPr>
        <w:t>6F-H:</w:t>
      </w:r>
    </w:p>
    <w:p w14:paraId="7BDA4716" w14:textId="4B4517F9" w:rsidR="0010426C" w:rsidRPr="0010426C" w:rsidRDefault="0010426C" w:rsidP="00223D9B">
      <w:pPr>
        <w:spacing w:line="240" w:lineRule="auto"/>
        <w:ind w:left="720"/>
        <w:rPr>
          <w:rFonts w:ascii="Times New Roman" w:hAnsi="Times New Roman" w:cs="Times New Roman"/>
          <w:i/>
          <w:iCs/>
          <w:sz w:val="24"/>
          <w:szCs w:val="24"/>
        </w:rPr>
      </w:pPr>
      <w:r w:rsidRPr="0010426C">
        <w:rPr>
          <w:rFonts w:ascii="Times New Roman" w:hAnsi="Times New Roman" w:cs="Times New Roman"/>
          <w:i/>
          <w:iCs/>
          <w:sz w:val="24"/>
          <w:szCs w:val="24"/>
        </w:rPr>
        <w:t xml:space="preserve">For the reasons already indicated Shell Mocambique’s documents are not in </w:t>
      </w:r>
    </w:p>
    <w:p w14:paraId="7FE619AA" w14:textId="77777777" w:rsidR="0010426C" w:rsidRPr="0010426C" w:rsidRDefault="0010426C" w:rsidP="00223D9B">
      <w:pPr>
        <w:spacing w:line="240" w:lineRule="auto"/>
        <w:ind w:left="720"/>
        <w:rPr>
          <w:rFonts w:ascii="Times New Roman" w:hAnsi="Times New Roman" w:cs="Times New Roman"/>
          <w:i/>
          <w:iCs/>
          <w:sz w:val="24"/>
          <w:szCs w:val="24"/>
        </w:rPr>
      </w:pPr>
      <w:r w:rsidRPr="0010426C">
        <w:rPr>
          <w:rFonts w:ascii="Times New Roman" w:hAnsi="Times New Roman" w:cs="Times New Roman"/>
          <w:i/>
          <w:iCs/>
          <w:sz w:val="24"/>
          <w:szCs w:val="24"/>
        </w:rPr>
        <w:t xml:space="preserve">my opinion within the “power” of either of Shell or B.P. within the meaning of </w:t>
      </w:r>
    </w:p>
    <w:p w14:paraId="39738692" w14:textId="77777777" w:rsidR="0010426C" w:rsidRPr="0010426C" w:rsidRDefault="0010426C" w:rsidP="00223D9B">
      <w:pPr>
        <w:spacing w:line="240" w:lineRule="auto"/>
        <w:ind w:left="720"/>
        <w:rPr>
          <w:rFonts w:ascii="Times New Roman" w:hAnsi="Times New Roman" w:cs="Times New Roman"/>
          <w:i/>
          <w:iCs/>
          <w:sz w:val="24"/>
          <w:szCs w:val="24"/>
        </w:rPr>
      </w:pPr>
      <w:r w:rsidRPr="0010426C">
        <w:rPr>
          <w:rFonts w:ascii="Times New Roman" w:hAnsi="Times New Roman" w:cs="Times New Roman"/>
          <w:i/>
          <w:iCs/>
          <w:sz w:val="24"/>
          <w:szCs w:val="24"/>
        </w:rPr>
        <w:t xml:space="preserve">R.S.C, Ord. 24. They could only be brought within their power either (1) by </w:t>
      </w:r>
    </w:p>
    <w:p w14:paraId="1FFE539A" w14:textId="77777777" w:rsidR="0010426C" w:rsidRPr="0010426C" w:rsidRDefault="0010426C" w:rsidP="00223D9B">
      <w:pPr>
        <w:spacing w:line="240" w:lineRule="auto"/>
        <w:ind w:left="720"/>
        <w:rPr>
          <w:rFonts w:ascii="Times New Roman" w:hAnsi="Times New Roman" w:cs="Times New Roman"/>
          <w:i/>
          <w:iCs/>
          <w:sz w:val="24"/>
          <w:szCs w:val="24"/>
        </w:rPr>
      </w:pPr>
      <w:r w:rsidRPr="0010426C">
        <w:rPr>
          <w:rFonts w:ascii="Times New Roman" w:hAnsi="Times New Roman" w:cs="Times New Roman"/>
          <w:i/>
          <w:iCs/>
          <w:sz w:val="24"/>
          <w:szCs w:val="24"/>
        </w:rPr>
        <w:t xml:space="preserve">their taking steps to alter the articles of association of Consolidated and </w:t>
      </w:r>
    </w:p>
    <w:p w14:paraId="7AD9F623" w14:textId="77777777" w:rsidR="0010426C" w:rsidRPr="0010426C" w:rsidRDefault="0010426C" w:rsidP="00223D9B">
      <w:pPr>
        <w:spacing w:line="240" w:lineRule="auto"/>
        <w:ind w:left="720"/>
        <w:rPr>
          <w:rFonts w:ascii="Times New Roman" w:hAnsi="Times New Roman" w:cs="Times New Roman"/>
          <w:i/>
          <w:iCs/>
          <w:sz w:val="24"/>
          <w:szCs w:val="24"/>
        </w:rPr>
      </w:pPr>
      <w:r w:rsidRPr="0010426C">
        <w:rPr>
          <w:rFonts w:ascii="Times New Roman" w:hAnsi="Times New Roman" w:cs="Times New Roman"/>
          <w:i/>
          <w:iCs/>
          <w:sz w:val="24"/>
          <w:szCs w:val="24"/>
        </w:rPr>
        <w:t xml:space="preserve">procuring Consolidated through its own board of directors to take steps to alter </w:t>
      </w:r>
    </w:p>
    <w:p w14:paraId="16C48997" w14:textId="77777777" w:rsidR="0010426C" w:rsidRPr="0010426C" w:rsidRDefault="0010426C" w:rsidP="00223D9B">
      <w:pPr>
        <w:spacing w:line="240" w:lineRule="auto"/>
        <w:ind w:left="720"/>
        <w:rPr>
          <w:rFonts w:ascii="Times New Roman" w:hAnsi="Times New Roman" w:cs="Times New Roman"/>
          <w:i/>
          <w:iCs/>
          <w:sz w:val="24"/>
          <w:szCs w:val="24"/>
        </w:rPr>
      </w:pPr>
      <w:r w:rsidRPr="0010426C">
        <w:rPr>
          <w:rFonts w:ascii="Times New Roman" w:hAnsi="Times New Roman" w:cs="Times New Roman"/>
          <w:i/>
          <w:iCs/>
          <w:sz w:val="24"/>
          <w:szCs w:val="24"/>
        </w:rPr>
        <w:t xml:space="preserve">the articles of association of Shell Mocamabique, which Order 24 does not </w:t>
      </w:r>
    </w:p>
    <w:p w14:paraId="0CDF167D" w14:textId="77777777" w:rsidR="0010426C" w:rsidRPr="0010426C" w:rsidRDefault="0010426C" w:rsidP="00223D9B">
      <w:pPr>
        <w:spacing w:line="240" w:lineRule="auto"/>
        <w:ind w:left="720"/>
        <w:rPr>
          <w:rFonts w:ascii="Times New Roman" w:hAnsi="Times New Roman" w:cs="Times New Roman"/>
          <w:i/>
          <w:iCs/>
          <w:sz w:val="24"/>
          <w:szCs w:val="24"/>
        </w:rPr>
      </w:pPr>
      <w:r w:rsidRPr="0010426C">
        <w:rPr>
          <w:rFonts w:ascii="Times New Roman" w:hAnsi="Times New Roman" w:cs="Times New Roman"/>
          <w:i/>
          <w:iCs/>
          <w:sz w:val="24"/>
          <w:szCs w:val="24"/>
        </w:rPr>
        <w:t xml:space="preserve">require them to do; or (2) by obtaining the voluntary consent of the board of </w:t>
      </w:r>
    </w:p>
    <w:p w14:paraId="656E6877" w14:textId="77777777" w:rsidR="0010426C" w:rsidRPr="00224118" w:rsidRDefault="0010426C" w:rsidP="00223D9B">
      <w:pPr>
        <w:spacing w:line="240" w:lineRule="auto"/>
        <w:ind w:left="720"/>
        <w:rPr>
          <w:rFonts w:ascii="Times New Roman" w:hAnsi="Times New Roman" w:cs="Times New Roman"/>
          <w:b/>
          <w:bCs/>
          <w:i/>
          <w:iCs/>
          <w:sz w:val="24"/>
          <w:szCs w:val="24"/>
        </w:rPr>
      </w:pPr>
      <w:r w:rsidRPr="0010426C">
        <w:rPr>
          <w:rFonts w:ascii="Times New Roman" w:hAnsi="Times New Roman" w:cs="Times New Roman"/>
          <w:i/>
          <w:iCs/>
          <w:sz w:val="24"/>
          <w:szCs w:val="24"/>
        </w:rPr>
        <w:t xml:space="preserve">Shell Mocambique to let them take copies of the documents. </w:t>
      </w:r>
      <w:r w:rsidRPr="00224118">
        <w:rPr>
          <w:rFonts w:ascii="Times New Roman" w:hAnsi="Times New Roman" w:cs="Times New Roman"/>
          <w:b/>
          <w:bCs/>
          <w:i/>
          <w:iCs/>
          <w:sz w:val="24"/>
          <w:szCs w:val="24"/>
        </w:rPr>
        <w:t xml:space="preserve">It may well be </w:t>
      </w:r>
    </w:p>
    <w:p w14:paraId="57AA79C4" w14:textId="77777777" w:rsidR="0010426C" w:rsidRPr="00224118" w:rsidRDefault="0010426C" w:rsidP="00223D9B">
      <w:pPr>
        <w:spacing w:line="240" w:lineRule="auto"/>
        <w:ind w:left="720"/>
        <w:rPr>
          <w:rFonts w:ascii="Times New Roman" w:hAnsi="Times New Roman" w:cs="Times New Roman"/>
          <w:b/>
          <w:bCs/>
          <w:i/>
          <w:iCs/>
          <w:sz w:val="24"/>
          <w:szCs w:val="24"/>
        </w:rPr>
      </w:pPr>
      <w:r w:rsidRPr="00224118">
        <w:rPr>
          <w:rFonts w:ascii="Times New Roman" w:hAnsi="Times New Roman" w:cs="Times New Roman"/>
          <w:b/>
          <w:bCs/>
          <w:i/>
          <w:iCs/>
          <w:sz w:val="24"/>
          <w:szCs w:val="24"/>
        </w:rPr>
        <w:t xml:space="preserve">that such consent could be obtained; but Shell and B.P. are not required by </w:t>
      </w:r>
    </w:p>
    <w:p w14:paraId="420E3A8E" w14:textId="77777777" w:rsidR="0010426C" w:rsidRPr="00224118" w:rsidRDefault="0010426C" w:rsidP="00223D9B">
      <w:pPr>
        <w:spacing w:line="240" w:lineRule="auto"/>
        <w:ind w:left="720"/>
        <w:rPr>
          <w:rFonts w:ascii="Times New Roman" w:hAnsi="Times New Roman" w:cs="Times New Roman"/>
          <w:b/>
          <w:bCs/>
          <w:i/>
          <w:iCs/>
          <w:sz w:val="24"/>
          <w:szCs w:val="24"/>
        </w:rPr>
      </w:pPr>
      <w:r w:rsidRPr="00224118">
        <w:rPr>
          <w:rFonts w:ascii="Times New Roman" w:hAnsi="Times New Roman" w:cs="Times New Roman"/>
          <w:b/>
          <w:bCs/>
          <w:i/>
          <w:iCs/>
          <w:sz w:val="24"/>
          <w:szCs w:val="24"/>
        </w:rPr>
        <w:t xml:space="preserve">Order 24 to seek it, any more than a natural person is obliged to ask a close </w:t>
      </w:r>
    </w:p>
    <w:p w14:paraId="36E93812" w14:textId="77777777" w:rsidR="0010426C" w:rsidRPr="00224118" w:rsidRDefault="0010426C" w:rsidP="00223D9B">
      <w:pPr>
        <w:spacing w:line="240" w:lineRule="auto"/>
        <w:ind w:left="720"/>
        <w:rPr>
          <w:rFonts w:ascii="Times New Roman" w:hAnsi="Times New Roman" w:cs="Times New Roman"/>
          <w:b/>
          <w:bCs/>
          <w:i/>
          <w:iCs/>
          <w:sz w:val="24"/>
          <w:szCs w:val="24"/>
        </w:rPr>
      </w:pPr>
      <w:r w:rsidRPr="00224118">
        <w:rPr>
          <w:rFonts w:ascii="Times New Roman" w:hAnsi="Times New Roman" w:cs="Times New Roman"/>
          <w:b/>
          <w:bCs/>
          <w:i/>
          <w:iCs/>
          <w:sz w:val="24"/>
          <w:szCs w:val="24"/>
        </w:rPr>
        <w:t xml:space="preserve">relative or anyone else who is a stranger to the suit to provide him with copies </w:t>
      </w:r>
    </w:p>
    <w:p w14:paraId="2C18E641" w14:textId="77777777" w:rsidR="0010426C" w:rsidRPr="00224118" w:rsidRDefault="0010426C" w:rsidP="00223D9B">
      <w:pPr>
        <w:spacing w:line="240" w:lineRule="auto"/>
        <w:ind w:left="720"/>
        <w:rPr>
          <w:rFonts w:ascii="Times New Roman" w:hAnsi="Times New Roman" w:cs="Times New Roman"/>
          <w:b/>
          <w:bCs/>
          <w:i/>
          <w:iCs/>
          <w:sz w:val="24"/>
          <w:szCs w:val="24"/>
        </w:rPr>
      </w:pPr>
      <w:r w:rsidRPr="00224118">
        <w:rPr>
          <w:rFonts w:ascii="Times New Roman" w:hAnsi="Times New Roman" w:cs="Times New Roman"/>
          <w:b/>
          <w:bCs/>
          <w:i/>
          <w:iCs/>
          <w:sz w:val="24"/>
          <w:szCs w:val="24"/>
        </w:rPr>
        <w:t xml:space="preserve">of documents in the ownership and possession of that other person, however </w:t>
      </w:r>
    </w:p>
    <w:p w14:paraId="4EC931C2" w14:textId="3BCA7338" w:rsidR="00847BDC" w:rsidRDefault="0010426C" w:rsidP="00223D9B">
      <w:pPr>
        <w:spacing w:line="240" w:lineRule="auto"/>
        <w:ind w:left="720"/>
        <w:rPr>
          <w:rFonts w:ascii="Times New Roman" w:hAnsi="Times New Roman" w:cs="Times New Roman"/>
          <w:sz w:val="24"/>
          <w:szCs w:val="24"/>
        </w:rPr>
      </w:pPr>
      <w:r w:rsidRPr="00224118">
        <w:rPr>
          <w:rFonts w:ascii="Times New Roman" w:hAnsi="Times New Roman" w:cs="Times New Roman"/>
          <w:b/>
          <w:bCs/>
          <w:i/>
          <w:iCs/>
          <w:sz w:val="24"/>
          <w:szCs w:val="24"/>
        </w:rPr>
        <w:t>likely he might be to comply voluntarily with the request if it were made</w:t>
      </w:r>
      <w:r w:rsidRPr="00224118">
        <w:rPr>
          <w:rFonts w:ascii="Times New Roman" w:hAnsi="Times New Roman" w:cs="Times New Roman"/>
          <w:sz w:val="24"/>
          <w:szCs w:val="24"/>
        </w:rPr>
        <w:t>.</w:t>
      </w:r>
      <w:r w:rsidR="00224118" w:rsidRPr="00224118">
        <w:rPr>
          <w:rFonts w:ascii="Times New Roman" w:hAnsi="Times New Roman" w:cs="Times New Roman"/>
          <w:sz w:val="24"/>
          <w:szCs w:val="24"/>
        </w:rPr>
        <w:t xml:space="preserve"> (emphasis added).</w:t>
      </w:r>
    </w:p>
    <w:p w14:paraId="04CFA8D1" w14:textId="77777777" w:rsidR="0079455E" w:rsidRPr="00224118" w:rsidRDefault="0079455E" w:rsidP="00080067">
      <w:pPr>
        <w:spacing w:line="240" w:lineRule="auto"/>
        <w:ind w:left="720"/>
        <w:rPr>
          <w:rFonts w:ascii="Times New Roman" w:hAnsi="Times New Roman" w:cs="Times New Roman"/>
          <w:sz w:val="24"/>
          <w:szCs w:val="24"/>
        </w:rPr>
      </w:pPr>
    </w:p>
    <w:p w14:paraId="530A3345" w14:textId="77777777" w:rsidR="00844DB9" w:rsidRPr="00224118" w:rsidRDefault="00844DB9" w:rsidP="00534822">
      <w:pPr>
        <w:spacing w:line="240" w:lineRule="auto"/>
        <w:ind w:left="720"/>
        <w:rPr>
          <w:rFonts w:ascii="Times New Roman" w:hAnsi="Times New Roman" w:cs="Times New Roman"/>
          <w:sz w:val="24"/>
          <w:szCs w:val="24"/>
        </w:rPr>
      </w:pPr>
    </w:p>
    <w:p w14:paraId="2EFCE792" w14:textId="459D85FC" w:rsidR="00844DB9" w:rsidRPr="00AF7252" w:rsidRDefault="00380B01" w:rsidP="00AF7252">
      <w:pPr>
        <w:pStyle w:val="ListParagraph"/>
        <w:numPr>
          <w:ilvl w:val="0"/>
          <w:numId w:val="1"/>
        </w:numPr>
        <w:spacing w:line="360" w:lineRule="auto"/>
        <w:jc w:val="both"/>
        <w:rPr>
          <w:rFonts w:ascii="Times New Roman" w:hAnsi="Times New Roman" w:cs="Times New Roman"/>
          <w:sz w:val="24"/>
          <w:szCs w:val="24"/>
        </w:rPr>
      </w:pPr>
      <w:r w:rsidRPr="00AF7252">
        <w:rPr>
          <w:rFonts w:ascii="Times New Roman" w:hAnsi="Times New Roman" w:cs="Times New Roman"/>
          <w:sz w:val="24"/>
          <w:szCs w:val="24"/>
        </w:rPr>
        <w:t>Mr A</w:t>
      </w:r>
      <w:r w:rsidR="00FE731F" w:rsidRPr="00AF7252">
        <w:rPr>
          <w:rFonts w:ascii="Times New Roman" w:hAnsi="Times New Roman" w:cs="Times New Roman"/>
          <w:sz w:val="24"/>
          <w:szCs w:val="24"/>
        </w:rPr>
        <w:t>dkins KC points out that notwithstanding this expression of principle, Lord Diplock</w:t>
      </w:r>
      <w:r w:rsidR="003354F1" w:rsidRPr="00AF7252">
        <w:rPr>
          <w:rFonts w:ascii="Times New Roman" w:hAnsi="Times New Roman" w:cs="Times New Roman"/>
          <w:sz w:val="24"/>
          <w:szCs w:val="24"/>
        </w:rPr>
        <w:t xml:space="preserve"> added the </w:t>
      </w:r>
      <w:r w:rsidR="005D3CFF" w:rsidRPr="00AF7252">
        <w:rPr>
          <w:rFonts w:ascii="Times New Roman" w:hAnsi="Times New Roman" w:cs="Times New Roman"/>
          <w:sz w:val="24"/>
          <w:szCs w:val="24"/>
        </w:rPr>
        <w:t>“</w:t>
      </w:r>
      <w:r w:rsidR="003354F1" w:rsidRPr="00AF7252">
        <w:rPr>
          <w:rFonts w:ascii="Times New Roman" w:hAnsi="Times New Roman" w:cs="Times New Roman"/>
          <w:i/>
          <w:iCs/>
          <w:sz w:val="24"/>
          <w:szCs w:val="24"/>
        </w:rPr>
        <w:t>caveats</w:t>
      </w:r>
      <w:r w:rsidR="005D3CFF" w:rsidRPr="00AF7252">
        <w:rPr>
          <w:rFonts w:ascii="Times New Roman" w:hAnsi="Times New Roman" w:cs="Times New Roman"/>
          <w:sz w:val="24"/>
          <w:szCs w:val="24"/>
        </w:rPr>
        <w:t>”</w:t>
      </w:r>
      <w:r w:rsidR="003354F1" w:rsidRPr="00AF7252">
        <w:rPr>
          <w:rFonts w:ascii="Times New Roman" w:hAnsi="Times New Roman" w:cs="Times New Roman"/>
          <w:sz w:val="24"/>
          <w:szCs w:val="24"/>
        </w:rPr>
        <w:t xml:space="preserve"> that “</w:t>
      </w:r>
      <w:r w:rsidR="00674C77" w:rsidRPr="00AF7252">
        <w:rPr>
          <w:rFonts w:ascii="Times New Roman" w:hAnsi="Times New Roman" w:cs="Times New Roman"/>
          <w:i/>
          <w:iCs/>
          <w:sz w:val="24"/>
          <w:szCs w:val="24"/>
        </w:rPr>
        <w:t xml:space="preserve">The circumstances which have given rise to the disputes </w:t>
      </w:r>
      <w:r w:rsidR="00555978" w:rsidRPr="00AF7252">
        <w:rPr>
          <w:rFonts w:ascii="Times New Roman" w:hAnsi="Times New Roman" w:cs="Times New Roman"/>
          <w:i/>
          <w:iCs/>
          <w:sz w:val="24"/>
          <w:szCs w:val="24"/>
        </w:rPr>
        <w:t xml:space="preserve">about discovery are quite exceptional; there are </w:t>
      </w:r>
      <w:r w:rsidR="00771AA5" w:rsidRPr="00AF7252">
        <w:rPr>
          <w:rFonts w:ascii="Times New Roman" w:hAnsi="Times New Roman" w:cs="Times New Roman"/>
          <w:i/>
          <w:iCs/>
          <w:sz w:val="24"/>
          <w:szCs w:val="24"/>
        </w:rPr>
        <w:t>un</w:t>
      </w:r>
      <w:r w:rsidR="00555978" w:rsidRPr="00AF7252">
        <w:rPr>
          <w:rFonts w:ascii="Times New Roman" w:hAnsi="Times New Roman" w:cs="Times New Roman"/>
          <w:i/>
          <w:iCs/>
          <w:sz w:val="24"/>
          <w:szCs w:val="24"/>
        </w:rPr>
        <w:t>likely to recur</w:t>
      </w:r>
      <w:r w:rsidR="00B26B44" w:rsidRPr="00AF7252">
        <w:rPr>
          <w:rFonts w:ascii="Times New Roman" w:hAnsi="Times New Roman" w:cs="Times New Roman"/>
          <w:i/>
          <w:iCs/>
          <w:sz w:val="24"/>
          <w:szCs w:val="24"/>
        </w:rPr>
        <w:t xml:space="preserve"> in any other case and, for that reason, they do not in my view provide a suitable opportunity for any general disquisition by the House upon the principles of law applicable to the discovery of documents</w:t>
      </w:r>
      <w:r w:rsidR="00E7449C" w:rsidRPr="00AF7252">
        <w:rPr>
          <w:rFonts w:ascii="Times New Roman" w:hAnsi="Times New Roman" w:cs="Times New Roman"/>
          <w:sz w:val="24"/>
          <w:szCs w:val="24"/>
        </w:rPr>
        <w:t>” (at pages 631-632); and</w:t>
      </w:r>
      <w:r w:rsidR="00ED0715" w:rsidRPr="00AF7252">
        <w:rPr>
          <w:rFonts w:ascii="Times New Roman" w:hAnsi="Times New Roman" w:cs="Times New Roman"/>
          <w:sz w:val="24"/>
          <w:szCs w:val="24"/>
        </w:rPr>
        <w:t xml:space="preserve"> that “</w:t>
      </w:r>
      <w:r w:rsidR="00ED0715" w:rsidRPr="00AF7252">
        <w:rPr>
          <w:rFonts w:ascii="Times New Roman" w:hAnsi="Times New Roman" w:cs="Times New Roman"/>
          <w:i/>
          <w:iCs/>
          <w:sz w:val="24"/>
          <w:szCs w:val="24"/>
        </w:rPr>
        <w:t>In dismissing the subsidiaries appeal on its own special facts, I expressly declined an invitation to roam further</w:t>
      </w:r>
      <w:r w:rsidR="00611B52" w:rsidRPr="00AF7252">
        <w:rPr>
          <w:rFonts w:ascii="Times New Roman" w:hAnsi="Times New Roman" w:cs="Times New Roman"/>
          <w:i/>
          <w:iCs/>
          <w:sz w:val="24"/>
          <w:szCs w:val="24"/>
        </w:rPr>
        <w:t xml:space="preserve"> into the general law of discovery</w:t>
      </w:r>
      <w:r w:rsidR="00611B52" w:rsidRPr="00AF7252">
        <w:rPr>
          <w:rFonts w:ascii="Times New Roman" w:hAnsi="Times New Roman" w:cs="Times New Roman"/>
          <w:sz w:val="24"/>
          <w:szCs w:val="24"/>
        </w:rPr>
        <w:t>…” (at pages 636-637).</w:t>
      </w:r>
    </w:p>
    <w:p w14:paraId="3FF53F0B" w14:textId="77777777" w:rsidR="005D3CFF" w:rsidRDefault="005D3CFF" w:rsidP="00611B52">
      <w:pPr>
        <w:spacing w:line="360" w:lineRule="auto"/>
        <w:rPr>
          <w:rFonts w:ascii="Times New Roman" w:hAnsi="Times New Roman" w:cs="Times New Roman"/>
          <w:sz w:val="24"/>
          <w:szCs w:val="24"/>
        </w:rPr>
      </w:pPr>
    </w:p>
    <w:p w14:paraId="2E1AFAB9" w14:textId="221E017D" w:rsidR="00967A6C" w:rsidRPr="00AF7252" w:rsidRDefault="00623B67" w:rsidP="00AF7252">
      <w:pPr>
        <w:pStyle w:val="ListParagraph"/>
        <w:numPr>
          <w:ilvl w:val="0"/>
          <w:numId w:val="1"/>
        </w:numPr>
        <w:spacing w:line="360" w:lineRule="auto"/>
        <w:jc w:val="both"/>
        <w:rPr>
          <w:rFonts w:ascii="Times New Roman" w:hAnsi="Times New Roman" w:cs="Times New Roman"/>
          <w:sz w:val="24"/>
          <w:szCs w:val="24"/>
        </w:rPr>
      </w:pPr>
      <w:r w:rsidRPr="00AF7252">
        <w:rPr>
          <w:rFonts w:ascii="Times New Roman" w:hAnsi="Times New Roman" w:cs="Times New Roman"/>
          <w:sz w:val="24"/>
          <w:szCs w:val="24"/>
        </w:rPr>
        <w:t>Despite the “</w:t>
      </w:r>
      <w:r w:rsidRPr="00AF7252">
        <w:rPr>
          <w:rFonts w:ascii="Times New Roman" w:hAnsi="Times New Roman" w:cs="Times New Roman"/>
          <w:i/>
          <w:iCs/>
          <w:sz w:val="24"/>
          <w:szCs w:val="24"/>
        </w:rPr>
        <w:t>caveats</w:t>
      </w:r>
      <w:r w:rsidRPr="00AF7252">
        <w:rPr>
          <w:rFonts w:ascii="Times New Roman" w:hAnsi="Times New Roman" w:cs="Times New Roman"/>
          <w:sz w:val="24"/>
          <w:szCs w:val="24"/>
        </w:rPr>
        <w:t>”</w:t>
      </w:r>
      <w:r w:rsidR="00F12C15" w:rsidRPr="00AF7252">
        <w:rPr>
          <w:rFonts w:ascii="Times New Roman" w:hAnsi="Times New Roman" w:cs="Times New Roman"/>
          <w:sz w:val="24"/>
          <w:szCs w:val="24"/>
        </w:rPr>
        <w:t xml:space="preserve"> in the judgment of Lord Diplock</w:t>
      </w:r>
      <w:r w:rsidR="002636B8" w:rsidRPr="00AF7252">
        <w:rPr>
          <w:rFonts w:ascii="Times New Roman" w:hAnsi="Times New Roman" w:cs="Times New Roman"/>
          <w:sz w:val="24"/>
          <w:szCs w:val="24"/>
        </w:rPr>
        <w:t xml:space="preserve"> the Court is satisfied that </w:t>
      </w:r>
      <w:r w:rsidR="002636B8" w:rsidRPr="00AF7252">
        <w:rPr>
          <w:rFonts w:ascii="Times New Roman" w:hAnsi="Times New Roman" w:cs="Times New Roman"/>
          <w:i/>
          <w:iCs/>
          <w:sz w:val="24"/>
          <w:szCs w:val="24"/>
        </w:rPr>
        <w:t>Lonrho</w:t>
      </w:r>
      <w:r w:rsidR="002636B8" w:rsidRPr="00AF7252">
        <w:rPr>
          <w:rFonts w:ascii="Times New Roman" w:hAnsi="Times New Roman" w:cs="Times New Roman"/>
          <w:sz w:val="24"/>
          <w:szCs w:val="24"/>
        </w:rPr>
        <w:t xml:space="preserve"> is the leading authority on the meaning of the concept of “</w:t>
      </w:r>
      <w:r w:rsidR="002636B8" w:rsidRPr="00AF7252">
        <w:rPr>
          <w:rFonts w:ascii="Times New Roman" w:hAnsi="Times New Roman" w:cs="Times New Roman"/>
          <w:i/>
          <w:iCs/>
          <w:sz w:val="24"/>
          <w:szCs w:val="24"/>
        </w:rPr>
        <w:t>control</w:t>
      </w:r>
      <w:r w:rsidR="002636B8" w:rsidRPr="00AF7252">
        <w:rPr>
          <w:rFonts w:ascii="Times New Roman" w:hAnsi="Times New Roman" w:cs="Times New Roman"/>
          <w:sz w:val="24"/>
          <w:szCs w:val="24"/>
        </w:rPr>
        <w:t>”</w:t>
      </w:r>
      <w:r w:rsidR="006321E2" w:rsidRPr="00AF7252">
        <w:rPr>
          <w:rFonts w:ascii="Times New Roman" w:hAnsi="Times New Roman" w:cs="Times New Roman"/>
          <w:sz w:val="24"/>
          <w:szCs w:val="24"/>
        </w:rPr>
        <w:t xml:space="preserve"> as set out in Order 24 rule 1 and remains good law.</w:t>
      </w:r>
      <w:r w:rsidR="008C6F2C" w:rsidRPr="00AF7252">
        <w:rPr>
          <w:rFonts w:ascii="Times New Roman" w:hAnsi="Times New Roman" w:cs="Times New Roman"/>
          <w:sz w:val="24"/>
          <w:szCs w:val="24"/>
        </w:rPr>
        <w:t xml:space="preserve"> None of the subsequent authorities which have cited the decision in</w:t>
      </w:r>
      <w:r w:rsidR="008C6F2C" w:rsidRPr="00AF7252">
        <w:rPr>
          <w:rFonts w:ascii="Times New Roman" w:hAnsi="Times New Roman" w:cs="Times New Roman"/>
          <w:i/>
          <w:iCs/>
          <w:sz w:val="24"/>
          <w:szCs w:val="24"/>
        </w:rPr>
        <w:t xml:space="preserve"> Lonrho</w:t>
      </w:r>
      <w:r w:rsidR="00987E0A" w:rsidRPr="00AF7252">
        <w:rPr>
          <w:rFonts w:ascii="Times New Roman" w:hAnsi="Times New Roman" w:cs="Times New Roman"/>
          <w:sz w:val="24"/>
          <w:szCs w:val="24"/>
        </w:rPr>
        <w:t xml:space="preserve"> have cast any doubt as to its standing</w:t>
      </w:r>
      <w:r w:rsidR="00BD3C19" w:rsidRPr="00AF7252">
        <w:rPr>
          <w:rFonts w:ascii="Times New Roman" w:hAnsi="Times New Roman" w:cs="Times New Roman"/>
          <w:sz w:val="24"/>
          <w:szCs w:val="24"/>
        </w:rPr>
        <w:t xml:space="preserve"> as good law.</w:t>
      </w:r>
      <w:r w:rsidR="00FA0088" w:rsidRPr="00AF7252">
        <w:rPr>
          <w:rFonts w:ascii="Times New Roman" w:hAnsi="Times New Roman" w:cs="Times New Roman"/>
          <w:sz w:val="24"/>
          <w:szCs w:val="24"/>
        </w:rPr>
        <w:t xml:space="preserve"> </w:t>
      </w:r>
      <w:r w:rsidR="00FA0088" w:rsidRPr="00AF7252">
        <w:rPr>
          <w:rFonts w:ascii="Times New Roman" w:hAnsi="Times New Roman" w:cs="Times New Roman"/>
          <w:i/>
          <w:iCs/>
          <w:sz w:val="24"/>
          <w:szCs w:val="24"/>
        </w:rPr>
        <w:t>Hollander on Documentary Evidence (14</w:t>
      </w:r>
      <w:r w:rsidR="00FA0088" w:rsidRPr="00AF7252">
        <w:rPr>
          <w:rFonts w:ascii="Times New Roman" w:hAnsi="Times New Roman" w:cs="Times New Roman"/>
          <w:i/>
          <w:iCs/>
          <w:sz w:val="24"/>
          <w:szCs w:val="24"/>
          <w:vertAlign w:val="superscript"/>
        </w:rPr>
        <w:t>th</w:t>
      </w:r>
      <w:r w:rsidR="00FA0088" w:rsidRPr="00AF7252">
        <w:rPr>
          <w:rFonts w:ascii="Times New Roman" w:hAnsi="Times New Roman" w:cs="Times New Roman"/>
          <w:i/>
          <w:iCs/>
          <w:sz w:val="24"/>
          <w:szCs w:val="24"/>
        </w:rPr>
        <w:t xml:space="preserve"> ed)</w:t>
      </w:r>
      <w:r w:rsidR="001C25B5" w:rsidRPr="00AF7252">
        <w:rPr>
          <w:rFonts w:ascii="Times New Roman" w:hAnsi="Times New Roman" w:cs="Times New Roman"/>
          <w:sz w:val="24"/>
          <w:szCs w:val="24"/>
        </w:rPr>
        <w:t xml:space="preserve"> confirms that</w:t>
      </w:r>
      <w:r w:rsidR="001E4335" w:rsidRPr="00AF7252">
        <w:rPr>
          <w:rFonts w:ascii="Times New Roman" w:hAnsi="Times New Roman" w:cs="Times New Roman"/>
          <w:i/>
          <w:iCs/>
          <w:sz w:val="24"/>
          <w:szCs w:val="24"/>
        </w:rPr>
        <w:t xml:space="preserve"> Lonrho </w:t>
      </w:r>
      <w:r w:rsidR="001E4335" w:rsidRPr="00AF7252">
        <w:rPr>
          <w:rFonts w:ascii="Times New Roman" w:hAnsi="Times New Roman" w:cs="Times New Roman"/>
          <w:sz w:val="24"/>
          <w:szCs w:val="24"/>
        </w:rPr>
        <w:t>is the leading authority on the issue of</w:t>
      </w:r>
      <w:r w:rsidR="0038172D" w:rsidRPr="00AF7252">
        <w:rPr>
          <w:rFonts w:ascii="Times New Roman" w:hAnsi="Times New Roman" w:cs="Times New Roman"/>
          <w:sz w:val="24"/>
          <w:szCs w:val="24"/>
        </w:rPr>
        <w:t xml:space="preserve"> “</w:t>
      </w:r>
      <w:r w:rsidR="0038172D" w:rsidRPr="00AF7252">
        <w:rPr>
          <w:rFonts w:ascii="Times New Roman" w:hAnsi="Times New Roman" w:cs="Times New Roman"/>
          <w:i/>
          <w:iCs/>
          <w:sz w:val="24"/>
          <w:szCs w:val="24"/>
        </w:rPr>
        <w:t>control</w:t>
      </w:r>
      <w:r w:rsidR="0038172D" w:rsidRPr="00AF7252">
        <w:rPr>
          <w:rFonts w:ascii="Times New Roman" w:hAnsi="Times New Roman" w:cs="Times New Roman"/>
          <w:sz w:val="24"/>
          <w:szCs w:val="24"/>
        </w:rPr>
        <w:t>” and remains good law. Thus, at</w:t>
      </w:r>
      <w:r w:rsidR="007B147B" w:rsidRPr="00AF7252">
        <w:rPr>
          <w:rFonts w:ascii="Times New Roman" w:hAnsi="Times New Roman" w:cs="Times New Roman"/>
          <w:sz w:val="24"/>
          <w:szCs w:val="24"/>
        </w:rPr>
        <w:t xml:space="preserve"> 9.20</w:t>
      </w:r>
      <w:r w:rsidR="007D34E9" w:rsidRPr="00AF7252">
        <w:rPr>
          <w:rFonts w:ascii="Times New Roman" w:hAnsi="Times New Roman" w:cs="Times New Roman"/>
          <w:sz w:val="24"/>
          <w:szCs w:val="24"/>
        </w:rPr>
        <w:t xml:space="preserve">, dealing with </w:t>
      </w:r>
      <w:r w:rsidR="00034722" w:rsidRPr="00AF7252">
        <w:rPr>
          <w:rFonts w:ascii="Times New Roman" w:hAnsi="Times New Roman" w:cs="Times New Roman"/>
          <w:sz w:val="24"/>
          <w:szCs w:val="24"/>
        </w:rPr>
        <w:t>“</w:t>
      </w:r>
      <w:r w:rsidR="00034722" w:rsidRPr="00AF7252">
        <w:rPr>
          <w:rFonts w:ascii="Times New Roman" w:hAnsi="Times New Roman" w:cs="Times New Roman"/>
          <w:i/>
          <w:iCs/>
          <w:sz w:val="24"/>
          <w:szCs w:val="24"/>
        </w:rPr>
        <w:t>T</w:t>
      </w:r>
      <w:r w:rsidR="007D34E9" w:rsidRPr="00AF7252">
        <w:rPr>
          <w:rFonts w:ascii="Times New Roman" w:hAnsi="Times New Roman" w:cs="Times New Roman"/>
          <w:i/>
          <w:iCs/>
          <w:sz w:val="24"/>
          <w:szCs w:val="24"/>
        </w:rPr>
        <w:t>he</w:t>
      </w:r>
      <w:r w:rsidR="00034722" w:rsidRPr="00AF7252">
        <w:rPr>
          <w:rFonts w:ascii="Times New Roman" w:hAnsi="Times New Roman" w:cs="Times New Roman"/>
          <w:i/>
          <w:iCs/>
          <w:sz w:val="24"/>
          <w:szCs w:val="24"/>
        </w:rPr>
        <w:t xml:space="preserve"> Lonr</w:t>
      </w:r>
      <w:r w:rsidR="00755922" w:rsidRPr="00AF7252">
        <w:rPr>
          <w:rFonts w:ascii="Times New Roman" w:hAnsi="Times New Roman" w:cs="Times New Roman"/>
          <w:i/>
          <w:iCs/>
          <w:sz w:val="24"/>
          <w:szCs w:val="24"/>
        </w:rPr>
        <w:t>ho</w:t>
      </w:r>
      <w:r w:rsidR="00034722" w:rsidRPr="00AF7252">
        <w:rPr>
          <w:rFonts w:ascii="Times New Roman" w:hAnsi="Times New Roman" w:cs="Times New Roman"/>
          <w:i/>
          <w:iCs/>
          <w:sz w:val="24"/>
          <w:szCs w:val="24"/>
        </w:rPr>
        <w:t xml:space="preserve"> Test</w:t>
      </w:r>
      <w:r w:rsidR="00034722" w:rsidRPr="00AF7252">
        <w:rPr>
          <w:rFonts w:ascii="Times New Roman" w:hAnsi="Times New Roman" w:cs="Times New Roman"/>
          <w:sz w:val="24"/>
          <w:szCs w:val="24"/>
        </w:rPr>
        <w:t>”</w:t>
      </w:r>
      <w:r w:rsidR="007B147B" w:rsidRPr="00AF7252">
        <w:rPr>
          <w:rFonts w:ascii="Times New Roman" w:hAnsi="Times New Roman" w:cs="Times New Roman"/>
          <w:sz w:val="24"/>
          <w:szCs w:val="24"/>
        </w:rPr>
        <w:t xml:space="preserve"> </w:t>
      </w:r>
      <w:r w:rsidR="007B147B" w:rsidRPr="00AF7252">
        <w:rPr>
          <w:rFonts w:ascii="Times New Roman" w:hAnsi="Times New Roman" w:cs="Times New Roman"/>
          <w:i/>
          <w:iCs/>
          <w:sz w:val="24"/>
          <w:szCs w:val="24"/>
        </w:rPr>
        <w:t>Hollander</w:t>
      </w:r>
      <w:r w:rsidR="007B147B" w:rsidRPr="00AF7252">
        <w:rPr>
          <w:rFonts w:ascii="Times New Roman" w:hAnsi="Times New Roman" w:cs="Times New Roman"/>
          <w:sz w:val="24"/>
          <w:szCs w:val="24"/>
        </w:rPr>
        <w:t xml:space="preserve"> states that:</w:t>
      </w:r>
    </w:p>
    <w:p w14:paraId="158F1A78" w14:textId="02811BFA" w:rsidR="007B147B" w:rsidRDefault="007339DB" w:rsidP="008149AA">
      <w:pPr>
        <w:spacing w:line="276" w:lineRule="auto"/>
        <w:ind w:left="720"/>
        <w:rPr>
          <w:rFonts w:ascii="Times New Roman" w:hAnsi="Times New Roman" w:cs="Times New Roman"/>
          <w:sz w:val="24"/>
          <w:szCs w:val="24"/>
        </w:rPr>
      </w:pPr>
      <w:r w:rsidRPr="003B1C4F">
        <w:rPr>
          <w:rFonts w:ascii="Times New Roman" w:hAnsi="Times New Roman" w:cs="Times New Roman"/>
          <w:i/>
          <w:iCs/>
          <w:sz w:val="24"/>
          <w:szCs w:val="24"/>
        </w:rPr>
        <w:t xml:space="preserve">The important word was “power”. This was held to mean a presently enforceable legal right to obtain the document from the holder without the need to obtain the consent of anyone else. </w:t>
      </w:r>
      <w:r w:rsidRPr="003B1C4F">
        <w:rPr>
          <w:rFonts w:ascii="Times New Roman" w:hAnsi="Times New Roman" w:cs="Times New Roman"/>
          <w:b/>
          <w:bCs/>
          <w:i/>
          <w:iCs/>
          <w:sz w:val="24"/>
          <w:szCs w:val="24"/>
        </w:rPr>
        <w:t xml:space="preserve">In the leading case, </w:t>
      </w:r>
      <w:r w:rsidR="00E13D9F" w:rsidRPr="00AD72C6">
        <w:rPr>
          <w:rFonts w:ascii="Times New Roman" w:hAnsi="Times New Roman" w:cs="Times New Roman"/>
          <w:b/>
          <w:bCs/>
          <w:i/>
          <w:iCs/>
          <w:sz w:val="24"/>
          <w:szCs w:val="24"/>
          <w:u w:val="single"/>
        </w:rPr>
        <w:t>Lonrho</w:t>
      </w:r>
      <w:r w:rsidR="00E13D9F" w:rsidRPr="003B1C4F">
        <w:rPr>
          <w:rFonts w:ascii="Times New Roman" w:hAnsi="Times New Roman" w:cs="Times New Roman"/>
          <w:i/>
          <w:iCs/>
          <w:sz w:val="24"/>
          <w:szCs w:val="24"/>
        </w:rPr>
        <w:t>, the</w:t>
      </w:r>
      <w:r w:rsidRPr="003B1C4F">
        <w:rPr>
          <w:rFonts w:ascii="Times New Roman" w:hAnsi="Times New Roman" w:cs="Times New Roman"/>
          <w:i/>
          <w:iCs/>
          <w:sz w:val="24"/>
          <w:szCs w:val="24"/>
        </w:rPr>
        <w:t xml:space="preserve"> claimants sought disclosure of the documents of the foreign subsidiaries of Shell and BP. They argued that the documents were in the power of the parent, because the parent could if necessary obtain possession by winding up the subsidiary. The House of Lords held that this did not constitute a presently enforceable legal right, and the application for disclosure failed. </w:t>
      </w:r>
      <w:r w:rsidRPr="003B1C4F">
        <w:rPr>
          <w:rFonts w:ascii="Times New Roman" w:hAnsi="Times New Roman" w:cs="Times New Roman"/>
          <w:b/>
          <w:bCs/>
          <w:i/>
          <w:iCs/>
          <w:sz w:val="24"/>
          <w:szCs w:val="24"/>
        </w:rPr>
        <w:t xml:space="preserve">The </w:t>
      </w:r>
      <w:r w:rsidRPr="00AD72C6">
        <w:rPr>
          <w:rFonts w:ascii="Times New Roman" w:hAnsi="Times New Roman" w:cs="Times New Roman"/>
          <w:b/>
          <w:bCs/>
          <w:i/>
          <w:iCs/>
          <w:sz w:val="24"/>
          <w:szCs w:val="24"/>
          <w:u w:val="single"/>
        </w:rPr>
        <w:t xml:space="preserve">Lonrho </w:t>
      </w:r>
      <w:r w:rsidR="00E13D9F" w:rsidRPr="003B1C4F">
        <w:rPr>
          <w:rFonts w:ascii="Times New Roman" w:hAnsi="Times New Roman" w:cs="Times New Roman"/>
          <w:b/>
          <w:bCs/>
          <w:i/>
          <w:iCs/>
          <w:sz w:val="24"/>
          <w:szCs w:val="24"/>
        </w:rPr>
        <w:t>test remains</w:t>
      </w:r>
      <w:r w:rsidRPr="003B1C4F">
        <w:rPr>
          <w:rFonts w:ascii="Times New Roman" w:hAnsi="Times New Roman" w:cs="Times New Roman"/>
          <w:b/>
          <w:bCs/>
          <w:i/>
          <w:iCs/>
          <w:sz w:val="24"/>
          <w:szCs w:val="24"/>
        </w:rPr>
        <w:t xml:space="preserve"> good law </w:t>
      </w:r>
      <w:r w:rsidRPr="003B1C4F">
        <w:rPr>
          <w:rFonts w:ascii="Times New Roman" w:hAnsi="Times New Roman" w:cs="Times New Roman"/>
          <w:i/>
          <w:iCs/>
          <w:sz w:val="24"/>
          <w:szCs w:val="24"/>
        </w:rPr>
        <w:t>since the CPR. 58</w:t>
      </w:r>
      <w:r w:rsidRPr="003B1C4F">
        <w:rPr>
          <w:rFonts w:ascii="Times New Roman" w:hAnsi="Times New Roman" w:cs="Times New Roman"/>
          <w:b/>
          <w:bCs/>
          <w:i/>
          <w:iCs/>
          <w:sz w:val="24"/>
          <w:szCs w:val="24"/>
        </w:rPr>
        <w:t xml:space="preserve"> This has never really been doubted</w:t>
      </w:r>
      <w:r w:rsidRPr="003B1C4F">
        <w:rPr>
          <w:rFonts w:ascii="Times New Roman" w:hAnsi="Times New Roman" w:cs="Times New Roman"/>
          <w:i/>
          <w:iCs/>
          <w:sz w:val="24"/>
          <w:szCs w:val="24"/>
        </w:rPr>
        <w:t xml:space="preserve">, notwithstanding the different wording, and is apparent from the Court of Appeal decision in </w:t>
      </w:r>
      <w:r w:rsidRPr="00AD72C6">
        <w:rPr>
          <w:rFonts w:ascii="Times New Roman" w:hAnsi="Times New Roman" w:cs="Times New Roman"/>
          <w:i/>
          <w:iCs/>
          <w:sz w:val="24"/>
          <w:szCs w:val="24"/>
          <w:u w:val="single"/>
        </w:rPr>
        <w:t>Anstead</w:t>
      </w:r>
      <w:r w:rsidRPr="007339DB">
        <w:rPr>
          <w:rFonts w:ascii="Times New Roman" w:hAnsi="Times New Roman" w:cs="Times New Roman"/>
          <w:sz w:val="24"/>
          <w:szCs w:val="24"/>
        </w:rPr>
        <w:t>.</w:t>
      </w:r>
      <w:r w:rsidR="003B1C4F">
        <w:rPr>
          <w:rFonts w:ascii="Times New Roman" w:hAnsi="Times New Roman" w:cs="Times New Roman"/>
          <w:sz w:val="24"/>
          <w:szCs w:val="24"/>
        </w:rPr>
        <w:t xml:space="preserve"> (emphasis added)</w:t>
      </w:r>
    </w:p>
    <w:p w14:paraId="41D5B3EC" w14:textId="77777777" w:rsidR="00967A6C" w:rsidRDefault="00967A6C" w:rsidP="00967A6C">
      <w:pPr>
        <w:spacing w:line="360" w:lineRule="auto"/>
        <w:ind w:left="720"/>
        <w:rPr>
          <w:rFonts w:ascii="Times New Roman" w:hAnsi="Times New Roman" w:cs="Times New Roman"/>
          <w:sz w:val="24"/>
          <w:szCs w:val="24"/>
        </w:rPr>
      </w:pPr>
    </w:p>
    <w:p w14:paraId="279BD53F" w14:textId="76F03D39" w:rsidR="00967A6C" w:rsidRPr="00AF7252" w:rsidRDefault="001D7A94" w:rsidP="00AF7252">
      <w:pPr>
        <w:pStyle w:val="ListParagraph"/>
        <w:numPr>
          <w:ilvl w:val="0"/>
          <w:numId w:val="1"/>
        </w:numPr>
        <w:spacing w:line="360" w:lineRule="auto"/>
        <w:rPr>
          <w:rFonts w:ascii="Times New Roman" w:hAnsi="Times New Roman" w:cs="Times New Roman"/>
          <w:sz w:val="24"/>
          <w:szCs w:val="24"/>
        </w:rPr>
      </w:pPr>
      <w:r w:rsidRPr="00AF7252">
        <w:rPr>
          <w:rFonts w:ascii="Times New Roman" w:hAnsi="Times New Roman" w:cs="Times New Roman"/>
          <w:sz w:val="24"/>
          <w:szCs w:val="24"/>
        </w:rPr>
        <w:t xml:space="preserve">At 9-21 </w:t>
      </w:r>
      <w:r w:rsidRPr="00AF7252">
        <w:rPr>
          <w:rFonts w:ascii="Times New Roman" w:hAnsi="Times New Roman" w:cs="Times New Roman"/>
          <w:i/>
          <w:iCs/>
          <w:sz w:val="24"/>
          <w:szCs w:val="24"/>
        </w:rPr>
        <w:t>Hollander</w:t>
      </w:r>
      <w:r w:rsidR="00B75A81" w:rsidRPr="00AF7252">
        <w:rPr>
          <w:rFonts w:ascii="Times New Roman" w:hAnsi="Times New Roman" w:cs="Times New Roman"/>
          <w:i/>
          <w:iCs/>
          <w:sz w:val="24"/>
          <w:szCs w:val="24"/>
        </w:rPr>
        <w:t xml:space="preserve"> </w:t>
      </w:r>
      <w:r w:rsidR="00B75A81" w:rsidRPr="00AF7252">
        <w:rPr>
          <w:rFonts w:ascii="Times New Roman" w:hAnsi="Times New Roman" w:cs="Times New Roman"/>
          <w:sz w:val="24"/>
          <w:szCs w:val="24"/>
        </w:rPr>
        <w:t>dealing with “</w:t>
      </w:r>
      <w:r w:rsidR="00B75A81" w:rsidRPr="00AF7252">
        <w:rPr>
          <w:rFonts w:ascii="Times New Roman" w:hAnsi="Times New Roman" w:cs="Times New Roman"/>
          <w:i/>
          <w:iCs/>
          <w:sz w:val="24"/>
          <w:szCs w:val="24"/>
        </w:rPr>
        <w:t>One-Man Companies</w:t>
      </w:r>
      <w:r w:rsidR="00B75A81" w:rsidRPr="00AF7252">
        <w:rPr>
          <w:rFonts w:ascii="Times New Roman" w:hAnsi="Times New Roman" w:cs="Times New Roman"/>
          <w:sz w:val="24"/>
          <w:szCs w:val="24"/>
        </w:rPr>
        <w:t>”</w:t>
      </w:r>
      <w:r w:rsidR="00EA0A4D" w:rsidRPr="00AF7252">
        <w:rPr>
          <w:rFonts w:ascii="Times New Roman" w:hAnsi="Times New Roman" w:cs="Times New Roman"/>
          <w:sz w:val="24"/>
          <w:szCs w:val="24"/>
        </w:rPr>
        <w:t xml:space="preserve"> </w:t>
      </w:r>
      <w:r w:rsidR="00B75A81" w:rsidRPr="00AF7252">
        <w:rPr>
          <w:rFonts w:ascii="Times New Roman" w:hAnsi="Times New Roman" w:cs="Times New Roman"/>
          <w:sz w:val="24"/>
          <w:szCs w:val="24"/>
        </w:rPr>
        <w:t>states that</w:t>
      </w:r>
      <w:r w:rsidR="00EA0A4D" w:rsidRPr="00AF7252">
        <w:rPr>
          <w:rFonts w:ascii="Times New Roman" w:hAnsi="Times New Roman" w:cs="Times New Roman"/>
          <w:sz w:val="24"/>
          <w:szCs w:val="24"/>
        </w:rPr>
        <w:t>:</w:t>
      </w:r>
    </w:p>
    <w:p w14:paraId="634AEFE1" w14:textId="5BBEEC73" w:rsidR="00EA0A4D" w:rsidRDefault="00F62D91" w:rsidP="008149AA">
      <w:pPr>
        <w:spacing w:line="276" w:lineRule="auto"/>
        <w:ind w:left="720"/>
        <w:rPr>
          <w:rFonts w:ascii="Times New Roman" w:hAnsi="Times New Roman" w:cs="Times New Roman"/>
          <w:i/>
          <w:iCs/>
          <w:sz w:val="24"/>
          <w:szCs w:val="24"/>
        </w:rPr>
      </w:pPr>
      <w:r w:rsidRPr="00D66130">
        <w:rPr>
          <w:rFonts w:ascii="Times New Roman" w:hAnsi="Times New Roman" w:cs="Times New Roman"/>
          <w:i/>
          <w:iCs/>
          <w:sz w:val="24"/>
          <w:szCs w:val="24"/>
        </w:rPr>
        <w:t xml:space="preserve">The </w:t>
      </w:r>
      <w:r w:rsidR="00D66130" w:rsidRPr="00D66130">
        <w:rPr>
          <w:rFonts w:ascii="Times New Roman" w:hAnsi="Times New Roman" w:cs="Times New Roman"/>
          <w:i/>
          <w:iCs/>
          <w:sz w:val="24"/>
          <w:szCs w:val="24"/>
        </w:rPr>
        <w:t>mere</w:t>
      </w:r>
      <w:r w:rsidRPr="00D66130">
        <w:rPr>
          <w:rFonts w:ascii="Times New Roman" w:hAnsi="Times New Roman" w:cs="Times New Roman"/>
          <w:i/>
          <w:iCs/>
          <w:sz w:val="24"/>
          <w:szCs w:val="24"/>
        </w:rPr>
        <w:t xml:space="preserve"> fact that one person or entity held a controlling shareholding was held in Lon</w:t>
      </w:r>
      <w:r w:rsidR="00357C17" w:rsidRPr="00D66130">
        <w:rPr>
          <w:rFonts w:ascii="Times New Roman" w:hAnsi="Times New Roman" w:cs="Times New Roman"/>
          <w:i/>
          <w:iCs/>
          <w:sz w:val="24"/>
          <w:szCs w:val="24"/>
        </w:rPr>
        <w:t>rho to be insufficient for the documents to be in the person’s control. But there were circumstances in which the relationship of parent and subsidiary was such that one was the alter ego of the other in the circumstances was such that it would be wrong to treat the two as separate</w:t>
      </w:r>
      <w:r w:rsidR="00D66130" w:rsidRPr="00D66130">
        <w:rPr>
          <w:rFonts w:ascii="Times New Roman" w:hAnsi="Times New Roman" w:cs="Times New Roman"/>
          <w:i/>
          <w:iCs/>
          <w:sz w:val="24"/>
          <w:szCs w:val="24"/>
        </w:rPr>
        <w:t>.</w:t>
      </w:r>
    </w:p>
    <w:p w14:paraId="7DB45337" w14:textId="77777777" w:rsidR="001A231C" w:rsidRDefault="001A231C" w:rsidP="008149AA">
      <w:pPr>
        <w:spacing w:line="276" w:lineRule="auto"/>
        <w:ind w:left="720"/>
        <w:rPr>
          <w:rFonts w:ascii="Times New Roman" w:hAnsi="Times New Roman" w:cs="Times New Roman"/>
          <w:i/>
          <w:iCs/>
          <w:sz w:val="24"/>
          <w:szCs w:val="24"/>
        </w:rPr>
      </w:pPr>
    </w:p>
    <w:p w14:paraId="5657D660" w14:textId="7E4851F5" w:rsidR="001A231C" w:rsidRPr="00AF7252" w:rsidRDefault="007D7BB6" w:rsidP="00AF7252">
      <w:pPr>
        <w:pStyle w:val="ListParagraph"/>
        <w:numPr>
          <w:ilvl w:val="0"/>
          <w:numId w:val="1"/>
        </w:numPr>
        <w:spacing w:line="360" w:lineRule="auto"/>
        <w:jc w:val="both"/>
        <w:rPr>
          <w:rFonts w:ascii="Times New Roman" w:hAnsi="Times New Roman" w:cs="Times New Roman"/>
          <w:sz w:val="24"/>
          <w:szCs w:val="24"/>
        </w:rPr>
      </w:pPr>
      <w:r w:rsidRPr="00AF7252">
        <w:rPr>
          <w:rFonts w:ascii="Times New Roman" w:hAnsi="Times New Roman" w:cs="Times New Roman"/>
          <w:sz w:val="24"/>
          <w:szCs w:val="24"/>
        </w:rPr>
        <w:t xml:space="preserve">The Court is satisfied that </w:t>
      </w:r>
      <w:r w:rsidRPr="00AF7252">
        <w:rPr>
          <w:rFonts w:ascii="Times New Roman" w:hAnsi="Times New Roman" w:cs="Times New Roman"/>
          <w:i/>
          <w:iCs/>
          <w:sz w:val="24"/>
          <w:szCs w:val="24"/>
        </w:rPr>
        <w:t>Lonr</w:t>
      </w:r>
      <w:r w:rsidR="00B44AFD" w:rsidRPr="00AF7252">
        <w:rPr>
          <w:rFonts w:ascii="Times New Roman" w:hAnsi="Times New Roman" w:cs="Times New Roman"/>
          <w:i/>
          <w:iCs/>
          <w:sz w:val="24"/>
          <w:szCs w:val="24"/>
        </w:rPr>
        <w:t>ho</w:t>
      </w:r>
      <w:r w:rsidR="00B44AFD" w:rsidRPr="00AF7252">
        <w:rPr>
          <w:rFonts w:ascii="Times New Roman" w:hAnsi="Times New Roman" w:cs="Times New Roman"/>
          <w:sz w:val="24"/>
          <w:szCs w:val="24"/>
        </w:rPr>
        <w:t xml:space="preserve"> establishes that (</w:t>
      </w:r>
      <w:r w:rsidR="008870E6" w:rsidRPr="00AF7252">
        <w:rPr>
          <w:rFonts w:ascii="Times New Roman" w:hAnsi="Times New Roman" w:cs="Times New Roman"/>
          <w:sz w:val="24"/>
          <w:szCs w:val="24"/>
        </w:rPr>
        <w:t>i) the word “</w:t>
      </w:r>
      <w:r w:rsidR="008870E6" w:rsidRPr="00AF7252">
        <w:rPr>
          <w:rFonts w:ascii="Times New Roman" w:hAnsi="Times New Roman" w:cs="Times New Roman"/>
          <w:i/>
          <w:iCs/>
          <w:sz w:val="24"/>
          <w:szCs w:val="24"/>
        </w:rPr>
        <w:t>power”</w:t>
      </w:r>
      <w:r w:rsidR="00C3511E" w:rsidRPr="00AF7252">
        <w:rPr>
          <w:rFonts w:ascii="Times New Roman" w:hAnsi="Times New Roman" w:cs="Times New Roman"/>
          <w:sz w:val="24"/>
          <w:szCs w:val="24"/>
        </w:rPr>
        <w:t xml:space="preserve"> in Order 24 rule 1 </w:t>
      </w:r>
      <w:r w:rsidR="00C52316" w:rsidRPr="00AF7252">
        <w:rPr>
          <w:rFonts w:ascii="Times New Roman" w:hAnsi="Times New Roman" w:cs="Times New Roman"/>
          <w:sz w:val="24"/>
          <w:szCs w:val="24"/>
        </w:rPr>
        <w:t>means a presently enforceable legal right to obtain from whoever actually holds the document inspection of it without the need to obtain the consent of anyone else</w:t>
      </w:r>
      <w:r w:rsidR="009C19C8" w:rsidRPr="00AF7252">
        <w:rPr>
          <w:rFonts w:ascii="Times New Roman" w:hAnsi="Times New Roman" w:cs="Times New Roman"/>
          <w:sz w:val="24"/>
          <w:szCs w:val="24"/>
        </w:rPr>
        <w:t>; (ii)</w:t>
      </w:r>
      <w:r w:rsidR="00885C9F" w:rsidRPr="00AF7252">
        <w:rPr>
          <w:rFonts w:ascii="Times New Roman" w:hAnsi="Times New Roman" w:cs="Times New Roman"/>
          <w:sz w:val="24"/>
          <w:szCs w:val="24"/>
        </w:rPr>
        <w:t xml:space="preserve"> the mere fact that one person or entity holds a controlling shareholding</w:t>
      </w:r>
      <w:r w:rsidR="00355435" w:rsidRPr="00AF7252">
        <w:rPr>
          <w:rFonts w:ascii="Times New Roman" w:hAnsi="Times New Roman" w:cs="Times New Roman"/>
          <w:sz w:val="24"/>
          <w:szCs w:val="24"/>
        </w:rPr>
        <w:t xml:space="preserve"> in a subsidiary </w:t>
      </w:r>
      <w:r w:rsidR="007759A8" w:rsidRPr="00AF7252">
        <w:rPr>
          <w:rFonts w:ascii="Times New Roman" w:hAnsi="Times New Roman" w:cs="Times New Roman"/>
          <w:sz w:val="24"/>
          <w:szCs w:val="24"/>
        </w:rPr>
        <w:t>c</w:t>
      </w:r>
      <w:r w:rsidR="00645F7F" w:rsidRPr="00AF7252">
        <w:rPr>
          <w:rFonts w:ascii="Times New Roman" w:hAnsi="Times New Roman" w:cs="Times New Roman"/>
          <w:sz w:val="24"/>
          <w:szCs w:val="24"/>
        </w:rPr>
        <w:t>ompany</w:t>
      </w:r>
      <w:r w:rsidR="00885C9F" w:rsidRPr="00AF7252">
        <w:rPr>
          <w:rFonts w:ascii="Times New Roman" w:hAnsi="Times New Roman" w:cs="Times New Roman"/>
          <w:sz w:val="24"/>
          <w:szCs w:val="24"/>
        </w:rPr>
        <w:t xml:space="preserve"> is insufficient for the documents to be in that person’s control</w:t>
      </w:r>
      <w:r w:rsidR="00355435" w:rsidRPr="00AF7252">
        <w:rPr>
          <w:rFonts w:ascii="Times New Roman" w:hAnsi="Times New Roman" w:cs="Times New Roman"/>
          <w:sz w:val="24"/>
          <w:szCs w:val="24"/>
        </w:rPr>
        <w:t xml:space="preserve">; </w:t>
      </w:r>
      <w:r w:rsidR="00C25120" w:rsidRPr="00AF7252">
        <w:rPr>
          <w:rFonts w:ascii="Times New Roman" w:hAnsi="Times New Roman" w:cs="Times New Roman"/>
          <w:sz w:val="24"/>
          <w:szCs w:val="24"/>
        </w:rPr>
        <w:t>(iii)</w:t>
      </w:r>
      <w:r w:rsidR="00363773" w:rsidRPr="00AF7252">
        <w:rPr>
          <w:rFonts w:ascii="Times New Roman" w:hAnsi="Times New Roman" w:cs="Times New Roman"/>
          <w:sz w:val="24"/>
          <w:szCs w:val="24"/>
        </w:rPr>
        <w:t xml:space="preserve"> the mere fact that a 100% subsidiary</w:t>
      </w:r>
      <w:r w:rsidR="000E38D2" w:rsidRPr="00AF7252">
        <w:rPr>
          <w:rFonts w:ascii="Times New Roman" w:hAnsi="Times New Roman" w:cs="Times New Roman"/>
          <w:sz w:val="24"/>
          <w:szCs w:val="24"/>
        </w:rPr>
        <w:t xml:space="preserve"> </w:t>
      </w:r>
      <w:r w:rsidR="007759A8" w:rsidRPr="00AF7252">
        <w:rPr>
          <w:rFonts w:ascii="Times New Roman" w:hAnsi="Times New Roman" w:cs="Times New Roman"/>
          <w:sz w:val="24"/>
          <w:szCs w:val="24"/>
        </w:rPr>
        <w:t>c</w:t>
      </w:r>
      <w:r w:rsidR="00645F7F" w:rsidRPr="00AF7252">
        <w:rPr>
          <w:rFonts w:ascii="Times New Roman" w:hAnsi="Times New Roman" w:cs="Times New Roman"/>
          <w:sz w:val="24"/>
          <w:szCs w:val="24"/>
        </w:rPr>
        <w:t>ompany</w:t>
      </w:r>
      <w:r w:rsidR="00A4769F" w:rsidRPr="00AF7252">
        <w:rPr>
          <w:rFonts w:ascii="Times New Roman" w:hAnsi="Times New Roman" w:cs="Times New Roman"/>
          <w:sz w:val="24"/>
          <w:szCs w:val="24"/>
        </w:rPr>
        <w:t xml:space="preserve"> is likely to give its consent to disclosure to the parent </w:t>
      </w:r>
      <w:r w:rsidR="007759A8" w:rsidRPr="00AF7252">
        <w:rPr>
          <w:rFonts w:ascii="Times New Roman" w:hAnsi="Times New Roman" w:cs="Times New Roman"/>
          <w:sz w:val="24"/>
          <w:szCs w:val="24"/>
        </w:rPr>
        <w:t>c</w:t>
      </w:r>
      <w:r w:rsidR="00645F7F" w:rsidRPr="00AF7252">
        <w:rPr>
          <w:rFonts w:ascii="Times New Roman" w:hAnsi="Times New Roman" w:cs="Times New Roman"/>
          <w:sz w:val="24"/>
          <w:szCs w:val="24"/>
        </w:rPr>
        <w:t>ompany</w:t>
      </w:r>
      <w:r w:rsidR="00780392" w:rsidRPr="00AF7252">
        <w:rPr>
          <w:rFonts w:ascii="Times New Roman" w:hAnsi="Times New Roman" w:cs="Times New Roman"/>
          <w:sz w:val="24"/>
          <w:szCs w:val="24"/>
        </w:rPr>
        <w:t xml:space="preserve"> does not amount to “</w:t>
      </w:r>
      <w:r w:rsidR="00780392" w:rsidRPr="00AF7252">
        <w:rPr>
          <w:rFonts w:ascii="Times New Roman" w:hAnsi="Times New Roman" w:cs="Times New Roman"/>
          <w:i/>
          <w:iCs/>
          <w:sz w:val="24"/>
          <w:szCs w:val="24"/>
        </w:rPr>
        <w:t>control</w:t>
      </w:r>
      <w:r w:rsidR="00780392" w:rsidRPr="00AF7252">
        <w:rPr>
          <w:rFonts w:ascii="Times New Roman" w:hAnsi="Times New Roman" w:cs="Times New Roman"/>
          <w:sz w:val="24"/>
          <w:szCs w:val="24"/>
        </w:rPr>
        <w:t xml:space="preserve">” by the parent </w:t>
      </w:r>
      <w:r w:rsidR="007759A8" w:rsidRPr="00AF7252">
        <w:rPr>
          <w:rFonts w:ascii="Times New Roman" w:hAnsi="Times New Roman" w:cs="Times New Roman"/>
          <w:sz w:val="24"/>
          <w:szCs w:val="24"/>
        </w:rPr>
        <w:t>c</w:t>
      </w:r>
      <w:r w:rsidR="00645F7F" w:rsidRPr="00AF7252">
        <w:rPr>
          <w:rFonts w:ascii="Times New Roman" w:hAnsi="Times New Roman" w:cs="Times New Roman"/>
          <w:sz w:val="24"/>
          <w:szCs w:val="24"/>
        </w:rPr>
        <w:t>ompany</w:t>
      </w:r>
      <w:r w:rsidR="000E38D2" w:rsidRPr="00AF7252">
        <w:rPr>
          <w:rFonts w:ascii="Times New Roman" w:hAnsi="Times New Roman" w:cs="Times New Roman"/>
          <w:sz w:val="24"/>
          <w:szCs w:val="24"/>
        </w:rPr>
        <w:t>; and (iv)</w:t>
      </w:r>
      <w:r w:rsidR="00EF1F93" w:rsidRPr="00AF7252">
        <w:rPr>
          <w:rFonts w:ascii="Times New Roman" w:hAnsi="Times New Roman" w:cs="Times New Roman"/>
          <w:sz w:val="24"/>
          <w:szCs w:val="24"/>
        </w:rPr>
        <w:t xml:space="preserve"> a parent </w:t>
      </w:r>
      <w:r w:rsidR="007759A8" w:rsidRPr="00AF7252">
        <w:rPr>
          <w:rFonts w:ascii="Times New Roman" w:hAnsi="Times New Roman" w:cs="Times New Roman"/>
          <w:sz w:val="24"/>
          <w:szCs w:val="24"/>
        </w:rPr>
        <w:t>c</w:t>
      </w:r>
      <w:r w:rsidR="00645F7F" w:rsidRPr="00AF7252">
        <w:rPr>
          <w:rFonts w:ascii="Times New Roman" w:hAnsi="Times New Roman" w:cs="Times New Roman"/>
          <w:sz w:val="24"/>
          <w:szCs w:val="24"/>
        </w:rPr>
        <w:t>ompany</w:t>
      </w:r>
      <w:r w:rsidR="00EF1F93" w:rsidRPr="00AF7252">
        <w:rPr>
          <w:rFonts w:ascii="Times New Roman" w:hAnsi="Times New Roman" w:cs="Times New Roman"/>
          <w:sz w:val="24"/>
          <w:szCs w:val="24"/>
        </w:rPr>
        <w:t xml:space="preserve"> is not required by Order 24</w:t>
      </w:r>
      <w:r w:rsidR="006601C3" w:rsidRPr="00AF7252">
        <w:rPr>
          <w:rFonts w:ascii="Times New Roman" w:hAnsi="Times New Roman" w:cs="Times New Roman"/>
          <w:sz w:val="24"/>
          <w:szCs w:val="24"/>
        </w:rPr>
        <w:t xml:space="preserve"> to seek the consent of its subsidiary companies</w:t>
      </w:r>
      <w:r w:rsidR="0074115C" w:rsidRPr="00AF7252">
        <w:rPr>
          <w:rFonts w:ascii="Times New Roman" w:hAnsi="Times New Roman" w:cs="Times New Roman"/>
          <w:sz w:val="24"/>
          <w:szCs w:val="24"/>
        </w:rPr>
        <w:t xml:space="preserve"> to disclose documents held by </w:t>
      </w:r>
      <w:r w:rsidR="00313AE6" w:rsidRPr="00AF7252">
        <w:rPr>
          <w:rFonts w:ascii="Times New Roman" w:hAnsi="Times New Roman" w:cs="Times New Roman"/>
          <w:sz w:val="24"/>
          <w:szCs w:val="24"/>
        </w:rPr>
        <w:t>the subsidiary companies to a third-party.</w:t>
      </w:r>
    </w:p>
    <w:p w14:paraId="18BE0B66" w14:textId="77777777" w:rsidR="002733AA" w:rsidRDefault="002733AA" w:rsidP="00F612C4">
      <w:pPr>
        <w:spacing w:line="360" w:lineRule="auto"/>
        <w:rPr>
          <w:rFonts w:ascii="Times New Roman" w:hAnsi="Times New Roman" w:cs="Times New Roman"/>
          <w:sz w:val="24"/>
          <w:szCs w:val="24"/>
        </w:rPr>
      </w:pPr>
    </w:p>
    <w:p w14:paraId="0FC976E3" w14:textId="53763572" w:rsidR="002733AA" w:rsidRPr="00AF7252" w:rsidRDefault="00865CA6" w:rsidP="00AF7252">
      <w:pPr>
        <w:pStyle w:val="ListParagraph"/>
        <w:numPr>
          <w:ilvl w:val="0"/>
          <w:numId w:val="1"/>
        </w:numPr>
        <w:spacing w:line="360" w:lineRule="auto"/>
        <w:jc w:val="both"/>
        <w:rPr>
          <w:rFonts w:ascii="Times New Roman" w:hAnsi="Times New Roman" w:cs="Times New Roman"/>
          <w:sz w:val="24"/>
          <w:szCs w:val="24"/>
        </w:rPr>
      </w:pPr>
      <w:r w:rsidRPr="00AF7252">
        <w:rPr>
          <w:rFonts w:ascii="Times New Roman" w:hAnsi="Times New Roman" w:cs="Times New Roman"/>
          <w:sz w:val="24"/>
          <w:szCs w:val="24"/>
        </w:rPr>
        <w:t xml:space="preserve">It is noteworthy that Lord Denning in the Court of Appeal in </w:t>
      </w:r>
      <w:r w:rsidRPr="00AF7252">
        <w:rPr>
          <w:rFonts w:ascii="Times New Roman" w:hAnsi="Times New Roman" w:cs="Times New Roman"/>
          <w:i/>
          <w:iCs/>
          <w:sz w:val="24"/>
          <w:szCs w:val="24"/>
        </w:rPr>
        <w:t>Lonrho</w:t>
      </w:r>
      <w:r w:rsidR="000F40DE" w:rsidRPr="00AF7252">
        <w:rPr>
          <w:rFonts w:ascii="Times New Roman" w:hAnsi="Times New Roman" w:cs="Times New Roman"/>
          <w:i/>
          <w:iCs/>
          <w:sz w:val="24"/>
          <w:szCs w:val="24"/>
        </w:rPr>
        <w:t xml:space="preserve"> </w:t>
      </w:r>
      <w:r w:rsidR="0011139C" w:rsidRPr="00AF7252">
        <w:rPr>
          <w:rFonts w:ascii="Times New Roman" w:hAnsi="Times New Roman" w:cs="Times New Roman"/>
          <w:i/>
          <w:iCs/>
          <w:sz w:val="24"/>
          <w:szCs w:val="24"/>
        </w:rPr>
        <w:t>(</w:t>
      </w:r>
      <w:r w:rsidR="00AD5B1A" w:rsidRPr="00AF7252">
        <w:rPr>
          <w:rFonts w:ascii="Times New Roman" w:hAnsi="Times New Roman" w:cs="Times New Roman"/>
          <w:sz w:val="24"/>
          <w:szCs w:val="24"/>
        </w:rPr>
        <w:t xml:space="preserve">[1980] 1 QB </w:t>
      </w:r>
      <w:r w:rsidR="0011139C" w:rsidRPr="00AF7252">
        <w:rPr>
          <w:rFonts w:ascii="Times New Roman" w:hAnsi="Times New Roman" w:cs="Times New Roman"/>
          <w:sz w:val="24"/>
          <w:szCs w:val="24"/>
        </w:rPr>
        <w:t>358</w:t>
      </w:r>
      <w:r w:rsidR="0021139E" w:rsidRPr="00AF7252">
        <w:rPr>
          <w:rFonts w:ascii="Times New Roman" w:hAnsi="Times New Roman" w:cs="Times New Roman"/>
          <w:sz w:val="24"/>
          <w:szCs w:val="24"/>
        </w:rPr>
        <w:t>)</w:t>
      </w:r>
      <w:r w:rsidR="000E148B" w:rsidRPr="00AF7252">
        <w:rPr>
          <w:rFonts w:ascii="Times New Roman" w:hAnsi="Times New Roman" w:cs="Times New Roman"/>
          <w:sz w:val="24"/>
          <w:szCs w:val="24"/>
        </w:rPr>
        <w:t xml:space="preserve"> had held</w:t>
      </w:r>
      <w:r w:rsidR="002122D6" w:rsidRPr="00AF7252">
        <w:rPr>
          <w:rFonts w:ascii="Times New Roman" w:hAnsi="Times New Roman" w:cs="Times New Roman"/>
          <w:sz w:val="24"/>
          <w:szCs w:val="24"/>
        </w:rPr>
        <w:t xml:space="preserve"> that even if as a matter of practice the subsidiaries or the auditors</w:t>
      </w:r>
      <w:r w:rsidR="000E148B" w:rsidRPr="00AF7252">
        <w:rPr>
          <w:rFonts w:ascii="Times New Roman" w:hAnsi="Times New Roman" w:cs="Times New Roman"/>
          <w:sz w:val="24"/>
          <w:szCs w:val="24"/>
        </w:rPr>
        <w:t xml:space="preserve"> will hand over the documents at once to the parent </w:t>
      </w:r>
      <w:r w:rsidR="007759A8" w:rsidRPr="00AF7252">
        <w:rPr>
          <w:rFonts w:ascii="Times New Roman" w:hAnsi="Times New Roman" w:cs="Times New Roman"/>
          <w:sz w:val="24"/>
          <w:szCs w:val="24"/>
        </w:rPr>
        <w:t>c</w:t>
      </w:r>
      <w:r w:rsidR="00645F7F" w:rsidRPr="00AF7252">
        <w:rPr>
          <w:rFonts w:ascii="Times New Roman" w:hAnsi="Times New Roman" w:cs="Times New Roman"/>
          <w:sz w:val="24"/>
          <w:szCs w:val="24"/>
        </w:rPr>
        <w:t>ompany</w:t>
      </w:r>
      <w:r w:rsidR="005C21B3" w:rsidRPr="00AF7252">
        <w:rPr>
          <w:rFonts w:ascii="Times New Roman" w:hAnsi="Times New Roman" w:cs="Times New Roman"/>
          <w:sz w:val="24"/>
          <w:szCs w:val="24"/>
        </w:rPr>
        <w:t xml:space="preserve"> for purposes of</w:t>
      </w:r>
      <w:r w:rsidR="008D27F2" w:rsidRPr="00AF7252">
        <w:rPr>
          <w:rFonts w:ascii="Times New Roman" w:hAnsi="Times New Roman" w:cs="Times New Roman"/>
          <w:sz w:val="24"/>
          <w:szCs w:val="24"/>
        </w:rPr>
        <w:t xml:space="preserve"> “</w:t>
      </w:r>
      <w:r w:rsidR="008D27F2" w:rsidRPr="00AF7252">
        <w:rPr>
          <w:rFonts w:ascii="Times New Roman" w:hAnsi="Times New Roman" w:cs="Times New Roman"/>
          <w:i/>
          <w:iCs/>
          <w:sz w:val="24"/>
          <w:szCs w:val="24"/>
        </w:rPr>
        <w:t>group accounts</w:t>
      </w:r>
      <w:r w:rsidR="008D27F2" w:rsidRPr="00AF7252">
        <w:rPr>
          <w:rFonts w:ascii="Times New Roman" w:hAnsi="Times New Roman" w:cs="Times New Roman"/>
          <w:sz w:val="24"/>
          <w:szCs w:val="24"/>
        </w:rPr>
        <w:t>”</w:t>
      </w:r>
      <w:r w:rsidR="00E113E7" w:rsidRPr="00AF7252">
        <w:rPr>
          <w:rFonts w:ascii="Times New Roman" w:hAnsi="Times New Roman" w:cs="Times New Roman"/>
          <w:sz w:val="24"/>
          <w:szCs w:val="24"/>
        </w:rPr>
        <w:t xml:space="preserve"> that would not</w:t>
      </w:r>
      <w:r w:rsidR="00A214F2" w:rsidRPr="00AF7252">
        <w:rPr>
          <w:rFonts w:ascii="Times New Roman" w:hAnsi="Times New Roman" w:cs="Times New Roman"/>
          <w:sz w:val="24"/>
          <w:szCs w:val="24"/>
        </w:rPr>
        <w:t xml:space="preserve"> amount to “</w:t>
      </w:r>
      <w:r w:rsidR="00A214F2" w:rsidRPr="00AF7252">
        <w:rPr>
          <w:rFonts w:ascii="Times New Roman" w:hAnsi="Times New Roman" w:cs="Times New Roman"/>
          <w:i/>
          <w:iCs/>
          <w:sz w:val="24"/>
          <w:szCs w:val="24"/>
        </w:rPr>
        <w:t>control</w:t>
      </w:r>
      <w:r w:rsidR="00A214F2" w:rsidRPr="00AF7252">
        <w:rPr>
          <w:rFonts w:ascii="Times New Roman" w:hAnsi="Times New Roman" w:cs="Times New Roman"/>
          <w:sz w:val="24"/>
          <w:szCs w:val="24"/>
        </w:rPr>
        <w:t>” within the meaning of Order 24.</w:t>
      </w:r>
      <w:r w:rsidR="00F74DD5" w:rsidRPr="00AF7252">
        <w:rPr>
          <w:rFonts w:ascii="Times New Roman" w:hAnsi="Times New Roman" w:cs="Times New Roman"/>
          <w:sz w:val="24"/>
          <w:szCs w:val="24"/>
        </w:rPr>
        <w:t xml:space="preserve"> </w:t>
      </w:r>
      <w:r w:rsidR="0021139E" w:rsidRPr="00AF7252">
        <w:rPr>
          <w:rFonts w:ascii="Times New Roman" w:hAnsi="Times New Roman" w:cs="Times New Roman"/>
          <w:sz w:val="24"/>
          <w:szCs w:val="24"/>
        </w:rPr>
        <w:t>At 37</w:t>
      </w:r>
      <w:r w:rsidR="00A17B26" w:rsidRPr="00AF7252">
        <w:rPr>
          <w:rFonts w:ascii="Times New Roman" w:hAnsi="Times New Roman" w:cs="Times New Roman"/>
          <w:sz w:val="24"/>
          <w:szCs w:val="24"/>
        </w:rPr>
        <w:t>2C-E Lord Denning held:</w:t>
      </w:r>
    </w:p>
    <w:p w14:paraId="0A8695E3" w14:textId="77777777" w:rsidR="00F70453" w:rsidRPr="0063730E" w:rsidRDefault="00F70453" w:rsidP="006F7BE3">
      <w:pPr>
        <w:spacing w:before="120" w:line="276" w:lineRule="auto"/>
        <w:ind w:left="720"/>
        <w:rPr>
          <w:rFonts w:ascii="Times New Roman" w:hAnsi="Times New Roman" w:cs="Times New Roman"/>
          <w:i/>
          <w:iCs/>
          <w:sz w:val="24"/>
          <w:szCs w:val="24"/>
        </w:rPr>
      </w:pPr>
      <w:r w:rsidRPr="0063730E">
        <w:rPr>
          <w:rFonts w:ascii="Times New Roman" w:hAnsi="Times New Roman" w:cs="Times New Roman"/>
          <w:i/>
          <w:iCs/>
          <w:sz w:val="24"/>
          <w:szCs w:val="24"/>
        </w:rPr>
        <w:t>We then come to the question in this case. One hundred per cent. of the shares were owned by Shell and B.P. Did that give them the "power" over these documents? Did it give them the "power" to order them? Were they in their "power" so that they could require them at the instant? That is a difficult question, which has been discussed before us.</w:t>
      </w:r>
    </w:p>
    <w:p w14:paraId="3F105FCD" w14:textId="74529ABB" w:rsidR="00F70453" w:rsidRDefault="00F70453" w:rsidP="006F7BE3">
      <w:pPr>
        <w:spacing w:before="120" w:line="276" w:lineRule="auto"/>
        <w:ind w:left="720"/>
        <w:rPr>
          <w:rFonts w:ascii="Times New Roman" w:hAnsi="Times New Roman" w:cs="Times New Roman"/>
          <w:i/>
          <w:iCs/>
          <w:sz w:val="24"/>
          <w:szCs w:val="24"/>
        </w:rPr>
      </w:pPr>
      <w:r w:rsidRPr="0063730E">
        <w:rPr>
          <w:rFonts w:ascii="Times New Roman" w:hAnsi="Times New Roman" w:cs="Times New Roman"/>
          <w:i/>
          <w:iCs/>
          <w:sz w:val="24"/>
          <w:szCs w:val="24"/>
        </w:rPr>
        <w:t xml:space="preserve">No doubt, in many ordinary circumstances, what the parent </w:t>
      </w:r>
      <w:r w:rsidR="00645F7F">
        <w:rPr>
          <w:rFonts w:ascii="Times New Roman" w:hAnsi="Times New Roman" w:cs="Times New Roman"/>
          <w:i/>
          <w:iCs/>
          <w:sz w:val="24"/>
          <w:szCs w:val="24"/>
        </w:rPr>
        <w:t>Company</w:t>
      </w:r>
      <w:r w:rsidRPr="0063730E">
        <w:rPr>
          <w:rFonts w:ascii="Times New Roman" w:hAnsi="Times New Roman" w:cs="Times New Roman"/>
          <w:i/>
          <w:iCs/>
          <w:sz w:val="24"/>
          <w:szCs w:val="24"/>
        </w:rPr>
        <w:t xml:space="preserve"> requests is automatically complied with by the subsidiary. Brandon L.J. mentioned at the end of the argument the question of "group accounts." The parent </w:t>
      </w:r>
      <w:r w:rsidR="00645F7F">
        <w:rPr>
          <w:rFonts w:ascii="Times New Roman" w:hAnsi="Times New Roman" w:cs="Times New Roman"/>
          <w:i/>
          <w:iCs/>
          <w:sz w:val="24"/>
          <w:szCs w:val="24"/>
        </w:rPr>
        <w:t>Company</w:t>
      </w:r>
      <w:r w:rsidRPr="0063730E">
        <w:rPr>
          <w:rFonts w:ascii="Times New Roman" w:hAnsi="Times New Roman" w:cs="Times New Roman"/>
          <w:i/>
          <w:iCs/>
          <w:sz w:val="24"/>
          <w:szCs w:val="24"/>
        </w:rPr>
        <w:t xml:space="preserve"> probably has the same auditors as its subsidiaries. If the parent </w:t>
      </w:r>
      <w:r w:rsidR="00645F7F">
        <w:rPr>
          <w:rFonts w:ascii="Times New Roman" w:hAnsi="Times New Roman" w:cs="Times New Roman"/>
          <w:i/>
          <w:iCs/>
          <w:sz w:val="24"/>
          <w:szCs w:val="24"/>
        </w:rPr>
        <w:t>Company</w:t>
      </w:r>
      <w:r w:rsidRPr="0063730E">
        <w:rPr>
          <w:rFonts w:ascii="Times New Roman" w:hAnsi="Times New Roman" w:cs="Times New Roman"/>
          <w:i/>
          <w:iCs/>
          <w:sz w:val="24"/>
          <w:szCs w:val="24"/>
        </w:rPr>
        <w:t xml:space="preserve"> calls for the accounts of its subsidiaries in order to make up the group accounts, as a matter of practice the subsidiaries or their auditors will hand them over at once. That is all part of the ordinary working of business</w:t>
      </w:r>
      <w:r w:rsidR="0063730E" w:rsidRPr="0063730E">
        <w:rPr>
          <w:rFonts w:ascii="Times New Roman" w:hAnsi="Times New Roman" w:cs="Times New Roman"/>
          <w:i/>
          <w:iCs/>
          <w:sz w:val="24"/>
          <w:szCs w:val="24"/>
        </w:rPr>
        <w:t>.</w:t>
      </w:r>
    </w:p>
    <w:p w14:paraId="65CE7D7B" w14:textId="77777777" w:rsidR="00F34B89" w:rsidRDefault="00F34B89" w:rsidP="006F7BE3">
      <w:pPr>
        <w:spacing w:before="120" w:line="276" w:lineRule="auto"/>
        <w:ind w:left="720"/>
        <w:rPr>
          <w:rFonts w:ascii="Times New Roman" w:hAnsi="Times New Roman" w:cs="Times New Roman"/>
          <w:i/>
          <w:iCs/>
          <w:sz w:val="24"/>
          <w:szCs w:val="24"/>
        </w:rPr>
      </w:pPr>
    </w:p>
    <w:p w14:paraId="440394E3" w14:textId="5225ECF4" w:rsidR="00F34B89" w:rsidRDefault="007C2C51" w:rsidP="00F612C4">
      <w:pPr>
        <w:spacing w:before="120" w:line="360" w:lineRule="auto"/>
        <w:rPr>
          <w:rFonts w:ascii="Times New Roman" w:hAnsi="Times New Roman" w:cs="Times New Roman"/>
          <w:b/>
          <w:bCs/>
          <w:i/>
          <w:iCs/>
          <w:sz w:val="24"/>
          <w:szCs w:val="24"/>
        </w:rPr>
      </w:pPr>
      <w:r w:rsidRPr="00183F02">
        <w:rPr>
          <w:rFonts w:ascii="Times New Roman" w:hAnsi="Times New Roman" w:cs="Times New Roman"/>
          <w:b/>
          <w:bCs/>
          <w:i/>
          <w:iCs/>
          <w:sz w:val="24"/>
          <w:szCs w:val="24"/>
        </w:rPr>
        <w:t>Schlumberger</w:t>
      </w:r>
      <w:r w:rsidR="00D21E6C">
        <w:rPr>
          <w:rFonts w:ascii="Times New Roman" w:hAnsi="Times New Roman" w:cs="Times New Roman"/>
          <w:b/>
          <w:bCs/>
          <w:i/>
          <w:iCs/>
          <w:sz w:val="24"/>
          <w:szCs w:val="24"/>
        </w:rPr>
        <w:t xml:space="preserve"> Holdings Limited</w:t>
      </w:r>
      <w:r w:rsidR="00183F02" w:rsidRPr="00183F02">
        <w:rPr>
          <w:rFonts w:ascii="Times New Roman" w:hAnsi="Times New Roman" w:cs="Times New Roman"/>
          <w:b/>
          <w:bCs/>
          <w:i/>
          <w:iCs/>
          <w:sz w:val="24"/>
          <w:szCs w:val="24"/>
        </w:rPr>
        <w:t xml:space="preserve"> </w:t>
      </w:r>
    </w:p>
    <w:p w14:paraId="4C7CB4F9" w14:textId="77777777" w:rsidR="00183F02" w:rsidRDefault="00183F02" w:rsidP="00F612C4">
      <w:pPr>
        <w:spacing w:before="120" w:line="360" w:lineRule="auto"/>
        <w:rPr>
          <w:rFonts w:ascii="Times New Roman" w:hAnsi="Times New Roman" w:cs="Times New Roman"/>
          <w:b/>
          <w:bCs/>
          <w:i/>
          <w:iCs/>
          <w:sz w:val="24"/>
          <w:szCs w:val="24"/>
        </w:rPr>
      </w:pPr>
    </w:p>
    <w:p w14:paraId="1FF72E29" w14:textId="4263311E" w:rsidR="00F21D90" w:rsidRPr="00AF7252" w:rsidRDefault="003A784E" w:rsidP="00AF7252">
      <w:pPr>
        <w:pStyle w:val="ListParagraph"/>
        <w:numPr>
          <w:ilvl w:val="0"/>
          <w:numId w:val="1"/>
        </w:numPr>
        <w:spacing w:before="120" w:line="360" w:lineRule="auto"/>
        <w:jc w:val="both"/>
        <w:rPr>
          <w:rFonts w:ascii="Times New Roman" w:hAnsi="Times New Roman" w:cs="Times New Roman"/>
          <w:sz w:val="24"/>
          <w:szCs w:val="24"/>
        </w:rPr>
      </w:pPr>
      <w:r w:rsidRPr="00AF7252">
        <w:rPr>
          <w:rFonts w:ascii="Times New Roman" w:hAnsi="Times New Roman" w:cs="Times New Roman"/>
          <w:b/>
          <w:bCs/>
          <w:i/>
          <w:iCs/>
          <w:sz w:val="24"/>
          <w:szCs w:val="24"/>
        </w:rPr>
        <w:t>Schlumberger</w:t>
      </w:r>
      <w:r w:rsidR="00D21E6C" w:rsidRPr="00AF7252">
        <w:rPr>
          <w:rFonts w:ascii="Times New Roman" w:hAnsi="Times New Roman" w:cs="Times New Roman"/>
          <w:b/>
          <w:bCs/>
          <w:i/>
          <w:iCs/>
          <w:sz w:val="24"/>
          <w:szCs w:val="24"/>
        </w:rPr>
        <w:t xml:space="preserve"> Holdings Limited</w:t>
      </w:r>
      <w:r w:rsidR="00F21D90" w:rsidRPr="00AF7252">
        <w:rPr>
          <w:rFonts w:ascii="Times New Roman" w:hAnsi="Times New Roman" w:cs="Times New Roman"/>
          <w:b/>
          <w:bCs/>
          <w:i/>
          <w:iCs/>
          <w:sz w:val="24"/>
          <w:szCs w:val="24"/>
        </w:rPr>
        <w:t xml:space="preserve"> v Electromagnetic Geoservices AS </w:t>
      </w:r>
      <w:r w:rsidR="00C63B69" w:rsidRPr="00AF7252">
        <w:rPr>
          <w:rFonts w:ascii="Times New Roman" w:hAnsi="Times New Roman" w:cs="Times New Roman"/>
          <w:sz w:val="24"/>
          <w:szCs w:val="24"/>
        </w:rPr>
        <w:t>[</w:t>
      </w:r>
      <w:r w:rsidR="00F21D90" w:rsidRPr="00AF7252">
        <w:rPr>
          <w:rFonts w:ascii="Times New Roman" w:hAnsi="Times New Roman" w:cs="Times New Roman"/>
          <w:sz w:val="24"/>
          <w:szCs w:val="24"/>
        </w:rPr>
        <w:t>2008] EWHC 56</w:t>
      </w:r>
      <w:r w:rsidR="00CB3209" w:rsidRPr="00AF7252">
        <w:rPr>
          <w:rFonts w:ascii="Times New Roman" w:hAnsi="Times New Roman" w:cs="Times New Roman"/>
          <w:sz w:val="24"/>
          <w:szCs w:val="24"/>
        </w:rPr>
        <w:t xml:space="preserve"> concerned an application by the defendant seeking disclosure of documents within the Schlumberger group</w:t>
      </w:r>
      <w:r w:rsidR="000922C7" w:rsidRPr="00AF7252">
        <w:rPr>
          <w:rFonts w:ascii="Times New Roman" w:hAnsi="Times New Roman" w:cs="Times New Roman"/>
          <w:sz w:val="24"/>
          <w:szCs w:val="24"/>
        </w:rPr>
        <w:t xml:space="preserve"> to develop or to evaluate electromagnetic methods of exploring</w:t>
      </w:r>
      <w:r w:rsidR="00C82172" w:rsidRPr="00AF7252">
        <w:rPr>
          <w:rFonts w:ascii="Times New Roman" w:hAnsi="Times New Roman" w:cs="Times New Roman"/>
          <w:sz w:val="24"/>
          <w:szCs w:val="24"/>
        </w:rPr>
        <w:t xml:space="preserve"> subsea reservoirs</w:t>
      </w:r>
      <w:r w:rsidR="000E337E" w:rsidRPr="00AF7252">
        <w:rPr>
          <w:rFonts w:ascii="Times New Roman" w:hAnsi="Times New Roman" w:cs="Times New Roman"/>
          <w:sz w:val="24"/>
          <w:szCs w:val="24"/>
        </w:rPr>
        <w:t>. The application was made</w:t>
      </w:r>
      <w:r w:rsidR="00037326" w:rsidRPr="00AF7252">
        <w:rPr>
          <w:rFonts w:ascii="Times New Roman" w:hAnsi="Times New Roman" w:cs="Times New Roman"/>
          <w:sz w:val="24"/>
          <w:szCs w:val="24"/>
        </w:rPr>
        <w:t xml:space="preserve"> with the background that</w:t>
      </w:r>
      <w:r w:rsidR="00D21E6C" w:rsidRPr="00AF7252">
        <w:rPr>
          <w:rFonts w:ascii="Times New Roman" w:hAnsi="Times New Roman" w:cs="Times New Roman"/>
          <w:sz w:val="24"/>
          <w:szCs w:val="24"/>
        </w:rPr>
        <w:t xml:space="preserve"> that Schlumberger Holdings</w:t>
      </w:r>
      <w:r w:rsidR="00302123" w:rsidRPr="00AF7252">
        <w:rPr>
          <w:rFonts w:ascii="Times New Roman" w:hAnsi="Times New Roman" w:cs="Times New Roman"/>
          <w:sz w:val="24"/>
          <w:szCs w:val="24"/>
        </w:rPr>
        <w:t xml:space="preserve"> had already conducted</w:t>
      </w:r>
      <w:r w:rsidR="0010006E" w:rsidRPr="00AF7252">
        <w:rPr>
          <w:rFonts w:ascii="Times New Roman" w:hAnsi="Times New Roman" w:cs="Times New Roman"/>
          <w:sz w:val="24"/>
          <w:szCs w:val="24"/>
        </w:rPr>
        <w:t xml:space="preserve"> a search of “</w:t>
      </w:r>
      <w:r w:rsidR="0010006E" w:rsidRPr="00AF7252">
        <w:rPr>
          <w:rFonts w:ascii="Times New Roman" w:hAnsi="Times New Roman" w:cs="Times New Roman"/>
          <w:i/>
          <w:iCs/>
          <w:sz w:val="24"/>
          <w:szCs w:val="24"/>
        </w:rPr>
        <w:t>the claimant’s facilities</w:t>
      </w:r>
      <w:r w:rsidR="0010006E" w:rsidRPr="00AF7252">
        <w:rPr>
          <w:rFonts w:ascii="Times New Roman" w:hAnsi="Times New Roman" w:cs="Times New Roman"/>
          <w:sz w:val="24"/>
          <w:szCs w:val="24"/>
        </w:rPr>
        <w:t>” and of the “</w:t>
      </w:r>
      <w:r w:rsidR="0010006E" w:rsidRPr="00AF7252">
        <w:rPr>
          <w:rFonts w:ascii="Times New Roman" w:hAnsi="Times New Roman" w:cs="Times New Roman"/>
          <w:i/>
          <w:iCs/>
          <w:sz w:val="24"/>
          <w:szCs w:val="24"/>
        </w:rPr>
        <w:t xml:space="preserve">files of the claimant’s employees” </w:t>
      </w:r>
      <w:r w:rsidR="008924B3" w:rsidRPr="00AF7252">
        <w:rPr>
          <w:rFonts w:ascii="Times New Roman" w:hAnsi="Times New Roman" w:cs="Times New Roman"/>
          <w:sz w:val="24"/>
          <w:szCs w:val="24"/>
        </w:rPr>
        <w:t xml:space="preserve">the specific group </w:t>
      </w:r>
      <w:r w:rsidR="007759A8" w:rsidRPr="00AF7252">
        <w:rPr>
          <w:rFonts w:ascii="Times New Roman" w:hAnsi="Times New Roman" w:cs="Times New Roman"/>
          <w:sz w:val="24"/>
          <w:szCs w:val="24"/>
        </w:rPr>
        <w:t>c</w:t>
      </w:r>
      <w:r w:rsidR="00645F7F" w:rsidRPr="00AF7252">
        <w:rPr>
          <w:rFonts w:ascii="Times New Roman" w:hAnsi="Times New Roman" w:cs="Times New Roman"/>
          <w:sz w:val="24"/>
          <w:szCs w:val="24"/>
        </w:rPr>
        <w:t>ompany</w:t>
      </w:r>
      <w:r w:rsidR="008924B3" w:rsidRPr="00AF7252">
        <w:rPr>
          <w:rFonts w:ascii="Times New Roman" w:hAnsi="Times New Roman" w:cs="Times New Roman"/>
          <w:sz w:val="24"/>
          <w:szCs w:val="24"/>
        </w:rPr>
        <w:t xml:space="preserve">. The files of three different companies were being examined with the consent of the companies </w:t>
      </w:r>
      <w:r w:rsidR="001603EB" w:rsidRPr="00AF7252">
        <w:rPr>
          <w:rFonts w:ascii="Times New Roman" w:hAnsi="Times New Roman" w:cs="Times New Roman"/>
          <w:sz w:val="24"/>
          <w:szCs w:val="24"/>
        </w:rPr>
        <w:t>concerned.</w:t>
      </w:r>
    </w:p>
    <w:p w14:paraId="055D2A8D" w14:textId="77777777" w:rsidR="00E65F1C" w:rsidRDefault="00E65F1C" w:rsidP="00F612C4">
      <w:pPr>
        <w:spacing w:before="120" w:line="360" w:lineRule="auto"/>
        <w:rPr>
          <w:rFonts w:ascii="Times New Roman" w:hAnsi="Times New Roman" w:cs="Times New Roman"/>
          <w:sz w:val="24"/>
          <w:szCs w:val="24"/>
        </w:rPr>
      </w:pPr>
    </w:p>
    <w:p w14:paraId="50D530E6" w14:textId="317BDFC6" w:rsidR="00E65F1C" w:rsidRPr="00AF7252" w:rsidRDefault="00E65F1C" w:rsidP="00AF7252">
      <w:pPr>
        <w:pStyle w:val="ListParagraph"/>
        <w:numPr>
          <w:ilvl w:val="0"/>
          <w:numId w:val="1"/>
        </w:numPr>
        <w:spacing w:before="120" w:line="360" w:lineRule="auto"/>
        <w:rPr>
          <w:rFonts w:ascii="Times New Roman" w:hAnsi="Times New Roman" w:cs="Times New Roman"/>
          <w:bCs/>
          <w:iCs/>
          <w:sz w:val="24"/>
          <w:szCs w:val="24"/>
        </w:rPr>
      </w:pPr>
      <w:r w:rsidRPr="00AF7252">
        <w:rPr>
          <w:rFonts w:ascii="Times New Roman" w:hAnsi="Times New Roman" w:cs="Times New Roman"/>
          <w:bCs/>
          <w:iCs/>
          <w:sz w:val="24"/>
          <w:szCs w:val="24"/>
        </w:rPr>
        <w:t>Given this factual background</w:t>
      </w:r>
      <w:r w:rsidR="00E8038A" w:rsidRPr="00AF7252">
        <w:rPr>
          <w:rFonts w:ascii="Times New Roman" w:hAnsi="Times New Roman" w:cs="Times New Roman"/>
          <w:bCs/>
          <w:iCs/>
          <w:sz w:val="24"/>
          <w:szCs w:val="24"/>
        </w:rPr>
        <w:t xml:space="preserve"> Floyd </w:t>
      </w:r>
      <w:r w:rsidR="009E3450" w:rsidRPr="00AF7252">
        <w:rPr>
          <w:rFonts w:ascii="Times New Roman" w:hAnsi="Times New Roman" w:cs="Times New Roman"/>
          <w:bCs/>
          <w:iCs/>
          <w:sz w:val="24"/>
          <w:szCs w:val="24"/>
        </w:rPr>
        <w:t>J held at</w:t>
      </w:r>
      <w:r w:rsidR="00CB315C" w:rsidRPr="00AF7252">
        <w:rPr>
          <w:rFonts w:ascii="Times New Roman" w:hAnsi="Times New Roman" w:cs="Times New Roman"/>
          <w:bCs/>
          <w:iCs/>
          <w:sz w:val="24"/>
          <w:szCs w:val="24"/>
        </w:rPr>
        <w:t xml:space="preserve"> [14]:</w:t>
      </w:r>
    </w:p>
    <w:p w14:paraId="22C122A0" w14:textId="5E041C58" w:rsidR="00E8038A" w:rsidRDefault="007A08B7" w:rsidP="00FF54FB">
      <w:pPr>
        <w:spacing w:before="120" w:line="276" w:lineRule="auto"/>
        <w:ind w:left="720"/>
        <w:rPr>
          <w:rFonts w:ascii="Times New Roman" w:hAnsi="Times New Roman" w:cs="Times New Roman"/>
          <w:bCs/>
          <w:iCs/>
          <w:sz w:val="24"/>
          <w:szCs w:val="24"/>
        </w:rPr>
      </w:pPr>
      <w:r w:rsidRPr="00A750F1">
        <w:rPr>
          <w:rFonts w:ascii="Times New Roman" w:hAnsi="Times New Roman" w:cs="Times New Roman"/>
          <w:b/>
          <w:i/>
          <w:sz w:val="24"/>
          <w:szCs w:val="24"/>
        </w:rPr>
        <w:t>I accept that the mere fact that a party to a litigation may be able to obtain documents by seeking the consent of a third party will not on its own be sufficient to make that third party’s documents disclosable by the party to the litigation</w:t>
      </w:r>
      <w:r w:rsidRPr="00CB315C">
        <w:rPr>
          <w:rFonts w:ascii="Times New Roman" w:hAnsi="Times New Roman" w:cs="Times New Roman"/>
          <w:bCs/>
          <w:i/>
          <w:sz w:val="24"/>
          <w:szCs w:val="24"/>
        </w:rPr>
        <w:t xml:space="preserve">. </w:t>
      </w:r>
      <w:r w:rsidRPr="00A750F1">
        <w:rPr>
          <w:rFonts w:ascii="Times New Roman" w:hAnsi="Times New Roman" w:cs="Times New Roman"/>
          <w:b/>
          <w:i/>
          <w:sz w:val="24"/>
          <w:szCs w:val="24"/>
        </w:rPr>
        <w:t>They are not within his present or past control precisely because it is conceivable that the third party may refuse to give consent.</w:t>
      </w:r>
      <w:r w:rsidRPr="00CB315C">
        <w:rPr>
          <w:rFonts w:ascii="Times New Roman" w:hAnsi="Times New Roman" w:cs="Times New Roman"/>
          <w:bCs/>
          <w:i/>
          <w:sz w:val="24"/>
          <w:szCs w:val="24"/>
        </w:rPr>
        <w:t xml:space="preserve"> But what happens where the evidence reveals that the party has already enjoyed, and continues to enjoy, the co-operation and consent of the third party to inspect his documents and take copies and has already produced a list of documents based on the consent that has been given and where there is no reason to suppose that that position may change? Because that is the factual situation </w:t>
      </w:r>
      <w:r w:rsidR="003163EE">
        <w:rPr>
          <w:rFonts w:ascii="Times New Roman" w:hAnsi="Times New Roman" w:cs="Times New Roman"/>
          <w:bCs/>
          <w:i/>
          <w:sz w:val="24"/>
          <w:szCs w:val="24"/>
        </w:rPr>
        <w:t xml:space="preserve">in </w:t>
      </w:r>
      <w:r w:rsidRPr="00CB315C">
        <w:rPr>
          <w:rFonts w:ascii="Times New Roman" w:hAnsi="Times New Roman" w:cs="Times New Roman"/>
          <w:bCs/>
          <w:i/>
          <w:sz w:val="24"/>
          <w:szCs w:val="24"/>
        </w:rPr>
        <w:t>with which I am confronted here</w:t>
      </w:r>
      <w:r w:rsidR="00744897">
        <w:rPr>
          <w:rFonts w:ascii="Times New Roman" w:hAnsi="Times New Roman" w:cs="Times New Roman"/>
          <w:bCs/>
          <w:i/>
          <w:sz w:val="24"/>
          <w:szCs w:val="24"/>
        </w:rPr>
        <w:t>.</w:t>
      </w:r>
      <w:r w:rsidR="00971E87">
        <w:rPr>
          <w:rFonts w:ascii="Times New Roman" w:hAnsi="Times New Roman" w:cs="Times New Roman"/>
          <w:bCs/>
          <w:i/>
          <w:sz w:val="24"/>
          <w:szCs w:val="24"/>
        </w:rPr>
        <w:t xml:space="preserve"> </w:t>
      </w:r>
      <w:r w:rsidR="00207B93">
        <w:rPr>
          <w:rFonts w:ascii="Times New Roman" w:hAnsi="Times New Roman" w:cs="Times New Roman"/>
          <w:bCs/>
          <w:i/>
          <w:sz w:val="24"/>
          <w:szCs w:val="24"/>
        </w:rPr>
        <w:t xml:space="preserve">In </w:t>
      </w:r>
      <w:r w:rsidR="001C198F">
        <w:rPr>
          <w:rFonts w:ascii="Times New Roman" w:hAnsi="Times New Roman" w:cs="Times New Roman"/>
          <w:bCs/>
          <w:i/>
          <w:sz w:val="24"/>
          <w:szCs w:val="24"/>
        </w:rPr>
        <w:t>m</w:t>
      </w:r>
      <w:r w:rsidRPr="00CB315C">
        <w:rPr>
          <w:rFonts w:ascii="Times New Roman" w:hAnsi="Times New Roman" w:cs="Times New Roman"/>
          <w:bCs/>
          <w:i/>
          <w:sz w:val="24"/>
          <w:szCs w:val="24"/>
        </w:rPr>
        <w:t>y judgment, the evidence in this case sufficiently establishes that</w:t>
      </w:r>
      <w:r w:rsidR="00A372DE">
        <w:rPr>
          <w:rFonts w:ascii="Times New Roman" w:hAnsi="Times New Roman" w:cs="Times New Roman"/>
          <w:bCs/>
          <w:i/>
          <w:sz w:val="24"/>
          <w:szCs w:val="24"/>
        </w:rPr>
        <w:t xml:space="preserve"> </w:t>
      </w:r>
      <w:r w:rsidRPr="00CB315C">
        <w:rPr>
          <w:rFonts w:ascii="Times New Roman" w:hAnsi="Times New Roman" w:cs="Times New Roman"/>
          <w:bCs/>
          <w:i/>
          <w:sz w:val="24"/>
          <w:szCs w:val="24"/>
        </w:rPr>
        <w:t xml:space="preserve">relevant documents are and have been within the control of the claimant. I should emphasise that </w:t>
      </w:r>
      <w:r w:rsidRPr="00A10458">
        <w:rPr>
          <w:rFonts w:ascii="Times New Roman" w:hAnsi="Times New Roman" w:cs="Times New Roman"/>
          <w:b/>
          <w:i/>
          <w:sz w:val="24"/>
          <w:szCs w:val="24"/>
        </w:rPr>
        <w:t>my decision does not turn in any way on the existence of a common corporate structure.</w:t>
      </w:r>
      <w:r w:rsidRPr="00CB315C">
        <w:rPr>
          <w:rFonts w:ascii="Times New Roman" w:hAnsi="Times New Roman" w:cs="Times New Roman"/>
          <w:bCs/>
          <w:i/>
          <w:sz w:val="24"/>
          <w:szCs w:val="24"/>
        </w:rPr>
        <w:t xml:space="preserve"> My decision depends on the fact that it appears from the evidence that a </w:t>
      </w:r>
      <w:r w:rsidRPr="004E670E">
        <w:rPr>
          <w:rFonts w:ascii="Times New Roman" w:hAnsi="Times New Roman" w:cs="Times New Roman"/>
          <w:b/>
          <w:i/>
          <w:sz w:val="24"/>
          <w:szCs w:val="24"/>
        </w:rPr>
        <w:t>general consent has in fact been given to the claimant to search for documents properly disclosable in this litigation</w:t>
      </w:r>
      <w:r w:rsidRPr="00CB315C">
        <w:rPr>
          <w:rFonts w:ascii="Times New Roman" w:hAnsi="Times New Roman" w:cs="Times New Roman"/>
          <w:bCs/>
          <w:i/>
          <w:sz w:val="24"/>
          <w:szCs w:val="24"/>
        </w:rPr>
        <w:t>, subject only to the caveats contained in paragraph 4 of Mr. Griffin’s witness statement concerning corporate acquisition documents and unreasonably onerous requests.</w:t>
      </w:r>
      <w:r w:rsidR="004E670E">
        <w:rPr>
          <w:rFonts w:ascii="Times New Roman" w:hAnsi="Times New Roman" w:cs="Times New Roman"/>
          <w:bCs/>
          <w:i/>
          <w:sz w:val="24"/>
          <w:szCs w:val="24"/>
        </w:rPr>
        <w:t xml:space="preserve"> </w:t>
      </w:r>
      <w:r w:rsidR="004E670E" w:rsidRPr="001C198F">
        <w:rPr>
          <w:rFonts w:ascii="Times New Roman" w:hAnsi="Times New Roman" w:cs="Times New Roman"/>
          <w:bCs/>
          <w:iCs/>
          <w:sz w:val="24"/>
          <w:szCs w:val="24"/>
        </w:rPr>
        <w:t>(emphasis added)</w:t>
      </w:r>
    </w:p>
    <w:p w14:paraId="13D67E95" w14:textId="77777777" w:rsidR="001C198F" w:rsidRDefault="001C198F" w:rsidP="00FF54FB">
      <w:pPr>
        <w:spacing w:before="120" w:line="276" w:lineRule="auto"/>
        <w:ind w:left="720"/>
        <w:rPr>
          <w:rFonts w:ascii="Times New Roman" w:hAnsi="Times New Roman" w:cs="Times New Roman"/>
          <w:bCs/>
          <w:i/>
          <w:sz w:val="24"/>
          <w:szCs w:val="24"/>
        </w:rPr>
      </w:pPr>
    </w:p>
    <w:p w14:paraId="6AB49052" w14:textId="343D5A1B" w:rsidR="00F40769" w:rsidRPr="00AF7252" w:rsidRDefault="00EC26B7" w:rsidP="00AF7252">
      <w:pPr>
        <w:pStyle w:val="ListParagraph"/>
        <w:numPr>
          <w:ilvl w:val="0"/>
          <w:numId w:val="1"/>
        </w:numPr>
        <w:spacing w:before="120" w:line="360" w:lineRule="auto"/>
        <w:jc w:val="both"/>
        <w:rPr>
          <w:rFonts w:ascii="Times New Roman" w:hAnsi="Times New Roman" w:cs="Times New Roman"/>
          <w:bCs/>
          <w:iCs/>
          <w:sz w:val="24"/>
          <w:szCs w:val="24"/>
        </w:rPr>
      </w:pPr>
      <w:r w:rsidRPr="00AF7252">
        <w:rPr>
          <w:rFonts w:ascii="Times New Roman" w:hAnsi="Times New Roman" w:cs="Times New Roman"/>
          <w:bCs/>
          <w:iCs/>
          <w:sz w:val="24"/>
          <w:szCs w:val="24"/>
        </w:rPr>
        <w:t>In</w:t>
      </w:r>
      <w:r w:rsidRPr="00AF7252">
        <w:rPr>
          <w:rFonts w:ascii="Times New Roman" w:hAnsi="Times New Roman" w:cs="Times New Roman"/>
          <w:bCs/>
          <w:i/>
          <w:sz w:val="24"/>
          <w:szCs w:val="24"/>
        </w:rPr>
        <w:t xml:space="preserve"> Schlumberger</w:t>
      </w:r>
      <w:r w:rsidR="008B5579" w:rsidRPr="00AF7252">
        <w:rPr>
          <w:rFonts w:ascii="Times New Roman" w:hAnsi="Times New Roman" w:cs="Times New Roman"/>
          <w:bCs/>
          <w:iCs/>
          <w:sz w:val="24"/>
          <w:szCs w:val="24"/>
        </w:rPr>
        <w:t xml:space="preserve"> Floyd J found that Schlumberger Holdings</w:t>
      </w:r>
      <w:r w:rsidR="00121941" w:rsidRPr="00AF7252">
        <w:rPr>
          <w:rFonts w:ascii="Times New Roman" w:hAnsi="Times New Roman" w:cs="Times New Roman"/>
          <w:bCs/>
          <w:iCs/>
          <w:sz w:val="24"/>
          <w:szCs w:val="24"/>
        </w:rPr>
        <w:t xml:space="preserve"> had control over the documents held by its relevant subsidiaries because</w:t>
      </w:r>
      <w:r w:rsidR="00F56A21" w:rsidRPr="00AF7252">
        <w:rPr>
          <w:rFonts w:ascii="Times New Roman" w:hAnsi="Times New Roman" w:cs="Times New Roman"/>
          <w:bCs/>
          <w:iCs/>
          <w:sz w:val="24"/>
          <w:szCs w:val="24"/>
        </w:rPr>
        <w:t xml:space="preserve"> Schlumberger Holdings already enjoyed, and continue</w:t>
      </w:r>
      <w:r w:rsidR="00302639" w:rsidRPr="00AF7252">
        <w:rPr>
          <w:rFonts w:ascii="Times New Roman" w:hAnsi="Times New Roman" w:cs="Times New Roman"/>
          <w:bCs/>
          <w:iCs/>
          <w:sz w:val="24"/>
          <w:szCs w:val="24"/>
        </w:rPr>
        <w:t>d</w:t>
      </w:r>
      <w:r w:rsidR="00F56A21" w:rsidRPr="00AF7252">
        <w:rPr>
          <w:rFonts w:ascii="Times New Roman" w:hAnsi="Times New Roman" w:cs="Times New Roman"/>
          <w:bCs/>
          <w:iCs/>
          <w:sz w:val="24"/>
          <w:szCs w:val="24"/>
        </w:rPr>
        <w:t xml:space="preserve"> to enjoy, the co</w:t>
      </w:r>
      <w:r w:rsidR="008B4F94" w:rsidRPr="00AF7252">
        <w:rPr>
          <w:rFonts w:ascii="Times New Roman" w:hAnsi="Times New Roman" w:cs="Times New Roman"/>
          <w:bCs/>
          <w:iCs/>
          <w:sz w:val="24"/>
          <w:szCs w:val="24"/>
        </w:rPr>
        <w:t>-o</w:t>
      </w:r>
      <w:r w:rsidR="00F56A21" w:rsidRPr="00AF7252">
        <w:rPr>
          <w:rFonts w:ascii="Times New Roman" w:hAnsi="Times New Roman" w:cs="Times New Roman"/>
          <w:bCs/>
          <w:iCs/>
          <w:sz w:val="24"/>
          <w:szCs w:val="24"/>
        </w:rPr>
        <w:t>p</w:t>
      </w:r>
      <w:r w:rsidR="008B4F94" w:rsidRPr="00AF7252">
        <w:rPr>
          <w:rFonts w:ascii="Times New Roman" w:hAnsi="Times New Roman" w:cs="Times New Roman"/>
          <w:bCs/>
          <w:iCs/>
          <w:sz w:val="24"/>
          <w:szCs w:val="24"/>
        </w:rPr>
        <w:t>e</w:t>
      </w:r>
      <w:r w:rsidR="00F56A21" w:rsidRPr="00AF7252">
        <w:rPr>
          <w:rFonts w:ascii="Times New Roman" w:hAnsi="Times New Roman" w:cs="Times New Roman"/>
          <w:bCs/>
          <w:iCs/>
          <w:sz w:val="24"/>
          <w:szCs w:val="24"/>
        </w:rPr>
        <w:t>ration of the relevant subsidiaries to inspect their documents</w:t>
      </w:r>
      <w:r w:rsidR="00126D0E" w:rsidRPr="00AF7252">
        <w:rPr>
          <w:rFonts w:ascii="Times New Roman" w:hAnsi="Times New Roman" w:cs="Times New Roman"/>
          <w:bCs/>
          <w:iCs/>
          <w:sz w:val="24"/>
          <w:szCs w:val="24"/>
        </w:rPr>
        <w:t xml:space="preserve"> and take copies and had already produced a list of documents based on that consent.</w:t>
      </w:r>
      <w:r w:rsidR="00071870" w:rsidRPr="00AF7252">
        <w:rPr>
          <w:rFonts w:ascii="Times New Roman" w:hAnsi="Times New Roman" w:cs="Times New Roman"/>
          <w:bCs/>
          <w:iCs/>
          <w:sz w:val="24"/>
          <w:szCs w:val="24"/>
        </w:rPr>
        <w:t xml:space="preserve"> This consent was given by the subsidiaries in the context</w:t>
      </w:r>
      <w:r w:rsidR="004E1C96" w:rsidRPr="00AF7252">
        <w:rPr>
          <w:rFonts w:ascii="Times New Roman" w:hAnsi="Times New Roman" w:cs="Times New Roman"/>
          <w:bCs/>
          <w:iCs/>
          <w:sz w:val="24"/>
          <w:szCs w:val="24"/>
        </w:rPr>
        <w:t xml:space="preserve"> of the existing litigation and</w:t>
      </w:r>
      <w:r w:rsidR="00126D0E" w:rsidRPr="00AF7252">
        <w:rPr>
          <w:rFonts w:ascii="Times New Roman" w:hAnsi="Times New Roman" w:cs="Times New Roman"/>
          <w:bCs/>
          <w:iCs/>
          <w:sz w:val="24"/>
          <w:szCs w:val="24"/>
        </w:rPr>
        <w:t xml:space="preserve"> </w:t>
      </w:r>
      <w:r w:rsidR="004E1C96" w:rsidRPr="00AF7252">
        <w:rPr>
          <w:rFonts w:ascii="Times New Roman" w:hAnsi="Times New Roman" w:cs="Times New Roman"/>
          <w:bCs/>
          <w:iCs/>
          <w:sz w:val="24"/>
          <w:szCs w:val="24"/>
        </w:rPr>
        <w:t>t</w:t>
      </w:r>
      <w:r w:rsidR="001034AA" w:rsidRPr="00AF7252">
        <w:rPr>
          <w:rFonts w:ascii="Times New Roman" w:hAnsi="Times New Roman" w:cs="Times New Roman"/>
          <w:bCs/>
          <w:iCs/>
          <w:sz w:val="24"/>
          <w:szCs w:val="24"/>
        </w:rPr>
        <w:t>here was nothing to suggest</w:t>
      </w:r>
      <w:r w:rsidR="004E1C96" w:rsidRPr="00AF7252">
        <w:rPr>
          <w:rFonts w:ascii="Times New Roman" w:hAnsi="Times New Roman" w:cs="Times New Roman"/>
          <w:bCs/>
          <w:iCs/>
          <w:sz w:val="24"/>
          <w:szCs w:val="24"/>
        </w:rPr>
        <w:t xml:space="preserve"> that that would change.</w:t>
      </w:r>
      <w:r w:rsidR="000E67A4" w:rsidRPr="00AF7252">
        <w:rPr>
          <w:rFonts w:ascii="Times New Roman" w:hAnsi="Times New Roman" w:cs="Times New Roman"/>
          <w:bCs/>
          <w:iCs/>
          <w:sz w:val="24"/>
          <w:szCs w:val="24"/>
        </w:rPr>
        <w:t xml:space="preserve"> From these facts, the Court inferred the existence of a “</w:t>
      </w:r>
      <w:r w:rsidR="000E67A4" w:rsidRPr="00AF7252">
        <w:rPr>
          <w:rFonts w:ascii="Times New Roman" w:hAnsi="Times New Roman" w:cs="Times New Roman"/>
          <w:bCs/>
          <w:i/>
          <w:sz w:val="24"/>
          <w:szCs w:val="24"/>
        </w:rPr>
        <w:t>general consent</w:t>
      </w:r>
      <w:r w:rsidR="00F40769" w:rsidRPr="00AF7252">
        <w:rPr>
          <w:rFonts w:ascii="Times New Roman" w:hAnsi="Times New Roman" w:cs="Times New Roman"/>
          <w:bCs/>
          <w:iCs/>
          <w:sz w:val="24"/>
          <w:szCs w:val="24"/>
        </w:rPr>
        <w:t>”</w:t>
      </w:r>
      <w:r w:rsidR="00F6485F" w:rsidRPr="00AF7252">
        <w:rPr>
          <w:rFonts w:ascii="Times New Roman" w:hAnsi="Times New Roman" w:cs="Times New Roman"/>
          <w:bCs/>
          <w:iCs/>
          <w:sz w:val="24"/>
          <w:szCs w:val="24"/>
        </w:rPr>
        <w:t xml:space="preserve"> </w:t>
      </w:r>
      <w:r w:rsidR="00F40769" w:rsidRPr="00AF7252">
        <w:rPr>
          <w:rFonts w:ascii="Times New Roman" w:hAnsi="Times New Roman" w:cs="Times New Roman"/>
          <w:bCs/>
          <w:iCs/>
          <w:sz w:val="24"/>
          <w:szCs w:val="24"/>
        </w:rPr>
        <w:t>to search for documents properly disclosable in the litigation.</w:t>
      </w:r>
      <w:r w:rsidR="00930063" w:rsidRPr="00AF7252">
        <w:rPr>
          <w:rFonts w:ascii="Times New Roman" w:hAnsi="Times New Roman" w:cs="Times New Roman"/>
          <w:bCs/>
          <w:iCs/>
          <w:sz w:val="24"/>
          <w:szCs w:val="24"/>
        </w:rPr>
        <w:t xml:space="preserve"> It is noted in</w:t>
      </w:r>
      <w:r w:rsidR="000E32DF" w:rsidRPr="00AF7252">
        <w:rPr>
          <w:rFonts w:ascii="Times New Roman" w:hAnsi="Times New Roman" w:cs="Times New Roman"/>
          <w:bCs/>
          <w:i/>
          <w:sz w:val="24"/>
          <w:szCs w:val="24"/>
        </w:rPr>
        <w:t xml:space="preserve"> Hollander</w:t>
      </w:r>
      <w:r w:rsidR="000E32DF" w:rsidRPr="00AF7252">
        <w:rPr>
          <w:rFonts w:ascii="Times New Roman" w:hAnsi="Times New Roman" w:cs="Times New Roman"/>
          <w:bCs/>
          <w:iCs/>
          <w:sz w:val="24"/>
          <w:szCs w:val="24"/>
        </w:rPr>
        <w:t xml:space="preserve"> at 9-22 that this </w:t>
      </w:r>
      <w:r w:rsidR="00B15E3F" w:rsidRPr="00AF7252">
        <w:rPr>
          <w:rFonts w:ascii="Times New Roman" w:hAnsi="Times New Roman" w:cs="Times New Roman"/>
          <w:bCs/>
          <w:iCs/>
          <w:sz w:val="24"/>
          <w:szCs w:val="24"/>
        </w:rPr>
        <w:t>finding</w:t>
      </w:r>
      <w:r w:rsidR="000E32DF" w:rsidRPr="00AF7252">
        <w:rPr>
          <w:rFonts w:ascii="Times New Roman" w:hAnsi="Times New Roman" w:cs="Times New Roman"/>
          <w:bCs/>
          <w:iCs/>
          <w:sz w:val="24"/>
          <w:szCs w:val="24"/>
        </w:rPr>
        <w:t xml:space="preserve"> was described</w:t>
      </w:r>
      <w:r w:rsidR="00F6271A" w:rsidRPr="00AF7252">
        <w:rPr>
          <w:rFonts w:ascii="Times New Roman" w:hAnsi="Times New Roman" w:cs="Times New Roman"/>
          <w:bCs/>
          <w:iCs/>
          <w:sz w:val="24"/>
          <w:szCs w:val="24"/>
        </w:rPr>
        <w:t xml:space="preserve"> as a decision on special facts by Patten J in </w:t>
      </w:r>
      <w:r w:rsidR="00564D28" w:rsidRPr="00AF7252">
        <w:rPr>
          <w:rFonts w:ascii="Times New Roman" w:hAnsi="Times New Roman" w:cs="Times New Roman"/>
          <w:bCs/>
          <w:i/>
          <w:sz w:val="24"/>
          <w:szCs w:val="24"/>
        </w:rPr>
        <w:t>Thunder Air Ltd v Hilma</w:t>
      </w:r>
      <w:r w:rsidR="004407DA" w:rsidRPr="00AF7252">
        <w:rPr>
          <w:rFonts w:ascii="Times New Roman" w:hAnsi="Times New Roman" w:cs="Times New Roman"/>
          <w:bCs/>
          <w:i/>
          <w:sz w:val="24"/>
          <w:szCs w:val="24"/>
        </w:rPr>
        <w:t>rsson</w:t>
      </w:r>
      <w:r w:rsidR="004407DA" w:rsidRPr="00AF7252">
        <w:rPr>
          <w:rFonts w:ascii="Times New Roman" w:hAnsi="Times New Roman" w:cs="Times New Roman"/>
          <w:bCs/>
          <w:iCs/>
          <w:sz w:val="24"/>
          <w:szCs w:val="24"/>
        </w:rPr>
        <w:t xml:space="preserve"> [2008] EWHC 355 (Ch).</w:t>
      </w:r>
    </w:p>
    <w:p w14:paraId="3839AEDF" w14:textId="77777777" w:rsidR="00F40769" w:rsidRDefault="00F40769" w:rsidP="001C198F">
      <w:pPr>
        <w:spacing w:before="120" w:line="360" w:lineRule="auto"/>
        <w:rPr>
          <w:rFonts w:ascii="Times New Roman" w:hAnsi="Times New Roman" w:cs="Times New Roman"/>
          <w:bCs/>
          <w:iCs/>
          <w:sz w:val="24"/>
          <w:szCs w:val="24"/>
        </w:rPr>
      </w:pPr>
    </w:p>
    <w:p w14:paraId="1CA3CA79" w14:textId="6EDD305D" w:rsidR="001C198F" w:rsidRPr="00AF7252" w:rsidRDefault="0014123D" w:rsidP="00AF7252">
      <w:pPr>
        <w:pStyle w:val="ListParagraph"/>
        <w:numPr>
          <w:ilvl w:val="0"/>
          <w:numId w:val="1"/>
        </w:numPr>
        <w:spacing w:before="120" w:line="360" w:lineRule="auto"/>
        <w:jc w:val="both"/>
        <w:rPr>
          <w:rFonts w:ascii="Times New Roman" w:hAnsi="Times New Roman" w:cs="Times New Roman"/>
          <w:bCs/>
          <w:iCs/>
          <w:sz w:val="24"/>
          <w:szCs w:val="24"/>
        </w:rPr>
      </w:pPr>
      <w:r w:rsidRPr="00AF7252">
        <w:rPr>
          <w:rFonts w:ascii="Times New Roman" w:hAnsi="Times New Roman" w:cs="Times New Roman"/>
          <w:bCs/>
          <w:iCs/>
          <w:sz w:val="24"/>
          <w:szCs w:val="24"/>
        </w:rPr>
        <w:t>It is t</w:t>
      </w:r>
      <w:r w:rsidR="00B437E1" w:rsidRPr="00AF7252">
        <w:rPr>
          <w:rFonts w:ascii="Times New Roman" w:hAnsi="Times New Roman" w:cs="Times New Roman"/>
          <w:bCs/>
          <w:iCs/>
          <w:sz w:val="24"/>
          <w:szCs w:val="24"/>
        </w:rPr>
        <w:t>o be noted that t</w:t>
      </w:r>
      <w:r w:rsidR="00126D0E" w:rsidRPr="00AF7252">
        <w:rPr>
          <w:rFonts w:ascii="Times New Roman" w:hAnsi="Times New Roman" w:cs="Times New Roman"/>
          <w:bCs/>
          <w:iCs/>
          <w:sz w:val="24"/>
          <w:szCs w:val="24"/>
        </w:rPr>
        <w:t>he decision</w:t>
      </w:r>
      <w:r w:rsidR="00F40769" w:rsidRPr="00AF7252">
        <w:rPr>
          <w:rFonts w:ascii="Times New Roman" w:hAnsi="Times New Roman" w:cs="Times New Roman"/>
          <w:bCs/>
          <w:iCs/>
          <w:sz w:val="24"/>
          <w:szCs w:val="24"/>
        </w:rPr>
        <w:t xml:space="preserve"> in</w:t>
      </w:r>
      <w:r w:rsidR="00F40769" w:rsidRPr="00AF7252">
        <w:rPr>
          <w:rFonts w:ascii="Times New Roman" w:hAnsi="Times New Roman" w:cs="Times New Roman"/>
          <w:bCs/>
          <w:i/>
          <w:sz w:val="24"/>
          <w:szCs w:val="24"/>
        </w:rPr>
        <w:t xml:space="preserve"> Schlumberger</w:t>
      </w:r>
      <w:r w:rsidR="00126D0E" w:rsidRPr="00AF7252">
        <w:rPr>
          <w:rFonts w:ascii="Times New Roman" w:hAnsi="Times New Roman" w:cs="Times New Roman"/>
          <w:bCs/>
          <w:iCs/>
          <w:sz w:val="24"/>
          <w:szCs w:val="24"/>
        </w:rPr>
        <w:t xml:space="preserve"> had nothing to do with the structure of the group</w:t>
      </w:r>
      <w:r w:rsidR="00F40769" w:rsidRPr="00AF7252">
        <w:rPr>
          <w:rFonts w:ascii="Times New Roman" w:hAnsi="Times New Roman" w:cs="Times New Roman"/>
          <w:bCs/>
          <w:iCs/>
          <w:sz w:val="24"/>
          <w:szCs w:val="24"/>
        </w:rPr>
        <w:t>.</w:t>
      </w:r>
      <w:r w:rsidR="009061B3" w:rsidRPr="00AF7252">
        <w:rPr>
          <w:rFonts w:ascii="Times New Roman" w:hAnsi="Times New Roman" w:cs="Times New Roman"/>
          <w:bCs/>
          <w:iCs/>
          <w:sz w:val="24"/>
          <w:szCs w:val="24"/>
        </w:rPr>
        <w:t xml:space="preserve"> Floyd J</w:t>
      </w:r>
      <w:r w:rsidR="00416D29" w:rsidRPr="00AF7252">
        <w:rPr>
          <w:rFonts w:ascii="Times New Roman" w:hAnsi="Times New Roman" w:cs="Times New Roman"/>
          <w:bCs/>
          <w:iCs/>
          <w:sz w:val="24"/>
          <w:szCs w:val="24"/>
        </w:rPr>
        <w:t xml:space="preserve"> accepted that</w:t>
      </w:r>
      <w:r w:rsidR="00EF1574" w:rsidRPr="00AF7252">
        <w:rPr>
          <w:rFonts w:ascii="Times New Roman" w:hAnsi="Times New Roman" w:cs="Times New Roman"/>
          <w:bCs/>
          <w:iCs/>
          <w:sz w:val="24"/>
          <w:szCs w:val="24"/>
        </w:rPr>
        <w:t xml:space="preserve"> the mere fact that a parent </w:t>
      </w:r>
      <w:r w:rsidR="00C915ED" w:rsidRPr="00AF7252">
        <w:rPr>
          <w:rFonts w:ascii="Times New Roman" w:hAnsi="Times New Roman" w:cs="Times New Roman"/>
          <w:bCs/>
          <w:iCs/>
          <w:sz w:val="24"/>
          <w:szCs w:val="24"/>
        </w:rPr>
        <w:t>c</w:t>
      </w:r>
      <w:r w:rsidR="00645F7F" w:rsidRPr="00AF7252">
        <w:rPr>
          <w:rFonts w:ascii="Times New Roman" w:hAnsi="Times New Roman" w:cs="Times New Roman"/>
          <w:bCs/>
          <w:iCs/>
          <w:sz w:val="24"/>
          <w:szCs w:val="24"/>
        </w:rPr>
        <w:t>ompany</w:t>
      </w:r>
      <w:r w:rsidR="00EF1574" w:rsidRPr="00AF7252">
        <w:rPr>
          <w:rFonts w:ascii="Times New Roman" w:hAnsi="Times New Roman" w:cs="Times New Roman"/>
          <w:bCs/>
          <w:iCs/>
          <w:sz w:val="24"/>
          <w:szCs w:val="24"/>
        </w:rPr>
        <w:t xml:space="preserve"> may be able to obtain documents by seeking the consent of its subsidiaries</w:t>
      </w:r>
      <w:r w:rsidR="005B4378" w:rsidRPr="00AF7252">
        <w:rPr>
          <w:rFonts w:ascii="Times New Roman" w:hAnsi="Times New Roman" w:cs="Times New Roman"/>
          <w:bCs/>
          <w:iCs/>
          <w:sz w:val="24"/>
          <w:szCs w:val="24"/>
        </w:rPr>
        <w:t xml:space="preserve"> will not on its own be sufficient to make the subsidiary companies’ documents disclosable by the parent </w:t>
      </w:r>
      <w:r w:rsidR="00C915ED" w:rsidRPr="00AF7252">
        <w:rPr>
          <w:rFonts w:ascii="Times New Roman" w:hAnsi="Times New Roman" w:cs="Times New Roman"/>
          <w:bCs/>
          <w:iCs/>
          <w:sz w:val="24"/>
          <w:szCs w:val="24"/>
        </w:rPr>
        <w:t>c</w:t>
      </w:r>
      <w:r w:rsidR="00645F7F" w:rsidRPr="00AF7252">
        <w:rPr>
          <w:rFonts w:ascii="Times New Roman" w:hAnsi="Times New Roman" w:cs="Times New Roman"/>
          <w:bCs/>
          <w:iCs/>
          <w:sz w:val="24"/>
          <w:szCs w:val="24"/>
        </w:rPr>
        <w:t>ompany</w:t>
      </w:r>
      <w:r w:rsidR="005B4378" w:rsidRPr="00AF7252">
        <w:rPr>
          <w:rFonts w:ascii="Times New Roman" w:hAnsi="Times New Roman" w:cs="Times New Roman"/>
          <w:bCs/>
          <w:iCs/>
          <w:sz w:val="24"/>
          <w:szCs w:val="24"/>
        </w:rPr>
        <w:t xml:space="preserve">. The rationale for this </w:t>
      </w:r>
      <w:r w:rsidR="00CD62CF" w:rsidRPr="00AF7252">
        <w:rPr>
          <w:rFonts w:ascii="Times New Roman" w:hAnsi="Times New Roman" w:cs="Times New Roman"/>
          <w:bCs/>
          <w:iCs/>
          <w:sz w:val="24"/>
          <w:szCs w:val="24"/>
        </w:rPr>
        <w:t>proposition is that it is conceivable that the subsidiaries may refuse</w:t>
      </w:r>
      <w:r w:rsidR="006D23BA" w:rsidRPr="00AF7252">
        <w:rPr>
          <w:rFonts w:ascii="Times New Roman" w:hAnsi="Times New Roman" w:cs="Times New Roman"/>
          <w:bCs/>
          <w:iCs/>
          <w:sz w:val="24"/>
          <w:szCs w:val="24"/>
        </w:rPr>
        <w:t xml:space="preserve"> to give consent.</w:t>
      </w:r>
    </w:p>
    <w:p w14:paraId="67B3AF2C" w14:textId="77777777" w:rsidR="00B15E3F" w:rsidRPr="003840A7" w:rsidRDefault="00B15E3F" w:rsidP="001C198F">
      <w:pPr>
        <w:spacing w:before="120" w:line="360" w:lineRule="auto"/>
        <w:rPr>
          <w:rFonts w:ascii="Times New Roman" w:hAnsi="Times New Roman" w:cs="Times New Roman"/>
          <w:b/>
          <w:i/>
          <w:sz w:val="24"/>
          <w:szCs w:val="24"/>
        </w:rPr>
      </w:pPr>
    </w:p>
    <w:p w14:paraId="7DF88E64" w14:textId="706D1AD2" w:rsidR="00B15E3F" w:rsidRDefault="003840A7" w:rsidP="001C198F">
      <w:pPr>
        <w:spacing w:before="120" w:line="360" w:lineRule="auto"/>
        <w:rPr>
          <w:rFonts w:ascii="Times New Roman" w:hAnsi="Times New Roman" w:cs="Times New Roman"/>
          <w:b/>
          <w:i/>
          <w:sz w:val="24"/>
          <w:szCs w:val="24"/>
        </w:rPr>
      </w:pPr>
      <w:r w:rsidRPr="003840A7">
        <w:rPr>
          <w:rFonts w:ascii="Times New Roman" w:hAnsi="Times New Roman" w:cs="Times New Roman"/>
          <w:b/>
          <w:i/>
          <w:sz w:val="24"/>
          <w:szCs w:val="24"/>
        </w:rPr>
        <w:t>North Shore Ventures Ltd</w:t>
      </w:r>
    </w:p>
    <w:p w14:paraId="4763AA07" w14:textId="77777777" w:rsidR="003840A7" w:rsidRDefault="003840A7" w:rsidP="001C198F">
      <w:pPr>
        <w:spacing w:before="120" w:line="360" w:lineRule="auto"/>
        <w:rPr>
          <w:rFonts w:ascii="Times New Roman" w:hAnsi="Times New Roman" w:cs="Times New Roman"/>
          <w:b/>
          <w:i/>
          <w:sz w:val="24"/>
          <w:szCs w:val="24"/>
        </w:rPr>
      </w:pPr>
    </w:p>
    <w:p w14:paraId="75CF77A0" w14:textId="2FFD1779" w:rsidR="003840A7" w:rsidRPr="00AF7252" w:rsidRDefault="007B27C5" w:rsidP="00AF7252">
      <w:pPr>
        <w:pStyle w:val="ListParagraph"/>
        <w:numPr>
          <w:ilvl w:val="0"/>
          <w:numId w:val="1"/>
        </w:numPr>
        <w:spacing w:before="120" w:line="360" w:lineRule="auto"/>
        <w:jc w:val="both"/>
        <w:rPr>
          <w:rFonts w:ascii="Times New Roman" w:hAnsi="Times New Roman" w:cs="Times New Roman"/>
          <w:bCs/>
          <w:iCs/>
          <w:sz w:val="24"/>
          <w:szCs w:val="24"/>
        </w:rPr>
      </w:pPr>
      <w:r w:rsidRPr="00AF7252">
        <w:rPr>
          <w:rFonts w:ascii="Times New Roman" w:hAnsi="Times New Roman" w:cs="Times New Roman"/>
          <w:bCs/>
          <w:i/>
          <w:sz w:val="24"/>
          <w:szCs w:val="24"/>
        </w:rPr>
        <w:t>North Shore</w:t>
      </w:r>
      <w:r w:rsidR="00092CE5" w:rsidRPr="00AF7252">
        <w:rPr>
          <w:rFonts w:ascii="Times New Roman" w:hAnsi="Times New Roman" w:cs="Times New Roman"/>
          <w:bCs/>
          <w:i/>
          <w:sz w:val="24"/>
          <w:szCs w:val="24"/>
        </w:rPr>
        <w:t xml:space="preserve"> Ventures Ltd v Anstead Holdings Inc</w:t>
      </w:r>
      <w:r w:rsidR="00092CE5" w:rsidRPr="00AF7252">
        <w:rPr>
          <w:rFonts w:ascii="Times New Roman" w:hAnsi="Times New Roman" w:cs="Times New Roman"/>
          <w:bCs/>
          <w:iCs/>
          <w:sz w:val="24"/>
          <w:szCs w:val="24"/>
        </w:rPr>
        <w:t xml:space="preserve"> [2012] EWHC Civ 11</w:t>
      </w:r>
      <w:r w:rsidR="00847D82" w:rsidRPr="00AF7252">
        <w:rPr>
          <w:rFonts w:ascii="Times New Roman" w:hAnsi="Times New Roman" w:cs="Times New Roman"/>
          <w:bCs/>
          <w:iCs/>
          <w:sz w:val="24"/>
          <w:szCs w:val="24"/>
        </w:rPr>
        <w:t>, was not concerned with pre-trial discovery but with the production of documents in aid of judgment enforcement.</w:t>
      </w:r>
      <w:r w:rsidR="00322582" w:rsidRPr="00AF7252">
        <w:rPr>
          <w:rFonts w:ascii="Times New Roman" w:hAnsi="Times New Roman" w:cs="Times New Roman"/>
          <w:bCs/>
          <w:iCs/>
          <w:sz w:val="24"/>
          <w:szCs w:val="24"/>
        </w:rPr>
        <w:t xml:space="preserve"> It was alleged by the judgment creditor</w:t>
      </w:r>
      <w:r w:rsidR="005F0C19" w:rsidRPr="00AF7252">
        <w:rPr>
          <w:rFonts w:ascii="Times New Roman" w:hAnsi="Times New Roman" w:cs="Times New Roman"/>
          <w:bCs/>
          <w:iCs/>
          <w:sz w:val="24"/>
          <w:szCs w:val="24"/>
        </w:rPr>
        <w:t xml:space="preserve"> that the judgment debtors had transferred their assets</w:t>
      </w:r>
      <w:r w:rsidR="00686D32" w:rsidRPr="00AF7252">
        <w:rPr>
          <w:rFonts w:ascii="Times New Roman" w:hAnsi="Times New Roman" w:cs="Times New Roman"/>
          <w:bCs/>
          <w:iCs/>
          <w:sz w:val="24"/>
          <w:szCs w:val="24"/>
        </w:rPr>
        <w:t xml:space="preserve"> to the trustees in </w:t>
      </w:r>
      <w:r w:rsidR="00BE615F" w:rsidRPr="00AF7252">
        <w:rPr>
          <w:rFonts w:ascii="Times New Roman" w:hAnsi="Times New Roman" w:cs="Times New Roman"/>
          <w:bCs/>
          <w:iCs/>
          <w:sz w:val="24"/>
          <w:szCs w:val="24"/>
        </w:rPr>
        <w:t>order to make themselves judgment proof and that the trustees would comply with whatever steps the judgment debtors</w:t>
      </w:r>
      <w:r w:rsidR="000D2070" w:rsidRPr="00AF7252">
        <w:rPr>
          <w:rFonts w:ascii="Times New Roman" w:hAnsi="Times New Roman" w:cs="Times New Roman"/>
          <w:bCs/>
          <w:iCs/>
          <w:sz w:val="24"/>
          <w:szCs w:val="24"/>
        </w:rPr>
        <w:t xml:space="preserve"> wished in their administration.</w:t>
      </w:r>
      <w:r w:rsidR="004B6D2B" w:rsidRPr="00AF7252">
        <w:rPr>
          <w:rFonts w:ascii="Times New Roman" w:hAnsi="Times New Roman" w:cs="Times New Roman"/>
          <w:bCs/>
          <w:iCs/>
          <w:sz w:val="24"/>
          <w:szCs w:val="24"/>
        </w:rPr>
        <w:t xml:space="preserve"> The judgment creditor</w:t>
      </w:r>
      <w:r w:rsidR="004313BD" w:rsidRPr="00AF7252">
        <w:rPr>
          <w:rFonts w:ascii="Times New Roman" w:hAnsi="Times New Roman" w:cs="Times New Roman"/>
          <w:bCs/>
          <w:iCs/>
          <w:sz w:val="24"/>
          <w:szCs w:val="24"/>
        </w:rPr>
        <w:t xml:space="preserve"> had obtained </w:t>
      </w:r>
      <w:r w:rsidR="00737CB3" w:rsidRPr="00AF7252">
        <w:rPr>
          <w:rFonts w:ascii="Times New Roman" w:hAnsi="Times New Roman" w:cs="Times New Roman"/>
          <w:bCs/>
          <w:iCs/>
          <w:sz w:val="24"/>
          <w:szCs w:val="24"/>
        </w:rPr>
        <w:t xml:space="preserve">worldwide </w:t>
      </w:r>
      <w:r w:rsidR="004313BD" w:rsidRPr="00AF7252">
        <w:rPr>
          <w:rFonts w:ascii="Times New Roman" w:hAnsi="Times New Roman" w:cs="Times New Roman"/>
          <w:bCs/>
          <w:iCs/>
          <w:sz w:val="24"/>
          <w:szCs w:val="24"/>
        </w:rPr>
        <w:t xml:space="preserve">freezing orders against the judgment debtors and </w:t>
      </w:r>
      <w:r w:rsidR="003A48E0" w:rsidRPr="00AF7252">
        <w:rPr>
          <w:rFonts w:ascii="Times New Roman" w:hAnsi="Times New Roman" w:cs="Times New Roman"/>
          <w:bCs/>
          <w:iCs/>
          <w:sz w:val="24"/>
          <w:szCs w:val="24"/>
        </w:rPr>
        <w:t>sought</w:t>
      </w:r>
      <w:r w:rsidR="004313BD" w:rsidRPr="00AF7252">
        <w:rPr>
          <w:rFonts w:ascii="Times New Roman" w:hAnsi="Times New Roman" w:cs="Times New Roman"/>
          <w:bCs/>
          <w:iCs/>
          <w:sz w:val="24"/>
          <w:szCs w:val="24"/>
        </w:rPr>
        <w:t xml:space="preserve"> documents</w:t>
      </w:r>
      <w:r w:rsidR="004111D0" w:rsidRPr="00AF7252">
        <w:rPr>
          <w:rFonts w:ascii="Times New Roman" w:hAnsi="Times New Roman" w:cs="Times New Roman"/>
          <w:bCs/>
          <w:iCs/>
          <w:sz w:val="24"/>
          <w:szCs w:val="24"/>
        </w:rPr>
        <w:t xml:space="preserve"> from the trustees</w:t>
      </w:r>
      <w:r w:rsidR="00D2621A" w:rsidRPr="00AF7252">
        <w:rPr>
          <w:rFonts w:ascii="Times New Roman" w:hAnsi="Times New Roman" w:cs="Times New Roman"/>
          <w:bCs/>
          <w:iCs/>
          <w:sz w:val="24"/>
          <w:szCs w:val="24"/>
        </w:rPr>
        <w:t xml:space="preserve"> after disclosure by the judgment debtors</w:t>
      </w:r>
      <w:r w:rsidR="00227E71" w:rsidRPr="00AF7252">
        <w:rPr>
          <w:rFonts w:ascii="Times New Roman" w:hAnsi="Times New Roman" w:cs="Times New Roman"/>
          <w:bCs/>
          <w:iCs/>
          <w:sz w:val="24"/>
          <w:szCs w:val="24"/>
        </w:rPr>
        <w:t xml:space="preserve"> that their assets had been transferred to the trustees.</w:t>
      </w:r>
    </w:p>
    <w:p w14:paraId="562E6850" w14:textId="77777777" w:rsidR="00227E71" w:rsidRDefault="00227E71" w:rsidP="001278C2">
      <w:pPr>
        <w:spacing w:before="120" w:line="360" w:lineRule="auto"/>
        <w:rPr>
          <w:rFonts w:ascii="Times New Roman" w:hAnsi="Times New Roman" w:cs="Times New Roman"/>
          <w:bCs/>
          <w:iCs/>
          <w:sz w:val="24"/>
          <w:szCs w:val="24"/>
        </w:rPr>
      </w:pPr>
    </w:p>
    <w:p w14:paraId="689FD787" w14:textId="3BE6ADEF" w:rsidR="0074084F" w:rsidRPr="00AF7252" w:rsidRDefault="00EB513B" w:rsidP="00AF7252">
      <w:pPr>
        <w:pStyle w:val="ListParagraph"/>
        <w:numPr>
          <w:ilvl w:val="0"/>
          <w:numId w:val="1"/>
        </w:numPr>
        <w:spacing w:before="120" w:line="360" w:lineRule="auto"/>
        <w:jc w:val="both"/>
        <w:rPr>
          <w:rFonts w:ascii="Times New Roman" w:hAnsi="Times New Roman" w:cs="Times New Roman"/>
          <w:bCs/>
          <w:iCs/>
          <w:sz w:val="24"/>
          <w:szCs w:val="24"/>
        </w:rPr>
      </w:pPr>
      <w:r w:rsidRPr="00AF7252">
        <w:rPr>
          <w:rFonts w:ascii="Times New Roman" w:hAnsi="Times New Roman" w:cs="Times New Roman"/>
          <w:bCs/>
          <w:iCs/>
          <w:sz w:val="24"/>
          <w:szCs w:val="24"/>
        </w:rPr>
        <w:t>Floyd J noted</w:t>
      </w:r>
      <w:r w:rsidR="00510149" w:rsidRPr="00AF7252">
        <w:rPr>
          <w:rFonts w:ascii="Times New Roman" w:hAnsi="Times New Roman" w:cs="Times New Roman"/>
          <w:bCs/>
          <w:iCs/>
          <w:sz w:val="24"/>
          <w:szCs w:val="24"/>
        </w:rPr>
        <w:t xml:space="preserve"> the submission of the judgment creditor </w:t>
      </w:r>
      <w:r w:rsidR="00557FBD" w:rsidRPr="00AF7252">
        <w:rPr>
          <w:rFonts w:ascii="Times New Roman" w:hAnsi="Times New Roman" w:cs="Times New Roman"/>
          <w:bCs/>
          <w:iCs/>
          <w:sz w:val="24"/>
          <w:szCs w:val="24"/>
        </w:rPr>
        <w:t>that the setting up of the trusts was substantially contemporaneous with the intimation of the claim and</w:t>
      </w:r>
      <w:r w:rsidR="00233C1B" w:rsidRPr="00AF7252">
        <w:rPr>
          <w:rFonts w:ascii="Times New Roman" w:hAnsi="Times New Roman" w:cs="Times New Roman"/>
          <w:bCs/>
          <w:iCs/>
          <w:sz w:val="24"/>
          <w:szCs w:val="24"/>
        </w:rPr>
        <w:t xml:space="preserve"> that the purpose of setting up the trust</w:t>
      </w:r>
      <w:r w:rsidR="00DC33DE" w:rsidRPr="00AF7252">
        <w:rPr>
          <w:rFonts w:ascii="Times New Roman" w:hAnsi="Times New Roman" w:cs="Times New Roman"/>
          <w:bCs/>
          <w:iCs/>
          <w:sz w:val="24"/>
          <w:szCs w:val="24"/>
        </w:rPr>
        <w:t xml:space="preserve"> was to render themselves</w:t>
      </w:r>
      <w:r w:rsidR="00C807B7" w:rsidRPr="00AF7252">
        <w:rPr>
          <w:rFonts w:ascii="Times New Roman" w:hAnsi="Times New Roman" w:cs="Times New Roman"/>
          <w:bCs/>
          <w:iCs/>
          <w:sz w:val="24"/>
          <w:szCs w:val="24"/>
        </w:rPr>
        <w:t xml:space="preserve"> judgment proof and to make it harder for the claimants to enforce that judgment.</w:t>
      </w:r>
      <w:r w:rsidR="00A0525F" w:rsidRPr="00AF7252">
        <w:rPr>
          <w:rFonts w:ascii="Times New Roman" w:hAnsi="Times New Roman" w:cs="Times New Roman"/>
          <w:bCs/>
          <w:iCs/>
          <w:sz w:val="24"/>
          <w:szCs w:val="24"/>
        </w:rPr>
        <w:t xml:space="preserve"> The beneficiaries of the trusts</w:t>
      </w:r>
      <w:r w:rsidR="00C65D7F" w:rsidRPr="00AF7252">
        <w:rPr>
          <w:rFonts w:ascii="Times New Roman" w:hAnsi="Times New Roman" w:cs="Times New Roman"/>
          <w:bCs/>
          <w:iCs/>
          <w:sz w:val="24"/>
          <w:szCs w:val="24"/>
        </w:rPr>
        <w:t xml:space="preserve"> were the wives and the children of the judgment debtors.</w:t>
      </w:r>
      <w:r w:rsidR="00C807B7" w:rsidRPr="00AF7252">
        <w:rPr>
          <w:rFonts w:ascii="Times New Roman" w:hAnsi="Times New Roman" w:cs="Times New Roman"/>
          <w:bCs/>
          <w:iCs/>
          <w:sz w:val="24"/>
          <w:szCs w:val="24"/>
        </w:rPr>
        <w:t xml:space="preserve"> In the circumstances Floyd J</w:t>
      </w:r>
      <w:r w:rsidR="008148E3" w:rsidRPr="00AF7252">
        <w:rPr>
          <w:rFonts w:ascii="Times New Roman" w:hAnsi="Times New Roman" w:cs="Times New Roman"/>
          <w:bCs/>
          <w:iCs/>
          <w:sz w:val="24"/>
          <w:szCs w:val="24"/>
        </w:rPr>
        <w:t xml:space="preserve"> held</w:t>
      </w:r>
      <w:r w:rsidR="00C65D7F" w:rsidRPr="00AF7252">
        <w:rPr>
          <w:rFonts w:ascii="Times New Roman" w:hAnsi="Times New Roman" w:cs="Times New Roman"/>
          <w:bCs/>
          <w:iCs/>
          <w:sz w:val="24"/>
          <w:szCs w:val="24"/>
        </w:rPr>
        <w:t xml:space="preserve"> that it was wholly unrealistic</w:t>
      </w:r>
      <w:r w:rsidR="007D6A88" w:rsidRPr="00AF7252">
        <w:rPr>
          <w:rFonts w:ascii="Times New Roman" w:hAnsi="Times New Roman" w:cs="Times New Roman"/>
          <w:bCs/>
          <w:iCs/>
          <w:sz w:val="24"/>
          <w:szCs w:val="24"/>
        </w:rPr>
        <w:t xml:space="preserve"> to suppose that if the judgment debtors did not keep copies of the trust documents themselves then there was no way in which they would not be able to obtain copies</w:t>
      </w:r>
      <w:r w:rsidR="009D7F05" w:rsidRPr="00AF7252">
        <w:rPr>
          <w:rFonts w:ascii="Times New Roman" w:hAnsi="Times New Roman" w:cs="Times New Roman"/>
          <w:bCs/>
          <w:iCs/>
          <w:sz w:val="24"/>
          <w:szCs w:val="24"/>
        </w:rPr>
        <w:t xml:space="preserve">. Accordingly, Floyd J ordered that the </w:t>
      </w:r>
      <w:r w:rsidR="00436AC1" w:rsidRPr="00AF7252">
        <w:rPr>
          <w:rFonts w:ascii="Times New Roman" w:hAnsi="Times New Roman" w:cs="Times New Roman"/>
          <w:bCs/>
          <w:iCs/>
          <w:sz w:val="24"/>
          <w:szCs w:val="24"/>
        </w:rPr>
        <w:t>trust documents.</w:t>
      </w:r>
    </w:p>
    <w:p w14:paraId="33AF4994" w14:textId="77777777" w:rsidR="00436AC1" w:rsidRDefault="00436AC1" w:rsidP="00AF7252">
      <w:pPr>
        <w:spacing w:before="120" w:line="360" w:lineRule="auto"/>
        <w:jc w:val="both"/>
        <w:rPr>
          <w:rFonts w:ascii="Times New Roman" w:hAnsi="Times New Roman" w:cs="Times New Roman"/>
          <w:bCs/>
          <w:iCs/>
          <w:sz w:val="24"/>
          <w:szCs w:val="24"/>
        </w:rPr>
      </w:pPr>
    </w:p>
    <w:p w14:paraId="3324D4C9" w14:textId="74F44052" w:rsidR="002B6E13" w:rsidRPr="00AF7252" w:rsidRDefault="00CB558D" w:rsidP="00AF7252">
      <w:pPr>
        <w:pStyle w:val="ListParagraph"/>
        <w:numPr>
          <w:ilvl w:val="0"/>
          <w:numId w:val="1"/>
        </w:numPr>
        <w:spacing w:before="120" w:line="360" w:lineRule="auto"/>
        <w:jc w:val="both"/>
        <w:rPr>
          <w:rFonts w:ascii="Times New Roman" w:hAnsi="Times New Roman" w:cs="Times New Roman"/>
          <w:bCs/>
          <w:iCs/>
          <w:sz w:val="24"/>
          <w:szCs w:val="24"/>
        </w:rPr>
      </w:pPr>
      <w:r w:rsidRPr="00AF7252">
        <w:rPr>
          <w:rFonts w:ascii="Times New Roman" w:hAnsi="Times New Roman" w:cs="Times New Roman"/>
          <w:bCs/>
          <w:iCs/>
          <w:sz w:val="24"/>
          <w:szCs w:val="24"/>
        </w:rPr>
        <w:t>The Court of Appeal</w:t>
      </w:r>
      <w:r w:rsidR="00440814" w:rsidRPr="00AF7252">
        <w:rPr>
          <w:rFonts w:ascii="Times New Roman" w:hAnsi="Times New Roman" w:cs="Times New Roman"/>
          <w:bCs/>
          <w:iCs/>
          <w:sz w:val="24"/>
          <w:szCs w:val="24"/>
        </w:rPr>
        <w:t xml:space="preserve"> held</w:t>
      </w:r>
      <w:r w:rsidR="00804592" w:rsidRPr="00AF7252">
        <w:rPr>
          <w:rFonts w:ascii="Times New Roman" w:hAnsi="Times New Roman" w:cs="Times New Roman"/>
          <w:bCs/>
          <w:iCs/>
          <w:sz w:val="24"/>
          <w:szCs w:val="24"/>
        </w:rPr>
        <w:t xml:space="preserve"> a</w:t>
      </w:r>
      <w:r w:rsidR="00586828" w:rsidRPr="00AF7252">
        <w:rPr>
          <w:rFonts w:ascii="Times New Roman" w:hAnsi="Times New Roman" w:cs="Times New Roman"/>
          <w:bCs/>
          <w:iCs/>
          <w:sz w:val="24"/>
          <w:szCs w:val="24"/>
        </w:rPr>
        <w:t>t [38]</w:t>
      </w:r>
      <w:r w:rsidR="00440814" w:rsidRPr="00AF7252">
        <w:rPr>
          <w:rFonts w:ascii="Times New Roman" w:hAnsi="Times New Roman" w:cs="Times New Roman"/>
          <w:bCs/>
          <w:iCs/>
          <w:sz w:val="24"/>
          <w:szCs w:val="24"/>
        </w:rPr>
        <w:t xml:space="preserve"> that Floyd J was entitled to make that</w:t>
      </w:r>
      <w:r w:rsidR="00EE7612" w:rsidRPr="00AF7252">
        <w:rPr>
          <w:rFonts w:ascii="Times New Roman" w:hAnsi="Times New Roman" w:cs="Times New Roman"/>
          <w:bCs/>
          <w:iCs/>
          <w:sz w:val="24"/>
          <w:szCs w:val="24"/>
        </w:rPr>
        <w:t xml:space="preserve"> order</w:t>
      </w:r>
      <w:r w:rsidR="00440814" w:rsidRPr="00AF7252">
        <w:rPr>
          <w:rFonts w:ascii="Times New Roman" w:hAnsi="Times New Roman" w:cs="Times New Roman"/>
          <w:bCs/>
          <w:iCs/>
          <w:sz w:val="24"/>
          <w:szCs w:val="24"/>
        </w:rPr>
        <w:t xml:space="preserve"> for the following reasons:</w:t>
      </w:r>
    </w:p>
    <w:p w14:paraId="3363CAD1" w14:textId="4709EEB7" w:rsidR="00B34E28" w:rsidRPr="000A3D01" w:rsidRDefault="002B6E13" w:rsidP="00AF7252">
      <w:pPr>
        <w:pStyle w:val="ParaLevel1"/>
        <w:numPr>
          <w:ilvl w:val="0"/>
          <w:numId w:val="6"/>
        </w:numPr>
        <w:ind w:left="862"/>
        <w:jc w:val="left"/>
        <w:rPr>
          <w:b/>
          <w:bCs/>
          <w:i/>
          <w:iCs/>
          <w:szCs w:val="24"/>
        </w:rPr>
      </w:pPr>
      <w:r w:rsidRPr="009E197D">
        <w:rPr>
          <w:i/>
          <w:iCs/>
          <w:szCs w:val="24"/>
        </w:rPr>
        <w:t xml:space="preserve">The circumstances surrounding the appointment and behaviour of the trustees were undoubtedly suspicious.  </w:t>
      </w:r>
      <w:r w:rsidRPr="006F428D">
        <w:rPr>
          <w:b/>
          <w:bCs/>
          <w:i/>
          <w:iCs/>
          <w:szCs w:val="24"/>
        </w:rPr>
        <w:t>For a wealthy man (or in this case two wealthy men acting simultaneously) to make himself a pauper, with the genuine intention of disposing of his money down to his last dollar irrevocably and with no ability to control what was to happen to it, is an unlikely scenario.  Family trusts are a well known possible device for trying to place assets ostensibly beyond the reach of creditors, and the timing of the simultaneous creation of the trusts fits such a pattern</w:t>
      </w:r>
      <w:r w:rsidRPr="009E197D">
        <w:rPr>
          <w:i/>
          <w:iCs/>
          <w:szCs w:val="24"/>
        </w:rPr>
        <w:t xml:space="preserve">.  Suspicion that these were not entirely arm’s length arrangements is heightened by the later steps taken by the trustees, for example, in seeking to prevent cross examination of the appellants in the English proceedings and in apparently removing the appellants from even being discretionary beneficiaries for reasons and in circumstances which are unexplained.  </w:t>
      </w:r>
      <w:r w:rsidRPr="000A3D01">
        <w:rPr>
          <w:b/>
          <w:bCs/>
          <w:i/>
          <w:iCs/>
          <w:szCs w:val="24"/>
        </w:rPr>
        <w:t>The circumstantial evidence gave reasonable ground to infer that there</w:t>
      </w:r>
      <w:r w:rsidR="009F439F" w:rsidRPr="000A3D01">
        <w:rPr>
          <w:b/>
          <w:bCs/>
          <w:i/>
          <w:iCs/>
          <w:szCs w:val="24"/>
        </w:rPr>
        <w:t xml:space="preserve"> </w:t>
      </w:r>
      <w:r w:rsidR="00B34E28" w:rsidRPr="000A3D01">
        <w:rPr>
          <w:b/>
          <w:bCs/>
          <w:i/>
          <w:iCs/>
          <w:szCs w:val="24"/>
        </w:rPr>
        <w:t xml:space="preserve">was in truth some understanding or arrangement between the appellants and the trustees by which they were to shelter the appellants’ assets, consistent with the appellants’ real aim, and that the nature of that understanding and arrangement was such that the trustees would take whatever steps the appellants wished in the administration of the trusts.  </w:t>
      </w:r>
    </w:p>
    <w:p w14:paraId="5957DED7" w14:textId="101AC7D5" w:rsidR="00D258F5" w:rsidRDefault="00B34E28" w:rsidP="00A15F47">
      <w:pPr>
        <w:pStyle w:val="ListParagraph"/>
        <w:numPr>
          <w:ilvl w:val="0"/>
          <w:numId w:val="6"/>
        </w:numPr>
        <w:spacing w:before="120" w:line="240" w:lineRule="auto"/>
        <w:ind w:left="862"/>
        <w:rPr>
          <w:rFonts w:ascii="Times New Roman" w:hAnsi="Times New Roman" w:cs="Times New Roman"/>
          <w:i/>
          <w:iCs/>
          <w:sz w:val="24"/>
          <w:szCs w:val="24"/>
        </w:rPr>
      </w:pPr>
      <w:r w:rsidRPr="009E197D">
        <w:rPr>
          <w:rFonts w:ascii="Times New Roman" w:hAnsi="Times New Roman" w:cs="Times New Roman"/>
          <w:i/>
          <w:iCs/>
          <w:sz w:val="24"/>
          <w:szCs w:val="24"/>
        </w:rPr>
        <w:t>In the particular circumstances of this case, Floyd J was in my judgment entitled to deduce that such was the true nature of the relationship between the appellants and the trustees on the material then before the court</w:t>
      </w:r>
      <w:r w:rsidR="006775B9" w:rsidRPr="009E197D">
        <w:rPr>
          <w:rFonts w:ascii="Times New Roman" w:hAnsi="Times New Roman" w:cs="Times New Roman"/>
          <w:i/>
          <w:iCs/>
          <w:sz w:val="24"/>
          <w:szCs w:val="24"/>
        </w:rPr>
        <w:t>…</w:t>
      </w:r>
    </w:p>
    <w:p w14:paraId="3E6DFEBF" w14:textId="77777777" w:rsidR="009E197D" w:rsidRPr="009E197D" w:rsidRDefault="009E197D" w:rsidP="00A15F47">
      <w:pPr>
        <w:pStyle w:val="ListParagraph"/>
        <w:spacing w:before="120" w:line="240" w:lineRule="auto"/>
        <w:ind w:left="1080"/>
        <w:rPr>
          <w:rFonts w:ascii="Times New Roman" w:hAnsi="Times New Roman" w:cs="Times New Roman"/>
          <w:i/>
          <w:iCs/>
          <w:sz w:val="24"/>
          <w:szCs w:val="24"/>
        </w:rPr>
      </w:pPr>
    </w:p>
    <w:p w14:paraId="7E06EC3C" w14:textId="25F9704F" w:rsidR="006775B9" w:rsidRPr="00223D9B" w:rsidRDefault="006C4BD7" w:rsidP="00A15F47">
      <w:pPr>
        <w:pStyle w:val="ListParagraph"/>
        <w:numPr>
          <w:ilvl w:val="0"/>
          <w:numId w:val="6"/>
        </w:numPr>
        <w:spacing w:before="120" w:line="240" w:lineRule="auto"/>
        <w:ind w:left="862"/>
        <w:rPr>
          <w:rFonts w:ascii="Times New Roman" w:hAnsi="Times New Roman" w:cs="Times New Roman"/>
          <w:bCs/>
          <w:i/>
          <w:iCs/>
          <w:sz w:val="24"/>
          <w:szCs w:val="24"/>
        </w:rPr>
      </w:pPr>
      <w:r w:rsidRPr="009E197D">
        <w:rPr>
          <w:rFonts w:ascii="Times New Roman" w:hAnsi="Times New Roman" w:cs="Times New Roman"/>
          <w:i/>
          <w:iCs/>
          <w:sz w:val="24"/>
          <w:szCs w:val="24"/>
        </w:rPr>
        <w:t>If that was the true relationship between the appellants and the trustees, the judge was entitled in my view to regard documents in the physical possession of the trustees relating to the administration of the trust as documents in the appellants’ control within the meaning of CPR 31.8.  In determining whether documents in the physical possession of a third party are in a litigant’s control for the purposes of CPR 31.8, the court must have regard to the true nature of the relationship between the third party and the litigant.</w:t>
      </w:r>
      <w:r w:rsidRPr="00CB6D6B">
        <w:rPr>
          <w:rFonts w:ascii="Times New Roman" w:hAnsi="Times New Roman" w:cs="Times New Roman"/>
          <w:b/>
          <w:bCs/>
          <w:i/>
          <w:iCs/>
          <w:sz w:val="24"/>
          <w:szCs w:val="24"/>
        </w:rPr>
        <w:t xml:space="preserve">  The concept of “right to possession” in CPR 31.8(2)(b) covers a situation where a third party is in possession of documents as agent for a litigant.  The same would apply in my view if the true nature of the relationship was that the litigant was to be the puppet master in the handling of money entrusted to him for the specific purpose of defeating the claim of a creditor.  The situation would be akin to agency</w:t>
      </w:r>
      <w:r w:rsidR="00060CC6" w:rsidRPr="009E197D">
        <w:rPr>
          <w:rFonts w:ascii="Times New Roman" w:hAnsi="Times New Roman" w:cs="Times New Roman"/>
          <w:i/>
          <w:iCs/>
          <w:sz w:val="24"/>
          <w:szCs w:val="24"/>
        </w:rPr>
        <w:t>…</w:t>
      </w:r>
      <w:r w:rsidR="00CB6D6B" w:rsidRPr="004828B5">
        <w:rPr>
          <w:rFonts w:ascii="Times New Roman" w:hAnsi="Times New Roman" w:cs="Times New Roman"/>
          <w:sz w:val="24"/>
          <w:szCs w:val="24"/>
        </w:rPr>
        <w:t>(emphasis added)</w:t>
      </w:r>
    </w:p>
    <w:p w14:paraId="20FF96A4" w14:textId="77777777" w:rsidR="00223D9B" w:rsidRPr="00223D9B" w:rsidRDefault="00223D9B" w:rsidP="00223D9B">
      <w:pPr>
        <w:pStyle w:val="ListParagraph"/>
        <w:rPr>
          <w:rFonts w:ascii="Times New Roman" w:hAnsi="Times New Roman" w:cs="Times New Roman"/>
          <w:bCs/>
          <w:i/>
          <w:iCs/>
          <w:sz w:val="24"/>
          <w:szCs w:val="24"/>
        </w:rPr>
      </w:pPr>
    </w:p>
    <w:p w14:paraId="6D5640C4" w14:textId="77777777" w:rsidR="00223D9B" w:rsidRPr="00C3513E" w:rsidRDefault="00223D9B" w:rsidP="00223D9B">
      <w:pPr>
        <w:pStyle w:val="ListParagraph"/>
        <w:spacing w:before="120" w:line="240" w:lineRule="auto"/>
        <w:ind w:left="862"/>
        <w:rPr>
          <w:rFonts w:ascii="Times New Roman" w:hAnsi="Times New Roman" w:cs="Times New Roman"/>
          <w:bCs/>
          <w:i/>
          <w:iCs/>
          <w:sz w:val="24"/>
          <w:szCs w:val="24"/>
        </w:rPr>
      </w:pPr>
    </w:p>
    <w:p w14:paraId="34D5CCF8" w14:textId="77777777" w:rsidR="00C3513E" w:rsidRPr="00C3513E" w:rsidRDefault="00C3513E" w:rsidP="001278C2">
      <w:pPr>
        <w:pStyle w:val="ListParagraph"/>
        <w:spacing w:line="360" w:lineRule="auto"/>
        <w:rPr>
          <w:rFonts w:ascii="Times New Roman" w:hAnsi="Times New Roman" w:cs="Times New Roman"/>
          <w:bCs/>
          <w:i/>
          <w:iCs/>
          <w:sz w:val="24"/>
          <w:szCs w:val="24"/>
        </w:rPr>
      </w:pPr>
    </w:p>
    <w:p w14:paraId="0A352B96" w14:textId="2FC97B34" w:rsidR="00C3513E" w:rsidRDefault="00B12794" w:rsidP="001278C2">
      <w:pPr>
        <w:spacing w:before="120" w:line="360" w:lineRule="auto"/>
        <w:rPr>
          <w:rFonts w:ascii="Times New Roman" w:hAnsi="Times New Roman" w:cs="Times New Roman"/>
          <w:b/>
          <w:i/>
          <w:iCs/>
          <w:sz w:val="24"/>
          <w:szCs w:val="24"/>
        </w:rPr>
      </w:pPr>
      <w:r w:rsidRPr="00F46A8F">
        <w:rPr>
          <w:rFonts w:ascii="Times New Roman" w:hAnsi="Times New Roman" w:cs="Times New Roman"/>
          <w:b/>
          <w:i/>
          <w:iCs/>
          <w:sz w:val="24"/>
          <w:szCs w:val="24"/>
        </w:rPr>
        <w:t xml:space="preserve">Ardila </w:t>
      </w:r>
      <w:r w:rsidR="00F46A8F" w:rsidRPr="00F46A8F">
        <w:rPr>
          <w:rFonts w:ascii="Times New Roman" w:hAnsi="Times New Roman" w:cs="Times New Roman"/>
          <w:b/>
          <w:i/>
          <w:iCs/>
          <w:sz w:val="24"/>
          <w:szCs w:val="24"/>
        </w:rPr>
        <w:t>Investments</w:t>
      </w:r>
    </w:p>
    <w:p w14:paraId="4E8C04BD" w14:textId="77777777" w:rsidR="00F46A8F" w:rsidRDefault="00F46A8F" w:rsidP="001278C2">
      <w:pPr>
        <w:spacing w:before="120" w:line="360" w:lineRule="auto"/>
        <w:rPr>
          <w:rFonts w:ascii="Times New Roman" w:hAnsi="Times New Roman" w:cs="Times New Roman"/>
          <w:b/>
          <w:i/>
          <w:iCs/>
          <w:sz w:val="24"/>
          <w:szCs w:val="24"/>
        </w:rPr>
      </w:pPr>
    </w:p>
    <w:p w14:paraId="3A7695CE" w14:textId="2B26AC1B" w:rsidR="00F46A8F" w:rsidRPr="00AF7252" w:rsidRDefault="00BC1624" w:rsidP="00AF7252">
      <w:pPr>
        <w:pStyle w:val="ListParagraph"/>
        <w:numPr>
          <w:ilvl w:val="0"/>
          <w:numId w:val="1"/>
        </w:numPr>
        <w:spacing w:before="120" w:line="360" w:lineRule="auto"/>
        <w:jc w:val="both"/>
        <w:rPr>
          <w:rFonts w:ascii="Times New Roman" w:hAnsi="Times New Roman" w:cs="Times New Roman"/>
          <w:bCs/>
          <w:sz w:val="24"/>
          <w:szCs w:val="24"/>
        </w:rPr>
      </w:pPr>
      <w:r w:rsidRPr="00AF7252">
        <w:rPr>
          <w:rFonts w:ascii="Times New Roman" w:hAnsi="Times New Roman" w:cs="Times New Roman"/>
          <w:bCs/>
          <w:sz w:val="24"/>
          <w:szCs w:val="24"/>
        </w:rPr>
        <w:t xml:space="preserve">In </w:t>
      </w:r>
      <w:r w:rsidR="009F1472" w:rsidRPr="00AF7252">
        <w:rPr>
          <w:rFonts w:ascii="Times New Roman" w:hAnsi="Times New Roman" w:cs="Times New Roman"/>
          <w:bCs/>
          <w:i/>
          <w:iCs/>
          <w:sz w:val="24"/>
          <w:szCs w:val="24"/>
        </w:rPr>
        <w:t>Ardila</w:t>
      </w:r>
      <w:r w:rsidRPr="00AF7252">
        <w:rPr>
          <w:rFonts w:ascii="Times New Roman" w:hAnsi="Times New Roman" w:cs="Times New Roman"/>
          <w:bCs/>
          <w:i/>
          <w:iCs/>
          <w:sz w:val="24"/>
          <w:szCs w:val="24"/>
        </w:rPr>
        <w:t xml:space="preserve"> </w:t>
      </w:r>
      <w:r w:rsidR="009F1472" w:rsidRPr="00AF7252">
        <w:rPr>
          <w:rFonts w:ascii="Times New Roman" w:hAnsi="Times New Roman" w:cs="Times New Roman"/>
          <w:bCs/>
          <w:i/>
          <w:iCs/>
          <w:sz w:val="24"/>
          <w:szCs w:val="24"/>
        </w:rPr>
        <w:t>Investments NV v ENRC NV</w:t>
      </w:r>
      <w:r w:rsidR="009F1472" w:rsidRPr="00AF7252">
        <w:rPr>
          <w:rFonts w:ascii="Times New Roman" w:hAnsi="Times New Roman" w:cs="Times New Roman"/>
          <w:bCs/>
          <w:sz w:val="24"/>
          <w:szCs w:val="24"/>
        </w:rPr>
        <w:t xml:space="preserve"> </w:t>
      </w:r>
      <w:r w:rsidR="006A2D79" w:rsidRPr="00AF7252">
        <w:rPr>
          <w:rFonts w:ascii="Times New Roman" w:hAnsi="Times New Roman" w:cs="Times New Roman"/>
          <w:bCs/>
          <w:sz w:val="24"/>
          <w:szCs w:val="24"/>
        </w:rPr>
        <w:t>[2015] EWHC 3761,</w:t>
      </w:r>
      <w:r w:rsidR="00FB384E" w:rsidRPr="00AF7252">
        <w:rPr>
          <w:rFonts w:ascii="Times New Roman" w:hAnsi="Times New Roman" w:cs="Times New Roman"/>
          <w:bCs/>
          <w:sz w:val="24"/>
          <w:szCs w:val="24"/>
        </w:rPr>
        <w:t xml:space="preserve"> </w:t>
      </w:r>
      <w:r w:rsidR="006B51BC" w:rsidRPr="00AF7252">
        <w:rPr>
          <w:rFonts w:ascii="Times New Roman" w:hAnsi="Times New Roman" w:cs="Times New Roman"/>
          <w:bCs/>
          <w:sz w:val="24"/>
          <w:szCs w:val="24"/>
        </w:rPr>
        <w:t xml:space="preserve">documents were sought </w:t>
      </w:r>
      <w:r w:rsidR="00FB384E" w:rsidRPr="00AF7252">
        <w:rPr>
          <w:rFonts w:ascii="Times New Roman" w:hAnsi="Times New Roman" w:cs="Times New Roman"/>
          <w:bCs/>
          <w:sz w:val="24"/>
          <w:szCs w:val="24"/>
        </w:rPr>
        <w:t>from the indirectly held (but wholly owned) subsidiaries of the defendant.</w:t>
      </w:r>
      <w:r w:rsidR="00D270FB" w:rsidRPr="00AF7252">
        <w:rPr>
          <w:rFonts w:ascii="Times New Roman" w:hAnsi="Times New Roman" w:cs="Times New Roman"/>
          <w:bCs/>
          <w:sz w:val="24"/>
          <w:szCs w:val="24"/>
        </w:rPr>
        <w:t xml:space="preserve"> Males J reviewed the existing authorities in relation to the issue of “</w:t>
      </w:r>
      <w:r w:rsidR="00D270FB" w:rsidRPr="00AF7252">
        <w:rPr>
          <w:rFonts w:ascii="Times New Roman" w:hAnsi="Times New Roman" w:cs="Times New Roman"/>
          <w:bCs/>
          <w:i/>
          <w:iCs/>
          <w:sz w:val="24"/>
          <w:szCs w:val="24"/>
        </w:rPr>
        <w:t>practical control</w:t>
      </w:r>
      <w:r w:rsidR="005C25A2" w:rsidRPr="00AF7252">
        <w:rPr>
          <w:rFonts w:ascii="Times New Roman" w:hAnsi="Times New Roman" w:cs="Times New Roman"/>
          <w:bCs/>
          <w:sz w:val="24"/>
          <w:szCs w:val="24"/>
        </w:rPr>
        <w:t>” and held at</w:t>
      </w:r>
      <w:r w:rsidR="00501C71" w:rsidRPr="00AF7252">
        <w:rPr>
          <w:rFonts w:ascii="Times New Roman" w:hAnsi="Times New Roman" w:cs="Times New Roman"/>
          <w:bCs/>
          <w:sz w:val="24"/>
          <w:szCs w:val="24"/>
        </w:rPr>
        <w:t xml:space="preserve"> [11]:</w:t>
      </w:r>
    </w:p>
    <w:p w14:paraId="45B2D729" w14:textId="382A2149" w:rsidR="00501C71" w:rsidRDefault="00501C71" w:rsidP="00A15F47">
      <w:pPr>
        <w:spacing w:before="120" w:line="276" w:lineRule="auto"/>
        <w:ind w:left="720"/>
        <w:rPr>
          <w:rFonts w:ascii="Times New Roman" w:hAnsi="Times New Roman" w:cs="Times New Roman"/>
          <w:bCs/>
          <w:sz w:val="24"/>
          <w:szCs w:val="24"/>
        </w:rPr>
      </w:pPr>
      <w:r w:rsidRPr="00AC16B9">
        <w:rPr>
          <w:rFonts w:ascii="Times New Roman" w:hAnsi="Times New Roman" w:cs="Times New Roman"/>
          <w:bCs/>
          <w:i/>
          <w:iCs/>
          <w:sz w:val="24"/>
          <w:szCs w:val="24"/>
        </w:rPr>
        <w:t>…</w:t>
      </w:r>
      <w:r w:rsidR="00C43898" w:rsidRPr="00AC16B9">
        <w:rPr>
          <w:rFonts w:ascii="Times New Roman" w:hAnsi="Times New Roman" w:cs="Times New Roman"/>
          <w:bCs/>
          <w:i/>
          <w:iCs/>
          <w:sz w:val="24"/>
          <w:szCs w:val="24"/>
        </w:rPr>
        <w:t xml:space="preserve">It seems to me that caution is needed here. To refer to the test as one of practical control is indeed a helpful label, but </w:t>
      </w:r>
      <w:r w:rsidR="00C43898" w:rsidRPr="00034E90">
        <w:rPr>
          <w:rFonts w:ascii="Times New Roman" w:hAnsi="Times New Roman" w:cs="Times New Roman"/>
          <w:b/>
          <w:i/>
          <w:iCs/>
          <w:sz w:val="24"/>
          <w:szCs w:val="24"/>
        </w:rPr>
        <w:t>it could be misleading to regard that as the test without regard to the facts of the previous cases from which it is derived</w:t>
      </w:r>
      <w:r w:rsidR="00C43898" w:rsidRPr="00AC16B9">
        <w:rPr>
          <w:rFonts w:ascii="Times New Roman" w:hAnsi="Times New Roman" w:cs="Times New Roman"/>
          <w:bCs/>
          <w:i/>
          <w:iCs/>
          <w:sz w:val="24"/>
          <w:szCs w:val="24"/>
        </w:rPr>
        <w:t xml:space="preserve">. It might be thought that if there are third parties who can be expected to comply with the requests of the party to the litigation, then a test of practical control, if that were the test, would be satisfied. </w:t>
      </w:r>
      <w:r w:rsidR="00C43898" w:rsidRPr="0082563B">
        <w:rPr>
          <w:rFonts w:ascii="Times New Roman" w:hAnsi="Times New Roman" w:cs="Times New Roman"/>
          <w:b/>
          <w:i/>
          <w:iCs/>
          <w:sz w:val="24"/>
          <w:szCs w:val="24"/>
        </w:rPr>
        <w:t>But in fact, as the Schlumberger and North Shore cases demonstrate, something more than that is required. What is required is</w:t>
      </w:r>
      <w:r w:rsidR="00AC16B9" w:rsidRPr="0082563B">
        <w:rPr>
          <w:rFonts w:ascii="Times New Roman" w:hAnsi="Times New Roman" w:cs="Times New Roman"/>
          <w:b/>
          <w:i/>
          <w:iCs/>
          <w:sz w:val="24"/>
          <w:szCs w:val="24"/>
        </w:rPr>
        <w:t xml:space="preserve"> </w:t>
      </w:r>
      <w:r w:rsidR="00C43898" w:rsidRPr="0082563B">
        <w:rPr>
          <w:rFonts w:ascii="Times New Roman" w:hAnsi="Times New Roman" w:cs="Times New Roman"/>
          <w:b/>
          <w:i/>
          <w:iCs/>
          <w:sz w:val="24"/>
          <w:szCs w:val="24"/>
        </w:rPr>
        <w:t>evidence of some existing understanding or arrangement from which a right of access in practice can properly be inferred.</w:t>
      </w:r>
      <w:r w:rsidR="0082563B">
        <w:rPr>
          <w:rFonts w:ascii="Times New Roman" w:hAnsi="Times New Roman" w:cs="Times New Roman"/>
          <w:b/>
          <w:i/>
          <w:iCs/>
          <w:sz w:val="24"/>
          <w:szCs w:val="24"/>
        </w:rPr>
        <w:t xml:space="preserve"> </w:t>
      </w:r>
      <w:r w:rsidR="0082563B" w:rsidRPr="0082563B">
        <w:rPr>
          <w:rFonts w:ascii="Times New Roman" w:hAnsi="Times New Roman" w:cs="Times New Roman"/>
          <w:bCs/>
          <w:sz w:val="24"/>
          <w:szCs w:val="24"/>
        </w:rPr>
        <w:t>(emphasis added)</w:t>
      </w:r>
    </w:p>
    <w:p w14:paraId="36915C45" w14:textId="77777777" w:rsidR="001100DB" w:rsidRDefault="001100DB" w:rsidP="001278C2">
      <w:pPr>
        <w:spacing w:before="120" w:line="360" w:lineRule="auto"/>
        <w:ind w:left="720"/>
        <w:rPr>
          <w:rFonts w:ascii="Times New Roman" w:hAnsi="Times New Roman" w:cs="Times New Roman"/>
          <w:b/>
          <w:i/>
          <w:iCs/>
          <w:sz w:val="24"/>
          <w:szCs w:val="24"/>
        </w:rPr>
      </w:pPr>
    </w:p>
    <w:p w14:paraId="319C717C" w14:textId="175D11DA" w:rsidR="001100DB" w:rsidRPr="00AF7252" w:rsidRDefault="003B7524" w:rsidP="00AF7252">
      <w:pPr>
        <w:pStyle w:val="ListParagraph"/>
        <w:numPr>
          <w:ilvl w:val="0"/>
          <w:numId w:val="1"/>
        </w:numPr>
        <w:spacing w:before="120" w:line="360" w:lineRule="auto"/>
        <w:rPr>
          <w:rFonts w:ascii="Times New Roman" w:hAnsi="Times New Roman" w:cs="Times New Roman"/>
          <w:bCs/>
          <w:sz w:val="24"/>
          <w:szCs w:val="24"/>
        </w:rPr>
      </w:pPr>
      <w:r w:rsidRPr="00AF7252">
        <w:rPr>
          <w:rFonts w:ascii="Times New Roman" w:hAnsi="Times New Roman" w:cs="Times New Roman"/>
          <w:bCs/>
          <w:sz w:val="24"/>
          <w:szCs w:val="24"/>
        </w:rPr>
        <w:t>Males J summarised the existing position in relation to practical control</w:t>
      </w:r>
      <w:r w:rsidR="00D60026" w:rsidRPr="00AF7252">
        <w:rPr>
          <w:rFonts w:ascii="Times New Roman" w:hAnsi="Times New Roman" w:cs="Times New Roman"/>
          <w:bCs/>
          <w:sz w:val="24"/>
          <w:szCs w:val="24"/>
        </w:rPr>
        <w:t xml:space="preserve"> at [13-14] in this way:</w:t>
      </w:r>
    </w:p>
    <w:p w14:paraId="5843BCF7" w14:textId="53181296" w:rsidR="00103107" w:rsidRPr="00141074" w:rsidRDefault="00103107" w:rsidP="00DB1482">
      <w:pPr>
        <w:spacing w:before="120" w:line="276" w:lineRule="auto"/>
        <w:ind w:left="720"/>
        <w:rPr>
          <w:rFonts w:ascii="Times New Roman" w:hAnsi="Times New Roman" w:cs="Times New Roman"/>
          <w:bCs/>
          <w:i/>
          <w:iCs/>
          <w:sz w:val="24"/>
          <w:szCs w:val="24"/>
        </w:rPr>
      </w:pPr>
      <w:r w:rsidRPr="00141074">
        <w:rPr>
          <w:rFonts w:ascii="Times New Roman" w:hAnsi="Times New Roman" w:cs="Times New Roman"/>
          <w:bCs/>
          <w:i/>
          <w:iCs/>
          <w:sz w:val="24"/>
          <w:szCs w:val="24"/>
        </w:rPr>
        <w:t>13</w:t>
      </w:r>
      <w:r w:rsidR="00141074" w:rsidRPr="00141074">
        <w:rPr>
          <w:rFonts w:ascii="Times New Roman" w:hAnsi="Times New Roman" w:cs="Times New Roman"/>
          <w:bCs/>
          <w:i/>
          <w:iCs/>
          <w:sz w:val="24"/>
          <w:szCs w:val="24"/>
        </w:rPr>
        <w:t>…</w:t>
      </w:r>
      <w:r w:rsidRPr="00141074">
        <w:rPr>
          <w:rFonts w:ascii="Times New Roman" w:hAnsi="Times New Roman" w:cs="Times New Roman"/>
          <w:bCs/>
          <w:i/>
          <w:iCs/>
          <w:sz w:val="24"/>
          <w:szCs w:val="24"/>
        </w:rPr>
        <w:t xml:space="preserve">First, it remains the position that a parent </w:t>
      </w:r>
      <w:r w:rsidR="00645F7F">
        <w:rPr>
          <w:rFonts w:ascii="Times New Roman" w:hAnsi="Times New Roman" w:cs="Times New Roman"/>
          <w:bCs/>
          <w:i/>
          <w:iCs/>
          <w:sz w:val="24"/>
          <w:szCs w:val="24"/>
        </w:rPr>
        <w:t>Company</w:t>
      </w:r>
      <w:r w:rsidRPr="00141074">
        <w:rPr>
          <w:rFonts w:ascii="Times New Roman" w:hAnsi="Times New Roman" w:cs="Times New Roman"/>
          <w:bCs/>
          <w:i/>
          <w:iCs/>
          <w:sz w:val="24"/>
          <w:szCs w:val="24"/>
        </w:rPr>
        <w:t xml:space="preserve"> does not merely by virtue of being a 100 parent have control over the documents of its subsidiaries. Second, an expectation that the subsidiary will in practice comply with requests made by the parent is not enough to amount to control. Third, in such circumstances, as Lord Diplock said in Lonrho, there is no obligation even to make the request, although it may, in some circumstances, be legitimate to draw inferences if the party to the litigation declines to make sensible requests. But that is a separate point. </w:t>
      </w:r>
    </w:p>
    <w:p w14:paraId="3B4DB0E4" w14:textId="05DD6076" w:rsidR="00103107" w:rsidRDefault="00103107" w:rsidP="00DB1482">
      <w:pPr>
        <w:spacing w:before="120" w:line="276" w:lineRule="auto"/>
        <w:ind w:left="720"/>
        <w:rPr>
          <w:rFonts w:ascii="Times New Roman" w:hAnsi="Times New Roman" w:cs="Times New Roman"/>
          <w:bCs/>
          <w:sz w:val="24"/>
          <w:szCs w:val="24"/>
        </w:rPr>
      </w:pPr>
      <w:r w:rsidRPr="00141074">
        <w:rPr>
          <w:rFonts w:ascii="Times New Roman" w:hAnsi="Times New Roman" w:cs="Times New Roman"/>
          <w:bCs/>
          <w:i/>
          <w:iCs/>
          <w:sz w:val="24"/>
          <w:szCs w:val="24"/>
        </w:rPr>
        <w:t>14. Fourth, however</w:t>
      </w:r>
      <w:r w:rsidRPr="004C41F3">
        <w:rPr>
          <w:rFonts w:ascii="Times New Roman" w:hAnsi="Times New Roman" w:cs="Times New Roman"/>
          <w:b/>
          <w:i/>
          <w:iCs/>
          <w:sz w:val="24"/>
          <w:szCs w:val="24"/>
        </w:rPr>
        <w:t xml:space="preserve">, a party may have sufficient practical control in the sense which the </w:t>
      </w:r>
      <w:r w:rsidRPr="004C41F3">
        <w:rPr>
          <w:rFonts w:ascii="Times New Roman" w:hAnsi="Times New Roman" w:cs="Times New Roman"/>
          <w:b/>
          <w:i/>
          <w:iCs/>
          <w:sz w:val="24"/>
          <w:szCs w:val="24"/>
          <w:u w:val="single"/>
        </w:rPr>
        <w:t>Schlumberger</w:t>
      </w:r>
      <w:r w:rsidRPr="004C41F3">
        <w:rPr>
          <w:rFonts w:ascii="Times New Roman" w:hAnsi="Times New Roman" w:cs="Times New Roman"/>
          <w:b/>
          <w:i/>
          <w:iCs/>
          <w:sz w:val="24"/>
          <w:szCs w:val="24"/>
        </w:rPr>
        <w:t xml:space="preserve"> and </w:t>
      </w:r>
      <w:r w:rsidRPr="004C41F3">
        <w:rPr>
          <w:rFonts w:ascii="Times New Roman" w:hAnsi="Times New Roman" w:cs="Times New Roman"/>
          <w:b/>
          <w:i/>
          <w:iCs/>
          <w:sz w:val="24"/>
          <w:szCs w:val="24"/>
          <w:u w:val="single"/>
        </w:rPr>
        <w:t>North Shore</w:t>
      </w:r>
      <w:r w:rsidRPr="004C41F3">
        <w:rPr>
          <w:rFonts w:ascii="Times New Roman" w:hAnsi="Times New Roman" w:cs="Times New Roman"/>
          <w:b/>
          <w:i/>
          <w:iCs/>
          <w:sz w:val="24"/>
          <w:szCs w:val="24"/>
        </w:rPr>
        <w:t xml:space="preserve"> cases indicate, if there is evidence of the parent already having had unfettered access to the subsidiary's documents or if there is material from which the court can conclude that there is some understanding or arrangement by which the parent has the right to achieve such access</w:t>
      </w:r>
      <w:r w:rsidRPr="00141074">
        <w:rPr>
          <w:rFonts w:ascii="Times New Roman" w:hAnsi="Times New Roman" w:cs="Times New Roman"/>
          <w:bCs/>
          <w:i/>
          <w:iCs/>
          <w:sz w:val="24"/>
          <w:szCs w:val="24"/>
        </w:rPr>
        <w:t>.</w:t>
      </w:r>
      <w:r w:rsidR="00FD1C22">
        <w:rPr>
          <w:rFonts w:ascii="Times New Roman" w:hAnsi="Times New Roman" w:cs="Times New Roman"/>
          <w:bCs/>
          <w:i/>
          <w:iCs/>
          <w:sz w:val="24"/>
          <w:szCs w:val="24"/>
        </w:rPr>
        <w:t xml:space="preserve"> </w:t>
      </w:r>
      <w:r w:rsidR="00FD1C22" w:rsidRPr="00FD1C22">
        <w:rPr>
          <w:rFonts w:ascii="Times New Roman" w:hAnsi="Times New Roman" w:cs="Times New Roman"/>
          <w:bCs/>
          <w:sz w:val="24"/>
          <w:szCs w:val="24"/>
        </w:rPr>
        <w:t>(emphasis added)</w:t>
      </w:r>
    </w:p>
    <w:p w14:paraId="236B4F9E" w14:textId="77777777" w:rsidR="00FD1C22" w:rsidRDefault="00FD1C22" w:rsidP="00DB1482">
      <w:pPr>
        <w:spacing w:before="120" w:line="276" w:lineRule="auto"/>
        <w:ind w:left="720"/>
        <w:rPr>
          <w:rFonts w:ascii="Times New Roman" w:hAnsi="Times New Roman" w:cs="Times New Roman"/>
          <w:bCs/>
          <w:sz w:val="24"/>
          <w:szCs w:val="24"/>
        </w:rPr>
      </w:pPr>
    </w:p>
    <w:p w14:paraId="5445B8E3" w14:textId="7C5D3C50" w:rsidR="002D405E" w:rsidRPr="00AF7252" w:rsidRDefault="00661FA3" w:rsidP="00AF7252">
      <w:pPr>
        <w:pStyle w:val="ListParagraph"/>
        <w:numPr>
          <w:ilvl w:val="0"/>
          <w:numId w:val="1"/>
        </w:numPr>
        <w:spacing w:before="120" w:line="360" w:lineRule="auto"/>
        <w:jc w:val="both"/>
        <w:rPr>
          <w:rFonts w:ascii="Times New Roman" w:hAnsi="Times New Roman" w:cs="Times New Roman"/>
          <w:bCs/>
          <w:sz w:val="24"/>
          <w:szCs w:val="24"/>
        </w:rPr>
      </w:pPr>
      <w:r w:rsidRPr="00AF7252">
        <w:rPr>
          <w:rFonts w:ascii="Times New Roman" w:hAnsi="Times New Roman" w:cs="Times New Roman"/>
          <w:bCs/>
          <w:sz w:val="24"/>
          <w:szCs w:val="24"/>
        </w:rPr>
        <w:t>In support of th</w:t>
      </w:r>
      <w:r w:rsidR="002B2556" w:rsidRPr="00AF7252">
        <w:rPr>
          <w:rFonts w:ascii="Times New Roman" w:hAnsi="Times New Roman" w:cs="Times New Roman"/>
          <w:bCs/>
          <w:sz w:val="24"/>
          <w:szCs w:val="24"/>
        </w:rPr>
        <w:t>e</w:t>
      </w:r>
      <w:r w:rsidRPr="00AF7252">
        <w:rPr>
          <w:rFonts w:ascii="Times New Roman" w:hAnsi="Times New Roman" w:cs="Times New Roman"/>
          <w:bCs/>
          <w:sz w:val="24"/>
          <w:szCs w:val="24"/>
        </w:rPr>
        <w:t xml:space="preserve"> application</w:t>
      </w:r>
      <w:r w:rsidR="00914CF3" w:rsidRPr="00AF7252">
        <w:rPr>
          <w:rFonts w:ascii="Times New Roman" w:hAnsi="Times New Roman" w:cs="Times New Roman"/>
          <w:bCs/>
          <w:sz w:val="24"/>
          <w:szCs w:val="24"/>
        </w:rPr>
        <w:t xml:space="preserve"> for discovery in </w:t>
      </w:r>
      <w:r w:rsidR="00914CF3" w:rsidRPr="00AF7252">
        <w:rPr>
          <w:rFonts w:ascii="Times New Roman" w:hAnsi="Times New Roman" w:cs="Times New Roman"/>
          <w:bCs/>
          <w:i/>
          <w:iCs/>
          <w:sz w:val="24"/>
          <w:szCs w:val="24"/>
        </w:rPr>
        <w:t xml:space="preserve">Ardila </w:t>
      </w:r>
      <w:r w:rsidR="00914CF3" w:rsidRPr="00AF7252">
        <w:rPr>
          <w:rFonts w:ascii="Times New Roman" w:hAnsi="Times New Roman" w:cs="Times New Roman"/>
          <w:bCs/>
          <w:sz w:val="24"/>
          <w:szCs w:val="24"/>
        </w:rPr>
        <w:t xml:space="preserve">the </w:t>
      </w:r>
      <w:r w:rsidR="00C453F2" w:rsidRPr="00AF7252">
        <w:rPr>
          <w:rFonts w:ascii="Times New Roman" w:hAnsi="Times New Roman" w:cs="Times New Roman"/>
          <w:bCs/>
          <w:sz w:val="24"/>
          <w:szCs w:val="24"/>
        </w:rPr>
        <w:t>c</w:t>
      </w:r>
      <w:r w:rsidR="00914CF3" w:rsidRPr="00AF7252">
        <w:rPr>
          <w:rFonts w:ascii="Times New Roman" w:hAnsi="Times New Roman" w:cs="Times New Roman"/>
          <w:bCs/>
          <w:sz w:val="24"/>
          <w:szCs w:val="24"/>
        </w:rPr>
        <w:t>laimant relied upon the</w:t>
      </w:r>
      <w:r w:rsidR="00985EEB" w:rsidRPr="00AF7252">
        <w:rPr>
          <w:rFonts w:ascii="Times New Roman" w:hAnsi="Times New Roman" w:cs="Times New Roman"/>
          <w:bCs/>
          <w:sz w:val="24"/>
          <w:szCs w:val="24"/>
        </w:rPr>
        <w:t xml:space="preserve"> obligations undertaken by ENRC in the share purchase agreement which was the subject matter</w:t>
      </w:r>
      <w:r w:rsidR="005A343D" w:rsidRPr="00AF7252">
        <w:rPr>
          <w:rFonts w:ascii="Times New Roman" w:hAnsi="Times New Roman" w:cs="Times New Roman"/>
          <w:bCs/>
          <w:sz w:val="24"/>
          <w:szCs w:val="24"/>
        </w:rPr>
        <w:t xml:space="preserve"> of the litigation.</w:t>
      </w:r>
      <w:r w:rsidR="006E74C6" w:rsidRPr="00AF7252">
        <w:rPr>
          <w:rFonts w:ascii="Times New Roman" w:hAnsi="Times New Roman" w:cs="Times New Roman"/>
          <w:bCs/>
          <w:sz w:val="24"/>
          <w:szCs w:val="24"/>
        </w:rPr>
        <w:t xml:space="preserve"> In particular, ENRC undertook</w:t>
      </w:r>
      <w:r w:rsidR="00C453F2" w:rsidRPr="00AF7252">
        <w:rPr>
          <w:rFonts w:ascii="Times New Roman" w:hAnsi="Times New Roman" w:cs="Times New Roman"/>
          <w:bCs/>
          <w:sz w:val="24"/>
          <w:szCs w:val="24"/>
        </w:rPr>
        <w:t xml:space="preserve"> to keep the claimant</w:t>
      </w:r>
      <w:r w:rsidR="00C4128B" w:rsidRPr="00AF7252">
        <w:rPr>
          <w:rFonts w:ascii="Times New Roman" w:hAnsi="Times New Roman" w:cs="Times New Roman"/>
          <w:bCs/>
          <w:sz w:val="24"/>
          <w:szCs w:val="24"/>
        </w:rPr>
        <w:t xml:space="preserve"> fully informed in respect of the subsidiary’s progress in satisfying each of the payment conditions described, including by</w:t>
      </w:r>
      <w:r w:rsidR="00E1136C" w:rsidRPr="00AF7252">
        <w:rPr>
          <w:rFonts w:ascii="Times New Roman" w:hAnsi="Times New Roman" w:cs="Times New Roman"/>
          <w:bCs/>
          <w:sz w:val="24"/>
          <w:szCs w:val="24"/>
        </w:rPr>
        <w:t xml:space="preserve"> </w:t>
      </w:r>
      <w:r w:rsidR="00F31EAD" w:rsidRPr="00AF7252">
        <w:rPr>
          <w:rFonts w:ascii="Times New Roman" w:hAnsi="Times New Roman" w:cs="Times New Roman"/>
          <w:bCs/>
          <w:i/>
          <w:iCs/>
          <w:sz w:val="24"/>
          <w:szCs w:val="24"/>
        </w:rPr>
        <w:t xml:space="preserve">"… upon the reasonable request of the seller, promptly make any director, officer or employee of </w:t>
      </w:r>
      <w:r w:rsidR="00F31EAD" w:rsidRPr="00AF7252">
        <w:rPr>
          <w:rFonts w:ascii="Times New Roman" w:hAnsi="Times New Roman" w:cs="Times New Roman"/>
          <w:b/>
          <w:i/>
          <w:iCs/>
          <w:sz w:val="24"/>
          <w:szCs w:val="24"/>
        </w:rPr>
        <w:t xml:space="preserve">any target group </w:t>
      </w:r>
      <w:r w:rsidR="00645F7F" w:rsidRPr="00AF7252">
        <w:rPr>
          <w:rFonts w:ascii="Times New Roman" w:hAnsi="Times New Roman" w:cs="Times New Roman"/>
          <w:b/>
          <w:i/>
          <w:iCs/>
          <w:sz w:val="24"/>
          <w:szCs w:val="24"/>
        </w:rPr>
        <w:t>Company</w:t>
      </w:r>
      <w:r w:rsidR="00F31EAD" w:rsidRPr="00AF7252">
        <w:rPr>
          <w:rFonts w:ascii="Times New Roman" w:hAnsi="Times New Roman" w:cs="Times New Roman"/>
          <w:bCs/>
          <w:i/>
          <w:iCs/>
          <w:sz w:val="24"/>
          <w:szCs w:val="24"/>
        </w:rPr>
        <w:t xml:space="preserve"> as may reasonably be requested by the seller, available to cooperate with </w:t>
      </w:r>
      <w:r w:rsidR="00F31EAD" w:rsidRPr="00AF7252">
        <w:rPr>
          <w:rFonts w:ascii="Times New Roman" w:hAnsi="Times New Roman" w:cs="Times New Roman"/>
          <w:b/>
          <w:i/>
          <w:iCs/>
          <w:sz w:val="24"/>
          <w:szCs w:val="24"/>
        </w:rPr>
        <w:t>and provide all necessary information and assistance required or reasonably requested by the seller</w:t>
      </w:r>
      <w:r w:rsidR="00F31EAD" w:rsidRPr="00AF7252">
        <w:rPr>
          <w:rFonts w:ascii="Times New Roman" w:hAnsi="Times New Roman" w:cs="Times New Roman"/>
          <w:bCs/>
          <w:i/>
          <w:iCs/>
          <w:sz w:val="24"/>
          <w:szCs w:val="24"/>
        </w:rPr>
        <w:t>, [various Brazilian Governmental bodies] or any other Governmental authority in order to facilitate the expedient satisfaction of the conditions described in sub-clause 3.4 of this agreement and in order to assist the seller in monitoring compliance by the purchaser with the terms of this schedule 1."</w:t>
      </w:r>
      <w:r w:rsidR="009517B4" w:rsidRPr="00AF7252">
        <w:rPr>
          <w:rFonts w:ascii="Times New Roman" w:hAnsi="Times New Roman" w:cs="Times New Roman"/>
          <w:bCs/>
          <w:sz w:val="24"/>
          <w:szCs w:val="24"/>
        </w:rPr>
        <w:t xml:space="preserve"> (emphasis added)</w:t>
      </w:r>
    </w:p>
    <w:p w14:paraId="7451AA5A" w14:textId="77777777" w:rsidR="00D60026" w:rsidRPr="00FF1D34" w:rsidRDefault="00D60026" w:rsidP="001278C2">
      <w:pPr>
        <w:spacing w:before="120" w:line="360" w:lineRule="auto"/>
        <w:ind w:left="720"/>
        <w:rPr>
          <w:rFonts w:ascii="Times New Roman" w:hAnsi="Times New Roman" w:cs="Times New Roman"/>
          <w:bCs/>
          <w:sz w:val="24"/>
          <w:szCs w:val="24"/>
        </w:rPr>
      </w:pPr>
    </w:p>
    <w:p w14:paraId="50ACC539" w14:textId="2EB84C07" w:rsidR="000D2175" w:rsidRPr="00AF7252" w:rsidRDefault="00FF1D34" w:rsidP="00AF7252">
      <w:pPr>
        <w:pStyle w:val="ListParagraph"/>
        <w:numPr>
          <w:ilvl w:val="0"/>
          <w:numId w:val="1"/>
        </w:numPr>
        <w:spacing w:before="120" w:line="360" w:lineRule="auto"/>
        <w:jc w:val="both"/>
        <w:rPr>
          <w:rFonts w:ascii="Times New Roman" w:hAnsi="Times New Roman" w:cs="Times New Roman"/>
          <w:bCs/>
          <w:sz w:val="24"/>
          <w:szCs w:val="24"/>
        </w:rPr>
      </w:pPr>
      <w:r w:rsidRPr="00AF7252">
        <w:rPr>
          <w:rFonts w:ascii="Times New Roman" w:hAnsi="Times New Roman" w:cs="Times New Roman"/>
          <w:bCs/>
          <w:sz w:val="24"/>
          <w:szCs w:val="24"/>
        </w:rPr>
        <w:t>Mal</w:t>
      </w:r>
      <w:r w:rsidR="00FC3997" w:rsidRPr="00AF7252">
        <w:rPr>
          <w:rFonts w:ascii="Times New Roman" w:hAnsi="Times New Roman" w:cs="Times New Roman"/>
          <w:bCs/>
          <w:sz w:val="24"/>
          <w:szCs w:val="24"/>
        </w:rPr>
        <w:t>es</w:t>
      </w:r>
      <w:r w:rsidRPr="00AF7252">
        <w:rPr>
          <w:rFonts w:ascii="Times New Roman" w:hAnsi="Times New Roman" w:cs="Times New Roman"/>
          <w:bCs/>
          <w:sz w:val="24"/>
          <w:szCs w:val="24"/>
        </w:rPr>
        <w:t xml:space="preserve"> J</w:t>
      </w:r>
      <w:r w:rsidR="00E5007A" w:rsidRPr="00AF7252">
        <w:rPr>
          <w:rFonts w:ascii="Times New Roman" w:hAnsi="Times New Roman" w:cs="Times New Roman"/>
          <w:bCs/>
          <w:sz w:val="24"/>
          <w:szCs w:val="24"/>
        </w:rPr>
        <w:t xml:space="preserve"> held at [17] that the above obligation undertaken by ENRC in the share purchase agreement</w:t>
      </w:r>
      <w:r w:rsidR="006573D2" w:rsidRPr="00AF7252">
        <w:rPr>
          <w:rFonts w:ascii="Times New Roman" w:hAnsi="Times New Roman" w:cs="Times New Roman"/>
          <w:bCs/>
          <w:sz w:val="24"/>
          <w:szCs w:val="24"/>
        </w:rPr>
        <w:t xml:space="preserve"> demonstrated that ENRC expected its subsidiaries to </w:t>
      </w:r>
      <w:r w:rsidR="00335CBF" w:rsidRPr="00AF7252">
        <w:rPr>
          <w:rFonts w:ascii="Times New Roman" w:hAnsi="Times New Roman" w:cs="Times New Roman"/>
          <w:bCs/>
          <w:sz w:val="24"/>
          <w:szCs w:val="24"/>
        </w:rPr>
        <w:t>perform those obligations but did not amount</w:t>
      </w:r>
      <w:r w:rsidR="00F7300D" w:rsidRPr="00AF7252">
        <w:rPr>
          <w:rFonts w:ascii="Times New Roman" w:hAnsi="Times New Roman" w:cs="Times New Roman"/>
          <w:bCs/>
          <w:sz w:val="24"/>
          <w:szCs w:val="24"/>
        </w:rPr>
        <w:t xml:space="preserve"> any understanding of arrangement which would enable ENRC to have free access to all of the subsidiaries</w:t>
      </w:r>
      <w:r w:rsidR="004D2016" w:rsidRPr="00AF7252">
        <w:rPr>
          <w:rFonts w:ascii="Times New Roman" w:hAnsi="Times New Roman" w:cs="Times New Roman"/>
          <w:bCs/>
          <w:sz w:val="24"/>
          <w:szCs w:val="24"/>
        </w:rPr>
        <w:t>’</w:t>
      </w:r>
      <w:r w:rsidR="00F7300D" w:rsidRPr="00AF7252">
        <w:rPr>
          <w:rFonts w:ascii="Times New Roman" w:hAnsi="Times New Roman" w:cs="Times New Roman"/>
          <w:bCs/>
          <w:sz w:val="24"/>
          <w:szCs w:val="24"/>
        </w:rPr>
        <w:t xml:space="preserve"> documents:</w:t>
      </w:r>
    </w:p>
    <w:p w14:paraId="16F242AA" w14:textId="0BF0B748" w:rsidR="00F7300D" w:rsidRDefault="000E4787" w:rsidP="00DB1482">
      <w:pPr>
        <w:spacing w:before="120" w:line="276" w:lineRule="auto"/>
        <w:ind w:left="720"/>
        <w:rPr>
          <w:rFonts w:ascii="Times New Roman" w:hAnsi="Times New Roman" w:cs="Times New Roman"/>
          <w:bCs/>
          <w:i/>
          <w:iCs/>
          <w:sz w:val="24"/>
          <w:szCs w:val="24"/>
        </w:rPr>
      </w:pPr>
      <w:r w:rsidRPr="00B9329C">
        <w:rPr>
          <w:rFonts w:ascii="Times New Roman" w:hAnsi="Times New Roman" w:cs="Times New Roman"/>
          <w:bCs/>
          <w:i/>
          <w:iCs/>
          <w:sz w:val="24"/>
          <w:szCs w:val="24"/>
        </w:rPr>
        <w:t xml:space="preserve">The fact that ENRC undertook these obligations certainly demonstrates, as it accepts, an expectation on its part that it would be able to ensure that Bamin and any other subsidiaries did what was necessary to enable ENRC to perform those obligations. It seems to me, however, that extensive as those obligations are, they fall well short of any understanding or arrangement which would enable ENRC to have free access to all of Bamin's or other subsidiaries' documents. It is one thing to undertake specific obligations of that nature, it is quite another to permit free range through the documents, including those held electronically, of the subsidiary </w:t>
      </w:r>
      <w:r w:rsidR="00645F7F">
        <w:rPr>
          <w:rFonts w:ascii="Times New Roman" w:hAnsi="Times New Roman" w:cs="Times New Roman"/>
          <w:bCs/>
          <w:i/>
          <w:iCs/>
          <w:sz w:val="24"/>
          <w:szCs w:val="24"/>
        </w:rPr>
        <w:t>Company</w:t>
      </w:r>
      <w:r w:rsidRPr="00B9329C">
        <w:rPr>
          <w:rFonts w:ascii="Times New Roman" w:hAnsi="Times New Roman" w:cs="Times New Roman"/>
          <w:bCs/>
          <w:i/>
          <w:iCs/>
          <w:sz w:val="24"/>
          <w:szCs w:val="24"/>
        </w:rPr>
        <w:t>, potentially extending much more widely.</w:t>
      </w:r>
    </w:p>
    <w:p w14:paraId="5F0E1C87" w14:textId="77777777" w:rsidR="003F0FC1" w:rsidRPr="009D7072" w:rsidRDefault="003F0FC1" w:rsidP="001278C2">
      <w:pPr>
        <w:spacing w:before="120" w:line="360" w:lineRule="auto"/>
        <w:ind w:left="720"/>
        <w:rPr>
          <w:rFonts w:ascii="Times New Roman" w:hAnsi="Times New Roman" w:cs="Times New Roman"/>
          <w:bCs/>
          <w:sz w:val="24"/>
          <w:szCs w:val="24"/>
        </w:rPr>
      </w:pPr>
    </w:p>
    <w:p w14:paraId="54463D98" w14:textId="1876E25B" w:rsidR="003F0FC1" w:rsidRPr="00AF7252" w:rsidRDefault="00A62350" w:rsidP="00AF7252">
      <w:pPr>
        <w:pStyle w:val="ListParagraph"/>
        <w:numPr>
          <w:ilvl w:val="0"/>
          <w:numId w:val="1"/>
        </w:numPr>
        <w:spacing w:before="120" w:line="360" w:lineRule="auto"/>
        <w:jc w:val="both"/>
        <w:rPr>
          <w:rFonts w:ascii="Times New Roman" w:hAnsi="Times New Roman" w:cs="Times New Roman"/>
          <w:bCs/>
          <w:sz w:val="24"/>
          <w:szCs w:val="24"/>
        </w:rPr>
      </w:pPr>
      <w:r w:rsidRPr="00AF7252">
        <w:rPr>
          <w:rFonts w:ascii="Times New Roman" w:hAnsi="Times New Roman" w:cs="Times New Roman"/>
          <w:bCs/>
          <w:sz w:val="24"/>
          <w:szCs w:val="24"/>
        </w:rPr>
        <w:t>The</w:t>
      </w:r>
      <w:r w:rsidR="00C67BC5" w:rsidRPr="00AF7252">
        <w:rPr>
          <w:rFonts w:ascii="Times New Roman" w:hAnsi="Times New Roman" w:cs="Times New Roman"/>
          <w:bCs/>
          <w:sz w:val="24"/>
          <w:szCs w:val="24"/>
        </w:rPr>
        <w:t xml:space="preserve"> claimant in</w:t>
      </w:r>
      <w:r w:rsidR="00C67BC5" w:rsidRPr="00AF7252">
        <w:rPr>
          <w:rFonts w:ascii="Times New Roman" w:hAnsi="Times New Roman" w:cs="Times New Roman"/>
          <w:bCs/>
          <w:i/>
          <w:iCs/>
          <w:sz w:val="24"/>
          <w:szCs w:val="24"/>
        </w:rPr>
        <w:t xml:space="preserve"> Ardila</w:t>
      </w:r>
      <w:r w:rsidR="00C67BC5" w:rsidRPr="00AF7252">
        <w:rPr>
          <w:rFonts w:ascii="Times New Roman" w:hAnsi="Times New Roman" w:cs="Times New Roman"/>
          <w:bCs/>
          <w:sz w:val="24"/>
          <w:szCs w:val="24"/>
        </w:rPr>
        <w:t xml:space="preserve"> also relied upon the evidence of the Group General Counsel of the parent </w:t>
      </w:r>
      <w:r w:rsidR="00C915ED" w:rsidRPr="00AF7252">
        <w:rPr>
          <w:rFonts w:ascii="Times New Roman" w:hAnsi="Times New Roman" w:cs="Times New Roman"/>
          <w:bCs/>
          <w:sz w:val="24"/>
          <w:szCs w:val="24"/>
        </w:rPr>
        <w:t>c</w:t>
      </w:r>
      <w:r w:rsidR="00645F7F" w:rsidRPr="00AF7252">
        <w:rPr>
          <w:rFonts w:ascii="Times New Roman" w:hAnsi="Times New Roman" w:cs="Times New Roman"/>
          <w:bCs/>
          <w:sz w:val="24"/>
          <w:szCs w:val="24"/>
        </w:rPr>
        <w:t>ompany</w:t>
      </w:r>
      <w:r w:rsidR="00287CCA" w:rsidRPr="00AF7252">
        <w:rPr>
          <w:rFonts w:ascii="Times New Roman" w:hAnsi="Times New Roman" w:cs="Times New Roman"/>
          <w:bCs/>
          <w:sz w:val="24"/>
          <w:szCs w:val="24"/>
        </w:rPr>
        <w:t xml:space="preserve"> to demonstrate that there was the necessary arrangement or understanding</w:t>
      </w:r>
      <w:r w:rsidR="009D7072" w:rsidRPr="00AF7252">
        <w:rPr>
          <w:rFonts w:ascii="Times New Roman" w:hAnsi="Times New Roman" w:cs="Times New Roman"/>
          <w:bCs/>
          <w:sz w:val="24"/>
          <w:szCs w:val="24"/>
        </w:rPr>
        <w:t>. The evidence relied upon</w:t>
      </w:r>
      <w:r w:rsidR="00F91B2A" w:rsidRPr="00AF7252">
        <w:rPr>
          <w:rFonts w:ascii="Times New Roman" w:hAnsi="Times New Roman" w:cs="Times New Roman"/>
          <w:bCs/>
          <w:sz w:val="24"/>
          <w:szCs w:val="24"/>
        </w:rPr>
        <w:t xml:space="preserve"> comprised</w:t>
      </w:r>
      <w:r w:rsidR="00E97FE7" w:rsidRPr="00AF7252">
        <w:rPr>
          <w:rFonts w:ascii="Times New Roman" w:hAnsi="Times New Roman" w:cs="Times New Roman"/>
          <w:bCs/>
          <w:sz w:val="24"/>
          <w:szCs w:val="24"/>
        </w:rPr>
        <w:t xml:space="preserve"> the statements that (i) the subsidiaries, while indirectly owned by ENRC,</w:t>
      </w:r>
      <w:r w:rsidR="00CF5E1A" w:rsidRPr="00AF7252">
        <w:rPr>
          <w:rFonts w:ascii="Times New Roman" w:hAnsi="Times New Roman" w:cs="Times New Roman"/>
          <w:bCs/>
          <w:sz w:val="24"/>
          <w:szCs w:val="24"/>
        </w:rPr>
        <w:t xml:space="preserve"> were active companies with their own management structures and workforces and boards comprised of directors who exercise their own judgement in the day-to-day running of the respective companies; (ii)</w:t>
      </w:r>
      <w:r w:rsidR="00AB40FF" w:rsidRPr="00AF7252">
        <w:rPr>
          <w:rFonts w:ascii="Times New Roman" w:hAnsi="Times New Roman" w:cs="Times New Roman"/>
          <w:bCs/>
          <w:sz w:val="24"/>
          <w:szCs w:val="24"/>
        </w:rPr>
        <w:t xml:space="preserve"> the share purchase agreement was concluded in the “</w:t>
      </w:r>
      <w:r w:rsidR="00AB40FF" w:rsidRPr="00AF7252">
        <w:rPr>
          <w:rFonts w:ascii="Times New Roman" w:hAnsi="Times New Roman" w:cs="Times New Roman"/>
          <w:bCs/>
          <w:i/>
          <w:iCs/>
          <w:sz w:val="24"/>
          <w:szCs w:val="24"/>
        </w:rPr>
        <w:t xml:space="preserve">reasonable anticipation that the [subsidiaries] would cooperate with ENRC in seeking to achieve the </w:t>
      </w:r>
      <w:r w:rsidR="00645F7F" w:rsidRPr="00AF7252">
        <w:rPr>
          <w:rFonts w:ascii="Times New Roman" w:hAnsi="Times New Roman" w:cs="Times New Roman"/>
          <w:bCs/>
          <w:i/>
          <w:iCs/>
          <w:sz w:val="24"/>
          <w:szCs w:val="24"/>
        </w:rPr>
        <w:t>Company</w:t>
      </w:r>
      <w:r w:rsidR="00AB40FF" w:rsidRPr="00AF7252">
        <w:rPr>
          <w:rFonts w:ascii="Times New Roman" w:hAnsi="Times New Roman" w:cs="Times New Roman"/>
          <w:bCs/>
          <w:i/>
          <w:iCs/>
          <w:sz w:val="24"/>
          <w:szCs w:val="24"/>
        </w:rPr>
        <w:t>’s common goal</w:t>
      </w:r>
      <w:r w:rsidR="004938B1" w:rsidRPr="00AF7252">
        <w:rPr>
          <w:rFonts w:ascii="Times New Roman" w:hAnsi="Times New Roman" w:cs="Times New Roman"/>
          <w:bCs/>
          <w:sz w:val="24"/>
          <w:szCs w:val="24"/>
        </w:rPr>
        <w:t xml:space="preserve">” </w:t>
      </w:r>
      <w:r w:rsidR="009D738B" w:rsidRPr="00AF7252">
        <w:rPr>
          <w:rFonts w:ascii="Times New Roman" w:hAnsi="Times New Roman" w:cs="Times New Roman"/>
          <w:bCs/>
          <w:sz w:val="24"/>
          <w:szCs w:val="24"/>
        </w:rPr>
        <w:t>; and (iii) in order to deal with matters arising in the litigation, ENRC</w:t>
      </w:r>
      <w:r w:rsidR="009018DD" w:rsidRPr="00AF7252">
        <w:rPr>
          <w:rFonts w:ascii="Times New Roman" w:hAnsi="Times New Roman" w:cs="Times New Roman"/>
          <w:bCs/>
          <w:sz w:val="24"/>
          <w:szCs w:val="24"/>
        </w:rPr>
        <w:t xml:space="preserve"> had on occasion requested and the subsidiaries had consented to provide certain information and documents relating to the background</w:t>
      </w:r>
      <w:r w:rsidR="00D15DCD" w:rsidRPr="00AF7252">
        <w:rPr>
          <w:rFonts w:ascii="Times New Roman" w:hAnsi="Times New Roman" w:cs="Times New Roman"/>
          <w:bCs/>
          <w:sz w:val="24"/>
          <w:szCs w:val="24"/>
        </w:rPr>
        <w:t xml:space="preserve"> to the projects on which the claimant relied in support of its clients.</w:t>
      </w:r>
      <w:r w:rsidR="002534CD" w:rsidRPr="00AF7252">
        <w:rPr>
          <w:rFonts w:ascii="Times New Roman" w:hAnsi="Times New Roman" w:cs="Times New Roman"/>
          <w:bCs/>
          <w:sz w:val="24"/>
          <w:szCs w:val="24"/>
        </w:rPr>
        <w:t xml:space="preserve"> Males J held at [21] that he was not satisfied that</w:t>
      </w:r>
      <w:r w:rsidR="009C44E6" w:rsidRPr="00AF7252">
        <w:rPr>
          <w:rFonts w:ascii="Times New Roman" w:hAnsi="Times New Roman" w:cs="Times New Roman"/>
          <w:bCs/>
          <w:sz w:val="24"/>
          <w:szCs w:val="24"/>
        </w:rPr>
        <w:t xml:space="preserve"> this evidence demonstrated an understanding o</w:t>
      </w:r>
      <w:r w:rsidR="00221C6F" w:rsidRPr="00AF7252">
        <w:rPr>
          <w:rFonts w:ascii="Times New Roman" w:hAnsi="Times New Roman" w:cs="Times New Roman"/>
          <w:bCs/>
          <w:sz w:val="24"/>
          <w:szCs w:val="24"/>
        </w:rPr>
        <w:t xml:space="preserve">r </w:t>
      </w:r>
      <w:r w:rsidR="009C44E6" w:rsidRPr="00AF7252">
        <w:rPr>
          <w:rFonts w:ascii="Times New Roman" w:hAnsi="Times New Roman" w:cs="Times New Roman"/>
          <w:bCs/>
          <w:sz w:val="24"/>
          <w:szCs w:val="24"/>
        </w:rPr>
        <w:t xml:space="preserve">arrangement giving ENRC access to the </w:t>
      </w:r>
      <w:r w:rsidR="005806E6" w:rsidRPr="00AF7252">
        <w:rPr>
          <w:rFonts w:ascii="Times New Roman" w:hAnsi="Times New Roman" w:cs="Times New Roman"/>
          <w:bCs/>
          <w:sz w:val="24"/>
          <w:szCs w:val="24"/>
        </w:rPr>
        <w:t>subsidiaries’ documents</w:t>
      </w:r>
      <w:r w:rsidR="008652E5" w:rsidRPr="00AF7252">
        <w:rPr>
          <w:rFonts w:ascii="Times New Roman" w:hAnsi="Times New Roman" w:cs="Times New Roman"/>
          <w:bCs/>
          <w:sz w:val="24"/>
          <w:szCs w:val="24"/>
        </w:rPr>
        <w:t>:</w:t>
      </w:r>
    </w:p>
    <w:p w14:paraId="14C58A5B" w14:textId="17A6CD25" w:rsidR="008148E3" w:rsidRDefault="007C4259" w:rsidP="00DB1482">
      <w:pPr>
        <w:spacing w:before="120" w:line="276" w:lineRule="auto"/>
        <w:ind w:left="720"/>
        <w:rPr>
          <w:rFonts w:ascii="Times New Roman" w:hAnsi="Times New Roman" w:cs="Times New Roman"/>
          <w:bCs/>
          <w:sz w:val="24"/>
          <w:szCs w:val="24"/>
        </w:rPr>
      </w:pPr>
      <w:r w:rsidRPr="00BC4E83">
        <w:rPr>
          <w:rFonts w:ascii="Times New Roman" w:hAnsi="Times New Roman" w:cs="Times New Roman"/>
          <w:bCs/>
          <w:i/>
          <w:iCs/>
          <w:sz w:val="24"/>
          <w:szCs w:val="24"/>
        </w:rPr>
        <w:t>In my judgment, this material does not evidence any existing right or understanding or arrangement giving ENRC access to documents</w:t>
      </w:r>
      <w:r w:rsidRPr="006754AD">
        <w:rPr>
          <w:rFonts w:ascii="Times New Roman" w:hAnsi="Times New Roman" w:cs="Times New Roman"/>
          <w:b/>
          <w:i/>
          <w:iCs/>
          <w:sz w:val="24"/>
          <w:szCs w:val="24"/>
        </w:rPr>
        <w:t xml:space="preserve">. It is merely the evidence of the normal relationship that one would expect between a parent and subsidiary without the particular features of the </w:t>
      </w:r>
      <w:r w:rsidRPr="006754AD">
        <w:rPr>
          <w:rFonts w:ascii="Times New Roman" w:hAnsi="Times New Roman" w:cs="Times New Roman"/>
          <w:b/>
          <w:i/>
          <w:iCs/>
          <w:sz w:val="24"/>
          <w:szCs w:val="24"/>
          <w:u w:val="single"/>
        </w:rPr>
        <w:t>Schlumberger</w:t>
      </w:r>
      <w:r w:rsidRPr="006754AD">
        <w:rPr>
          <w:rFonts w:ascii="Times New Roman" w:hAnsi="Times New Roman" w:cs="Times New Roman"/>
          <w:b/>
          <w:i/>
          <w:iCs/>
          <w:sz w:val="24"/>
          <w:szCs w:val="24"/>
        </w:rPr>
        <w:t xml:space="preserve"> or </w:t>
      </w:r>
      <w:r w:rsidRPr="006754AD">
        <w:rPr>
          <w:rFonts w:ascii="Times New Roman" w:hAnsi="Times New Roman" w:cs="Times New Roman"/>
          <w:b/>
          <w:i/>
          <w:iCs/>
          <w:sz w:val="24"/>
          <w:szCs w:val="24"/>
          <w:u w:val="single"/>
        </w:rPr>
        <w:t>North Shore</w:t>
      </w:r>
      <w:r w:rsidRPr="006754AD">
        <w:rPr>
          <w:rFonts w:ascii="Times New Roman" w:hAnsi="Times New Roman" w:cs="Times New Roman"/>
          <w:b/>
          <w:i/>
          <w:iCs/>
          <w:sz w:val="24"/>
          <w:szCs w:val="24"/>
        </w:rPr>
        <w:t xml:space="preserve"> cases. Such cooperation as there may have been in the past as to compliance with specific requests, for example production of certain of the licences in issue, does not, in my judgment, amount to evidence that ENRC has the necessary control in the sense which the cases show is necessary over </w:t>
      </w:r>
      <w:r w:rsidR="0078477A" w:rsidRPr="006754AD">
        <w:rPr>
          <w:rFonts w:ascii="Times New Roman" w:hAnsi="Times New Roman" w:cs="Times New Roman"/>
          <w:b/>
          <w:i/>
          <w:iCs/>
          <w:sz w:val="24"/>
          <w:szCs w:val="24"/>
        </w:rPr>
        <w:t>[subsidiar</w:t>
      </w:r>
      <w:r w:rsidR="001B4F9E" w:rsidRPr="006754AD">
        <w:rPr>
          <w:rFonts w:ascii="Times New Roman" w:hAnsi="Times New Roman" w:cs="Times New Roman"/>
          <w:b/>
          <w:i/>
          <w:iCs/>
          <w:sz w:val="24"/>
          <w:szCs w:val="24"/>
        </w:rPr>
        <w:t>y</w:t>
      </w:r>
      <w:r w:rsidR="0078477A" w:rsidRPr="006754AD">
        <w:rPr>
          <w:rFonts w:ascii="Times New Roman" w:hAnsi="Times New Roman" w:cs="Times New Roman"/>
          <w:b/>
          <w:i/>
          <w:iCs/>
          <w:sz w:val="24"/>
          <w:szCs w:val="24"/>
        </w:rPr>
        <w:t>’</w:t>
      </w:r>
      <w:r w:rsidR="001B4F9E" w:rsidRPr="006754AD">
        <w:rPr>
          <w:rFonts w:ascii="Times New Roman" w:hAnsi="Times New Roman" w:cs="Times New Roman"/>
          <w:b/>
          <w:i/>
          <w:iCs/>
          <w:sz w:val="24"/>
          <w:szCs w:val="24"/>
        </w:rPr>
        <w:t>s</w:t>
      </w:r>
      <w:r w:rsidR="0078477A" w:rsidRPr="006754AD">
        <w:rPr>
          <w:rFonts w:ascii="Times New Roman" w:hAnsi="Times New Roman" w:cs="Times New Roman"/>
          <w:b/>
          <w:i/>
          <w:iCs/>
          <w:sz w:val="24"/>
          <w:szCs w:val="24"/>
        </w:rPr>
        <w:t>]</w:t>
      </w:r>
      <w:r w:rsidRPr="006754AD">
        <w:rPr>
          <w:rFonts w:ascii="Times New Roman" w:hAnsi="Times New Roman" w:cs="Times New Roman"/>
          <w:b/>
          <w:i/>
          <w:iCs/>
          <w:sz w:val="24"/>
          <w:szCs w:val="24"/>
        </w:rPr>
        <w:t xml:space="preserve"> documents</w:t>
      </w:r>
      <w:r w:rsidR="00BC4E83" w:rsidRPr="00BC4E83">
        <w:rPr>
          <w:rFonts w:ascii="Times New Roman" w:hAnsi="Times New Roman" w:cs="Times New Roman"/>
          <w:bCs/>
          <w:i/>
          <w:iCs/>
          <w:sz w:val="24"/>
          <w:szCs w:val="24"/>
        </w:rPr>
        <w:t>…</w:t>
      </w:r>
      <w:r w:rsidRPr="00BC4E83">
        <w:rPr>
          <w:rFonts w:ascii="Times New Roman" w:hAnsi="Times New Roman" w:cs="Times New Roman"/>
          <w:bCs/>
          <w:i/>
          <w:iCs/>
          <w:sz w:val="24"/>
          <w:szCs w:val="24"/>
        </w:rPr>
        <w:t xml:space="preserve"> </w:t>
      </w:r>
      <w:r w:rsidR="006754AD" w:rsidRPr="00FC3997">
        <w:rPr>
          <w:rFonts w:ascii="Times New Roman" w:hAnsi="Times New Roman" w:cs="Times New Roman"/>
          <w:bCs/>
          <w:sz w:val="24"/>
          <w:szCs w:val="24"/>
        </w:rPr>
        <w:t>(emphasis added)</w:t>
      </w:r>
    </w:p>
    <w:p w14:paraId="7518D13D" w14:textId="54201854" w:rsidR="00223D9B" w:rsidRDefault="00223D9B" w:rsidP="00DB1482">
      <w:pPr>
        <w:spacing w:before="120" w:line="276" w:lineRule="auto"/>
        <w:ind w:left="720"/>
        <w:rPr>
          <w:rFonts w:ascii="Times New Roman" w:hAnsi="Times New Roman" w:cs="Times New Roman"/>
          <w:bCs/>
          <w:sz w:val="24"/>
          <w:szCs w:val="24"/>
        </w:rPr>
      </w:pPr>
    </w:p>
    <w:p w14:paraId="6E52426D" w14:textId="77777777" w:rsidR="00223D9B" w:rsidRDefault="00223D9B" w:rsidP="00DB1482">
      <w:pPr>
        <w:spacing w:before="120" w:line="276" w:lineRule="auto"/>
        <w:ind w:left="720"/>
        <w:rPr>
          <w:rFonts w:ascii="Times New Roman" w:hAnsi="Times New Roman" w:cs="Times New Roman"/>
          <w:bCs/>
          <w:sz w:val="24"/>
          <w:szCs w:val="24"/>
        </w:rPr>
      </w:pPr>
    </w:p>
    <w:p w14:paraId="59F1393C" w14:textId="77777777" w:rsidR="00221C6F" w:rsidRDefault="00221C6F" w:rsidP="00BC4E83">
      <w:pPr>
        <w:spacing w:before="120" w:line="360" w:lineRule="auto"/>
        <w:ind w:left="720"/>
        <w:rPr>
          <w:rFonts w:ascii="Times New Roman" w:hAnsi="Times New Roman" w:cs="Times New Roman"/>
          <w:bCs/>
          <w:sz w:val="24"/>
          <w:szCs w:val="24"/>
        </w:rPr>
      </w:pPr>
    </w:p>
    <w:p w14:paraId="70B63A1A" w14:textId="22D4FEF2" w:rsidR="00221C6F" w:rsidRDefault="00111777" w:rsidP="00221C6F">
      <w:pPr>
        <w:spacing w:before="120" w:line="360" w:lineRule="auto"/>
        <w:rPr>
          <w:rFonts w:ascii="Times New Roman" w:hAnsi="Times New Roman" w:cs="Times New Roman"/>
          <w:b/>
          <w:i/>
          <w:iCs/>
          <w:sz w:val="24"/>
          <w:szCs w:val="24"/>
        </w:rPr>
      </w:pPr>
      <w:r w:rsidRPr="00111777">
        <w:rPr>
          <w:rFonts w:ascii="Times New Roman" w:hAnsi="Times New Roman" w:cs="Times New Roman"/>
          <w:b/>
          <w:i/>
          <w:iCs/>
          <w:sz w:val="24"/>
          <w:szCs w:val="24"/>
        </w:rPr>
        <w:t>Roman Pipia</w:t>
      </w:r>
    </w:p>
    <w:p w14:paraId="60D83B1B" w14:textId="6118045E" w:rsidR="00111777" w:rsidRDefault="00111777" w:rsidP="00221C6F">
      <w:pPr>
        <w:spacing w:before="120" w:line="360" w:lineRule="auto"/>
        <w:rPr>
          <w:rFonts w:ascii="Times New Roman" w:hAnsi="Times New Roman" w:cs="Times New Roman"/>
          <w:b/>
          <w:i/>
          <w:iCs/>
          <w:sz w:val="24"/>
          <w:szCs w:val="24"/>
        </w:rPr>
      </w:pPr>
    </w:p>
    <w:p w14:paraId="7DA66735" w14:textId="16C66D73" w:rsidR="004E666E" w:rsidRPr="00AF7252" w:rsidRDefault="005C11FC" w:rsidP="00AF7252">
      <w:pPr>
        <w:pStyle w:val="ListParagraph"/>
        <w:numPr>
          <w:ilvl w:val="0"/>
          <w:numId w:val="1"/>
        </w:numPr>
        <w:spacing w:before="120" w:line="360" w:lineRule="auto"/>
        <w:jc w:val="both"/>
        <w:rPr>
          <w:rFonts w:ascii="Times New Roman" w:hAnsi="Times New Roman" w:cs="Times New Roman"/>
          <w:bCs/>
          <w:sz w:val="24"/>
          <w:szCs w:val="24"/>
        </w:rPr>
      </w:pPr>
      <w:r w:rsidRPr="00AF7252">
        <w:rPr>
          <w:rFonts w:ascii="Times New Roman" w:hAnsi="Times New Roman" w:cs="Times New Roman"/>
          <w:bCs/>
          <w:sz w:val="24"/>
          <w:szCs w:val="24"/>
        </w:rPr>
        <w:t>In</w:t>
      </w:r>
      <w:r w:rsidRPr="00AF7252">
        <w:rPr>
          <w:rFonts w:ascii="Times New Roman" w:hAnsi="Times New Roman" w:cs="Times New Roman"/>
          <w:bCs/>
          <w:i/>
          <w:iCs/>
          <w:sz w:val="24"/>
          <w:szCs w:val="24"/>
        </w:rPr>
        <w:t xml:space="preserve"> </w:t>
      </w:r>
      <w:r w:rsidR="00A8066A" w:rsidRPr="00AF7252">
        <w:rPr>
          <w:rFonts w:ascii="Times New Roman" w:hAnsi="Times New Roman" w:cs="Times New Roman"/>
          <w:bCs/>
          <w:i/>
          <w:iCs/>
          <w:sz w:val="24"/>
          <w:szCs w:val="24"/>
        </w:rPr>
        <w:t>Pipia v BGEO Group Limited [2020]</w:t>
      </w:r>
      <w:r w:rsidR="00506EF3" w:rsidRPr="00AF7252">
        <w:rPr>
          <w:rFonts w:ascii="Times New Roman" w:hAnsi="Times New Roman" w:cs="Times New Roman"/>
          <w:bCs/>
          <w:i/>
          <w:iCs/>
          <w:sz w:val="24"/>
          <w:szCs w:val="24"/>
        </w:rPr>
        <w:t xml:space="preserve"> EWHC 402 (Comm)</w:t>
      </w:r>
      <w:r w:rsidR="00506EF3" w:rsidRPr="00AF7252">
        <w:rPr>
          <w:rFonts w:ascii="Times New Roman" w:hAnsi="Times New Roman" w:cs="Times New Roman"/>
          <w:bCs/>
          <w:sz w:val="24"/>
          <w:szCs w:val="24"/>
        </w:rPr>
        <w:t>,</w:t>
      </w:r>
      <w:r w:rsidR="00283E18" w:rsidRPr="00AF7252">
        <w:rPr>
          <w:rFonts w:ascii="Times New Roman" w:hAnsi="Times New Roman" w:cs="Times New Roman"/>
          <w:bCs/>
          <w:sz w:val="24"/>
          <w:szCs w:val="24"/>
        </w:rPr>
        <w:t xml:space="preserve"> the defendant had written letters to its subsidiaries, which they countersigned, </w:t>
      </w:r>
      <w:r w:rsidR="00804555" w:rsidRPr="00AF7252">
        <w:rPr>
          <w:rFonts w:ascii="Times New Roman" w:hAnsi="Times New Roman" w:cs="Times New Roman"/>
          <w:bCs/>
          <w:sz w:val="24"/>
          <w:szCs w:val="24"/>
        </w:rPr>
        <w:t>seeking</w:t>
      </w:r>
      <w:r w:rsidR="00283E18" w:rsidRPr="00AF7252">
        <w:rPr>
          <w:rFonts w:ascii="Times New Roman" w:hAnsi="Times New Roman" w:cs="Times New Roman"/>
          <w:bCs/>
          <w:sz w:val="24"/>
          <w:szCs w:val="24"/>
        </w:rPr>
        <w:t xml:space="preserve"> documents from the</w:t>
      </w:r>
      <w:r w:rsidR="00090F29" w:rsidRPr="00AF7252">
        <w:rPr>
          <w:rFonts w:ascii="Times New Roman" w:hAnsi="Times New Roman" w:cs="Times New Roman"/>
          <w:bCs/>
          <w:sz w:val="24"/>
          <w:szCs w:val="24"/>
        </w:rPr>
        <w:t>m</w:t>
      </w:r>
      <w:r w:rsidR="00283E18" w:rsidRPr="00AF7252">
        <w:rPr>
          <w:rFonts w:ascii="Times New Roman" w:hAnsi="Times New Roman" w:cs="Times New Roman"/>
          <w:bCs/>
          <w:sz w:val="24"/>
          <w:szCs w:val="24"/>
        </w:rPr>
        <w:t xml:space="preserve"> which were included in the defendant</w:t>
      </w:r>
      <w:r w:rsidR="000F00BE" w:rsidRPr="00AF7252">
        <w:rPr>
          <w:rFonts w:ascii="Times New Roman" w:hAnsi="Times New Roman" w:cs="Times New Roman"/>
          <w:bCs/>
          <w:sz w:val="24"/>
          <w:szCs w:val="24"/>
        </w:rPr>
        <w:t>’</w:t>
      </w:r>
      <w:r w:rsidR="00283E18" w:rsidRPr="00AF7252">
        <w:rPr>
          <w:rFonts w:ascii="Times New Roman" w:hAnsi="Times New Roman" w:cs="Times New Roman"/>
          <w:bCs/>
          <w:sz w:val="24"/>
          <w:szCs w:val="24"/>
        </w:rPr>
        <w:t>s initial disclosure</w:t>
      </w:r>
      <w:r w:rsidR="000F00BE" w:rsidRPr="00AF7252">
        <w:rPr>
          <w:rFonts w:ascii="Times New Roman" w:hAnsi="Times New Roman" w:cs="Times New Roman"/>
          <w:bCs/>
          <w:sz w:val="24"/>
          <w:szCs w:val="24"/>
        </w:rPr>
        <w:t>. The defendant’s additional request to be provided with open access</w:t>
      </w:r>
      <w:r w:rsidR="00755E0D" w:rsidRPr="00AF7252">
        <w:rPr>
          <w:rFonts w:ascii="Times New Roman" w:hAnsi="Times New Roman" w:cs="Times New Roman"/>
          <w:bCs/>
          <w:sz w:val="24"/>
          <w:szCs w:val="24"/>
        </w:rPr>
        <w:t xml:space="preserve"> to the subsidiaries’ documents </w:t>
      </w:r>
      <w:r w:rsidR="00BF672E" w:rsidRPr="00AF7252">
        <w:rPr>
          <w:rFonts w:ascii="Times New Roman" w:hAnsi="Times New Roman" w:cs="Times New Roman"/>
          <w:bCs/>
          <w:sz w:val="24"/>
          <w:szCs w:val="24"/>
        </w:rPr>
        <w:t>s</w:t>
      </w:r>
      <w:r w:rsidR="00755E0D" w:rsidRPr="00AF7252">
        <w:rPr>
          <w:rFonts w:ascii="Times New Roman" w:hAnsi="Times New Roman" w:cs="Times New Roman"/>
          <w:bCs/>
          <w:sz w:val="24"/>
          <w:szCs w:val="24"/>
        </w:rPr>
        <w:t>o their solicitors</w:t>
      </w:r>
      <w:r w:rsidR="00BF672E" w:rsidRPr="00AF7252">
        <w:rPr>
          <w:rFonts w:ascii="Times New Roman" w:hAnsi="Times New Roman" w:cs="Times New Roman"/>
          <w:bCs/>
          <w:sz w:val="24"/>
          <w:szCs w:val="24"/>
        </w:rPr>
        <w:t xml:space="preserve"> could search them were refused by the subsidiaries. In this context an issue arose as to whether the defendant had control over the</w:t>
      </w:r>
      <w:r w:rsidR="00382244" w:rsidRPr="00AF7252">
        <w:rPr>
          <w:rFonts w:ascii="Times New Roman" w:hAnsi="Times New Roman" w:cs="Times New Roman"/>
          <w:bCs/>
          <w:sz w:val="24"/>
          <w:szCs w:val="24"/>
        </w:rPr>
        <w:t xml:space="preserve"> subsidiaries</w:t>
      </w:r>
      <w:r w:rsidR="00E874CE" w:rsidRPr="00AF7252">
        <w:rPr>
          <w:rFonts w:ascii="Times New Roman" w:hAnsi="Times New Roman" w:cs="Times New Roman"/>
          <w:bCs/>
          <w:sz w:val="24"/>
          <w:szCs w:val="24"/>
        </w:rPr>
        <w:t>’</w:t>
      </w:r>
      <w:r w:rsidR="00382244" w:rsidRPr="00AF7252">
        <w:rPr>
          <w:rFonts w:ascii="Times New Roman" w:hAnsi="Times New Roman" w:cs="Times New Roman"/>
          <w:bCs/>
          <w:sz w:val="24"/>
          <w:szCs w:val="24"/>
        </w:rPr>
        <w:t xml:space="preserve"> documents.</w:t>
      </w:r>
    </w:p>
    <w:p w14:paraId="7AE76B9E" w14:textId="77777777" w:rsidR="00A01DE1" w:rsidRDefault="00A01DE1" w:rsidP="00221C6F">
      <w:pPr>
        <w:spacing w:before="120" w:line="360" w:lineRule="auto"/>
        <w:rPr>
          <w:rFonts w:ascii="Times New Roman" w:hAnsi="Times New Roman" w:cs="Times New Roman"/>
          <w:bCs/>
          <w:sz w:val="24"/>
          <w:szCs w:val="24"/>
        </w:rPr>
      </w:pPr>
    </w:p>
    <w:p w14:paraId="18B6F79B" w14:textId="07911F89" w:rsidR="00A01DE1" w:rsidRPr="00AF7252" w:rsidRDefault="00275EF4" w:rsidP="00AF7252">
      <w:pPr>
        <w:pStyle w:val="ListParagraph"/>
        <w:numPr>
          <w:ilvl w:val="0"/>
          <w:numId w:val="1"/>
        </w:numPr>
        <w:spacing w:before="120" w:line="360" w:lineRule="auto"/>
        <w:jc w:val="both"/>
        <w:rPr>
          <w:rFonts w:ascii="Times New Roman" w:hAnsi="Times New Roman" w:cs="Times New Roman"/>
          <w:bCs/>
          <w:iCs/>
          <w:sz w:val="24"/>
          <w:szCs w:val="24"/>
        </w:rPr>
      </w:pPr>
      <w:r w:rsidRPr="00AF7252">
        <w:rPr>
          <w:rFonts w:ascii="Times New Roman" w:hAnsi="Times New Roman" w:cs="Times New Roman"/>
          <w:bCs/>
          <w:iCs/>
          <w:sz w:val="24"/>
          <w:szCs w:val="24"/>
        </w:rPr>
        <w:t>The primary submission of the claimant in relation to the issue of control</w:t>
      </w:r>
      <w:r w:rsidR="00B55D34" w:rsidRPr="00AF7252">
        <w:rPr>
          <w:rFonts w:ascii="Times New Roman" w:hAnsi="Times New Roman" w:cs="Times New Roman"/>
          <w:bCs/>
          <w:iCs/>
          <w:sz w:val="24"/>
          <w:szCs w:val="24"/>
        </w:rPr>
        <w:t xml:space="preserve"> was not in fact based upon the letter agreement by the subsidiaries. Instead, the claimant contended that</w:t>
      </w:r>
      <w:r w:rsidR="00591FB6" w:rsidRPr="00AF7252">
        <w:rPr>
          <w:rFonts w:ascii="Times New Roman" w:hAnsi="Times New Roman" w:cs="Times New Roman"/>
          <w:bCs/>
          <w:iCs/>
          <w:sz w:val="24"/>
          <w:szCs w:val="24"/>
        </w:rPr>
        <w:t xml:space="preserve"> a more wide-ranging, general control arrangement was in place prior to and independently of the </w:t>
      </w:r>
      <w:r w:rsidR="00873CE6" w:rsidRPr="00AF7252">
        <w:rPr>
          <w:rFonts w:ascii="Times New Roman" w:hAnsi="Times New Roman" w:cs="Times New Roman"/>
          <w:bCs/>
          <w:iCs/>
          <w:sz w:val="24"/>
          <w:szCs w:val="24"/>
        </w:rPr>
        <w:t>letters and</w:t>
      </w:r>
      <w:r w:rsidR="00591FB6" w:rsidRPr="00AF7252">
        <w:rPr>
          <w:rFonts w:ascii="Times New Roman" w:hAnsi="Times New Roman" w:cs="Times New Roman"/>
          <w:bCs/>
          <w:iCs/>
          <w:sz w:val="24"/>
          <w:szCs w:val="24"/>
        </w:rPr>
        <w:t xml:space="preserve"> had not been terminated</w:t>
      </w:r>
      <w:r w:rsidR="00694021" w:rsidRPr="00AF7252">
        <w:rPr>
          <w:rFonts w:ascii="Times New Roman" w:hAnsi="Times New Roman" w:cs="Times New Roman"/>
          <w:bCs/>
          <w:iCs/>
          <w:sz w:val="24"/>
          <w:szCs w:val="24"/>
        </w:rPr>
        <w:t>. The claimant submitted that the court should infer the existence of such a control arrangement</w:t>
      </w:r>
      <w:r w:rsidR="004E41BB" w:rsidRPr="00AF7252">
        <w:rPr>
          <w:rFonts w:ascii="Times New Roman" w:hAnsi="Times New Roman" w:cs="Times New Roman"/>
          <w:bCs/>
          <w:iCs/>
          <w:sz w:val="24"/>
          <w:szCs w:val="24"/>
        </w:rPr>
        <w:t xml:space="preserve"> from the facts that (i)</w:t>
      </w:r>
      <w:r w:rsidR="00254AF8" w:rsidRPr="00AF7252">
        <w:rPr>
          <w:rFonts w:ascii="Times New Roman" w:hAnsi="Times New Roman" w:cs="Times New Roman"/>
          <w:bCs/>
          <w:iCs/>
          <w:sz w:val="24"/>
          <w:szCs w:val="24"/>
        </w:rPr>
        <w:t xml:space="preserve"> there was a common directing mind throughout the group, Mr Gilauri</w:t>
      </w:r>
      <w:r w:rsidR="003B15C3" w:rsidRPr="00AF7252">
        <w:rPr>
          <w:rFonts w:ascii="Times New Roman" w:hAnsi="Times New Roman" w:cs="Times New Roman"/>
          <w:bCs/>
          <w:iCs/>
          <w:sz w:val="24"/>
          <w:szCs w:val="24"/>
        </w:rPr>
        <w:t>, who “</w:t>
      </w:r>
      <w:r w:rsidR="003B15C3" w:rsidRPr="00AF7252">
        <w:rPr>
          <w:rFonts w:ascii="Times New Roman" w:hAnsi="Times New Roman" w:cs="Times New Roman"/>
          <w:bCs/>
          <w:i/>
          <w:sz w:val="24"/>
          <w:szCs w:val="24"/>
        </w:rPr>
        <w:t>must have had access</w:t>
      </w:r>
      <w:r w:rsidR="003B15C3" w:rsidRPr="00AF7252">
        <w:rPr>
          <w:rFonts w:ascii="Times New Roman" w:hAnsi="Times New Roman" w:cs="Times New Roman"/>
          <w:bCs/>
          <w:iCs/>
          <w:sz w:val="24"/>
          <w:szCs w:val="24"/>
        </w:rPr>
        <w:t>” to the subsidiaries’</w:t>
      </w:r>
      <w:r w:rsidR="00651E24" w:rsidRPr="00AF7252">
        <w:rPr>
          <w:rFonts w:ascii="Times New Roman" w:hAnsi="Times New Roman" w:cs="Times New Roman"/>
          <w:bCs/>
          <w:iCs/>
          <w:sz w:val="24"/>
          <w:szCs w:val="24"/>
        </w:rPr>
        <w:t xml:space="preserve"> documents; (ii) the minutes of a board meeting of the defendant gr</w:t>
      </w:r>
      <w:r w:rsidR="0068664D" w:rsidRPr="00AF7252">
        <w:rPr>
          <w:rFonts w:ascii="Times New Roman" w:hAnsi="Times New Roman" w:cs="Times New Roman"/>
          <w:bCs/>
          <w:iCs/>
          <w:sz w:val="24"/>
          <w:szCs w:val="24"/>
        </w:rPr>
        <w:t>a</w:t>
      </w:r>
      <w:r w:rsidR="00651E24" w:rsidRPr="00AF7252">
        <w:rPr>
          <w:rFonts w:ascii="Times New Roman" w:hAnsi="Times New Roman" w:cs="Times New Roman"/>
          <w:bCs/>
          <w:iCs/>
          <w:sz w:val="24"/>
          <w:szCs w:val="24"/>
        </w:rPr>
        <w:t>nting Mr</w:t>
      </w:r>
      <w:r w:rsidR="003B15C3" w:rsidRPr="00AF7252">
        <w:rPr>
          <w:rFonts w:ascii="Times New Roman" w:hAnsi="Times New Roman" w:cs="Times New Roman"/>
          <w:bCs/>
          <w:iCs/>
          <w:sz w:val="24"/>
          <w:szCs w:val="24"/>
        </w:rPr>
        <w:t xml:space="preserve"> </w:t>
      </w:r>
      <w:r w:rsidR="00467696" w:rsidRPr="00AF7252">
        <w:rPr>
          <w:rFonts w:ascii="Times New Roman" w:hAnsi="Times New Roman" w:cs="Times New Roman"/>
          <w:bCs/>
          <w:iCs/>
          <w:sz w:val="24"/>
          <w:szCs w:val="24"/>
        </w:rPr>
        <w:t xml:space="preserve">Gilauri power to adopt </w:t>
      </w:r>
      <w:r w:rsidR="00004DC4" w:rsidRPr="00AF7252">
        <w:rPr>
          <w:rFonts w:ascii="Times New Roman" w:hAnsi="Times New Roman" w:cs="Times New Roman"/>
          <w:bCs/>
          <w:iCs/>
          <w:sz w:val="24"/>
          <w:szCs w:val="24"/>
        </w:rPr>
        <w:t>and</w:t>
      </w:r>
      <w:r w:rsidR="00467696" w:rsidRPr="00AF7252">
        <w:rPr>
          <w:rFonts w:ascii="Times New Roman" w:hAnsi="Times New Roman" w:cs="Times New Roman"/>
          <w:bCs/>
          <w:iCs/>
          <w:sz w:val="24"/>
          <w:szCs w:val="24"/>
        </w:rPr>
        <w:t xml:space="preserve"> all decisions with respect to any issues related</w:t>
      </w:r>
      <w:r w:rsidR="00BA56CB" w:rsidRPr="00AF7252">
        <w:rPr>
          <w:rFonts w:ascii="Times New Roman" w:hAnsi="Times New Roman" w:cs="Times New Roman"/>
          <w:bCs/>
          <w:iCs/>
          <w:sz w:val="24"/>
          <w:szCs w:val="24"/>
        </w:rPr>
        <w:t xml:space="preserve"> to the subsidiaries; (iii) information in a report of the defendant which must have been provided by the subsidiaries; (iv) and arrangement reserving matters to the defendant,</w:t>
      </w:r>
      <w:r w:rsidR="00C46558" w:rsidRPr="00AF7252">
        <w:rPr>
          <w:rFonts w:ascii="Times New Roman" w:hAnsi="Times New Roman" w:cs="Times New Roman"/>
          <w:bCs/>
          <w:iCs/>
          <w:sz w:val="24"/>
          <w:szCs w:val="24"/>
        </w:rPr>
        <w:t xml:space="preserve"> the provision of documents associated with those reserved matters; and (v) and adverse inference</w:t>
      </w:r>
      <w:r w:rsidR="008F6AE4" w:rsidRPr="00AF7252">
        <w:rPr>
          <w:rFonts w:ascii="Times New Roman" w:hAnsi="Times New Roman" w:cs="Times New Roman"/>
          <w:bCs/>
          <w:iCs/>
          <w:sz w:val="24"/>
          <w:szCs w:val="24"/>
        </w:rPr>
        <w:t xml:space="preserve"> it was said should be drawn.</w:t>
      </w:r>
      <w:r w:rsidR="003C64C3" w:rsidRPr="00AF7252">
        <w:rPr>
          <w:rFonts w:ascii="Times New Roman" w:hAnsi="Times New Roman" w:cs="Times New Roman"/>
          <w:bCs/>
          <w:iCs/>
          <w:sz w:val="24"/>
          <w:szCs w:val="24"/>
        </w:rPr>
        <w:t xml:space="preserve"> This primary submission</w:t>
      </w:r>
      <w:r w:rsidR="00F775C0" w:rsidRPr="00AF7252">
        <w:rPr>
          <w:rFonts w:ascii="Times New Roman" w:hAnsi="Times New Roman" w:cs="Times New Roman"/>
          <w:bCs/>
          <w:iCs/>
          <w:sz w:val="24"/>
          <w:szCs w:val="24"/>
        </w:rPr>
        <w:t xml:space="preserve"> was rejected at [55] by Baker J:</w:t>
      </w:r>
    </w:p>
    <w:p w14:paraId="2B8C409D" w14:textId="28DE3174" w:rsidR="007E4DA9" w:rsidRDefault="0087637B" w:rsidP="00DA26E7">
      <w:pPr>
        <w:spacing w:before="120" w:line="276" w:lineRule="auto"/>
        <w:ind w:left="720"/>
        <w:rPr>
          <w:rFonts w:ascii="Times New Roman" w:hAnsi="Times New Roman" w:cs="Times New Roman"/>
          <w:sz w:val="24"/>
          <w:szCs w:val="24"/>
        </w:rPr>
      </w:pPr>
      <w:r w:rsidRPr="00174184">
        <w:rPr>
          <w:rFonts w:ascii="Times New Roman" w:hAnsi="Times New Roman" w:cs="Times New Roman"/>
          <w:i/>
          <w:iCs/>
          <w:sz w:val="24"/>
          <w:szCs w:val="24"/>
        </w:rPr>
        <w:t xml:space="preserve">I agree with Ms Tolaney QC that there is nothing in the background or surrounding circumstances relied on by Mr George QC, prior to or after the 30 March Letters, to suggest </w:t>
      </w:r>
      <w:r w:rsidRPr="00D06C5C">
        <w:rPr>
          <w:rFonts w:ascii="Times New Roman" w:hAnsi="Times New Roman" w:cs="Times New Roman"/>
          <w:b/>
          <w:bCs/>
          <w:i/>
          <w:iCs/>
          <w:sz w:val="24"/>
          <w:szCs w:val="24"/>
        </w:rPr>
        <w:t>the existence of any standing consent of any kind</w:t>
      </w:r>
      <w:r w:rsidRPr="00174184">
        <w:rPr>
          <w:rFonts w:ascii="Times New Roman" w:hAnsi="Times New Roman" w:cs="Times New Roman"/>
          <w:i/>
          <w:iCs/>
          <w:sz w:val="24"/>
          <w:szCs w:val="24"/>
        </w:rPr>
        <w:t>. I also agree with her that the decision to document, by each Letter, an apparently new arrangement whereby to enable BG UK, for the purposes of the Claim, to get hold of BG Georgia and BoG documents, is inconsistent with the existence of some other arrangement by way of standing consent. In short, had it not been for the 30 March Letters</w:t>
      </w:r>
      <w:r w:rsidRPr="00B550AB">
        <w:rPr>
          <w:rFonts w:ascii="Times New Roman" w:hAnsi="Times New Roman" w:cs="Times New Roman"/>
          <w:b/>
          <w:bCs/>
          <w:i/>
          <w:iCs/>
          <w:sz w:val="24"/>
          <w:szCs w:val="24"/>
        </w:rPr>
        <w:t>, I would have agreed with Ms Tolaney QC that this was a case where I could find no more than that the Subsidiaries may have chosen to assist by providing some documents on one or more prior occasions, and that falls short of control.</w:t>
      </w:r>
      <w:r w:rsidR="00D946E0" w:rsidRPr="00D946E0">
        <w:rPr>
          <w:rFonts w:ascii="Times New Roman" w:hAnsi="Times New Roman" w:cs="Times New Roman"/>
          <w:sz w:val="24"/>
          <w:szCs w:val="24"/>
        </w:rPr>
        <w:t xml:space="preserve"> (emphasis added)</w:t>
      </w:r>
    </w:p>
    <w:p w14:paraId="204105FD" w14:textId="77777777" w:rsidR="00D946E0" w:rsidRDefault="00D946E0" w:rsidP="00174184">
      <w:pPr>
        <w:spacing w:before="120" w:line="360" w:lineRule="auto"/>
        <w:ind w:left="720"/>
        <w:rPr>
          <w:rFonts w:ascii="Times New Roman" w:hAnsi="Times New Roman" w:cs="Times New Roman"/>
          <w:b/>
          <w:bCs/>
          <w:i/>
          <w:iCs/>
          <w:sz w:val="24"/>
          <w:szCs w:val="24"/>
        </w:rPr>
      </w:pPr>
    </w:p>
    <w:p w14:paraId="11C0B8A7" w14:textId="739CB577" w:rsidR="00D946E0" w:rsidRPr="00AF7252" w:rsidRDefault="00F16A28" w:rsidP="00AF7252">
      <w:pPr>
        <w:pStyle w:val="ListParagraph"/>
        <w:numPr>
          <w:ilvl w:val="0"/>
          <w:numId w:val="1"/>
        </w:numPr>
        <w:spacing w:before="120" w:line="360" w:lineRule="auto"/>
        <w:jc w:val="both"/>
        <w:rPr>
          <w:rFonts w:ascii="Times New Roman" w:hAnsi="Times New Roman" w:cs="Times New Roman"/>
          <w:sz w:val="24"/>
          <w:szCs w:val="24"/>
        </w:rPr>
      </w:pPr>
      <w:r w:rsidRPr="00AF7252">
        <w:rPr>
          <w:rFonts w:ascii="Times New Roman" w:hAnsi="Times New Roman" w:cs="Times New Roman"/>
          <w:sz w:val="24"/>
          <w:szCs w:val="24"/>
        </w:rPr>
        <w:t>Baker J</w:t>
      </w:r>
      <w:r w:rsidR="002870BB" w:rsidRPr="00AF7252">
        <w:rPr>
          <w:rFonts w:ascii="Times New Roman" w:hAnsi="Times New Roman" w:cs="Times New Roman"/>
          <w:sz w:val="24"/>
          <w:szCs w:val="24"/>
        </w:rPr>
        <w:t xml:space="preserve"> held that the claimant’s secondary case</w:t>
      </w:r>
      <w:r w:rsidR="00FC7B3F" w:rsidRPr="00AF7252">
        <w:rPr>
          <w:rFonts w:ascii="Times New Roman" w:hAnsi="Times New Roman" w:cs="Times New Roman"/>
          <w:sz w:val="24"/>
          <w:szCs w:val="24"/>
        </w:rPr>
        <w:t xml:space="preserve">, based on the fact that the subsidiaries had signed letters agreeing to provide the </w:t>
      </w:r>
      <w:r w:rsidR="00C915ED" w:rsidRPr="00AF7252">
        <w:rPr>
          <w:rFonts w:ascii="Times New Roman" w:hAnsi="Times New Roman" w:cs="Times New Roman"/>
          <w:sz w:val="24"/>
          <w:szCs w:val="24"/>
        </w:rPr>
        <w:t>c</w:t>
      </w:r>
      <w:r w:rsidR="00645F7F" w:rsidRPr="00AF7252">
        <w:rPr>
          <w:rFonts w:ascii="Times New Roman" w:hAnsi="Times New Roman" w:cs="Times New Roman"/>
          <w:sz w:val="24"/>
          <w:szCs w:val="24"/>
        </w:rPr>
        <w:t>ompany</w:t>
      </w:r>
      <w:r w:rsidR="00FC7B3F" w:rsidRPr="00AF7252">
        <w:rPr>
          <w:rFonts w:ascii="Times New Roman" w:hAnsi="Times New Roman" w:cs="Times New Roman"/>
          <w:sz w:val="24"/>
          <w:szCs w:val="24"/>
        </w:rPr>
        <w:t xml:space="preserve"> with “</w:t>
      </w:r>
      <w:r w:rsidR="00FC7B3F" w:rsidRPr="00AF7252">
        <w:rPr>
          <w:rFonts w:ascii="Times New Roman" w:hAnsi="Times New Roman" w:cs="Times New Roman"/>
          <w:i/>
          <w:iCs/>
          <w:sz w:val="24"/>
          <w:szCs w:val="24"/>
        </w:rPr>
        <w:t>all documents pertaining to</w:t>
      </w:r>
      <w:r w:rsidR="000C75B0" w:rsidRPr="00AF7252">
        <w:rPr>
          <w:rFonts w:ascii="Times New Roman" w:hAnsi="Times New Roman" w:cs="Times New Roman"/>
          <w:i/>
          <w:iCs/>
          <w:sz w:val="24"/>
          <w:szCs w:val="24"/>
        </w:rPr>
        <w:t xml:space="preserve"> [the claim] as requested by us or our advisers</w:t>
      </w:r>
      <w:r w:rsidR="000C75B0" w:rsidRPr="00AF7252">
        <w:rPr>
          <w:rFonts w:ascii="Times New Roman" w:hAnsi="Times New Roman" w:cs="Times New Roman"/>
          <w:sz w:val="24"/>
          <w:szCs w:val="24"/>
        </w:rPr>
        <w:t>”, succeeded.</w:t>
      </w:r>
      <w:r w:rsidR="00C7257D" w:rsidRPr="00AF7252">
        <w:rPr>
          <w:rFonts w:ascii="Times New Roman" w:hAnsi="Times New Roman" w:cs="Times New Roman"/>
          <w:sz w:val="24"/>
          <w:szCs w:val="24"/>
        </w:rPr>
        <w:t xml:space="preserve"> Baker J held that the fact that the subsidiaries had signed the letters in the context of the existing litigation</w:t>
      </w:r>
      <w:r w:rsidR="006D0D9E" w:rsidRPr="00AF7252">
        <w:rPr>
          <w:rFonts w:ascii="Times New Roman" w:hAnsi="Times New Roman" w:cs="Times New Roman"/>
          <w:sz w:val="24"/>
          <w:szCs w:val="24"/>
        </w:rPr>
        <w:t xml:space="preserve"> constituted a “</w:t>
      </w:r>
      <w:r w:rsidR="006D0D9E" w:rsidRPr="00AF7252">
        <w:rPr>
          <w:rFonts w:ascii="Times New Roman" w:hAnsi="Times New Roman" w:cs="Times New Roman"/>
          <w:i/>
          <w:iCs/>
          <w:sz w:val="24"/>
          <w:szCs w:val="24"/>
        </w:rPr>
        <w:t>standing promise</w:t>
      </w:r>
      <w:r w:rsidR="006D0D9E" w:rsidRPr="00AF7252">
        <w:rPr>
          <w:rFonts w:ascii="Times New Roman" w:hAnsi="Times New Roman" w:cs="Times New Roman"/>
          <w:sz w:val="24"/>
          <w:szCs w:val="24"/>
        </w:rPr>
        <w:t>” to provide documents on request.</w:t>
      </w:r>
      <w:r w:rsidR="00D4046B" w:rsidRPr="00AF7252">
        <w:rPr>
          <w:rFonts w:ascii="Times New Roman" w:hAnsi="Times New Roman" w:cs="Times New Roman"/>
          <w:sz w:val="24"/>
          <w:szCs w:val="24"/>
        </w:rPr>
        <w:t xml:space="preserve"> </w:t>
      </w:r>
    </w:p>
    <w:p w14:paraId="7DD5EA2E" w14:textId="77777777" w:rsidR="00D12D76" w:rsidRDefault="00D12D76" w:rsidP="00D946E0">
      <w:pPr>
        <w:spacing w:before="120" w:line="360" w:lineRule="auto"/>
        <w:rPr>
          <w:rFonts w:ascii="Times New Roman" w:hAnsi="Times New Roman" w:cs="Times New Roman"/>
          <w:sz w:val="24"/>
          <w:szCs w:val="24"/>
        </w:rPr>
      </w:pPr>
    </w:p>
    <w:p w14:paraId="36124F84" w14:textId="7421BAC3" w:rsidR="00D12D76" w:rsidRPr="005E4FEA" w:rsidRDefault="00D12D76" w:rsidP="005E4FEA">
      <w:pPr>
        <w:pStyle w:val="ListParagraph"/>
        <w:numPr>
          <w:ilvl w:val="0"/>
          <w:numId w:val="1"/>
        </w:numPr>
        <w:spacing w:before="120" w:line="360" w:lineRule="auto"/>
        <w:jc w:val="both"/>
        <w:rPr>
          <w:rFonts w:ascii="Times New Roman" w:hAnsi="Times New Roman" w:cs="Times New Roman"/>
          <w:sz w:val="24"/>
          <w:szCs w:val="24"/>
        </w:rPr>
      </w:pPr>
      <w:r w:rsidRPr="005E4FEA">
        <w:rPr>
          <w:rFonts w:ascii="Times New Roman" w:hAnsi="Times New Roman" w:cs="Times New Roman"/>
          <w:sz w:val="24"/>
          <w:szCs w:val="24"/>
        </w:rPr>
        <w:t xml:space="preserve">At [50] </w:t>
      </w:r>
      <w:r w:rsidR="009F1D55" w:rsidRPr="005E4FEA">
        <w:rPr>
          <w:rFonts w:ascii="Times New Roman" w:hAnsi="Times New Roman" w:cs="Times New Roman"/>
          <w:sz w:val="24"/>
          <w:szCs w:val="24"/>
        </w:rPr>
        <w:t xml:space="preserve">Baker JA considered that the concept </w:t>
      </w:r>
      <w:r w:rsidR="00C04E27" w:rsidRPr="005E4FEA">
        <w:rPr>
          <w:rFonts w:ascii="Times New Roman" w:hAnsi="Times New Roman" w:cs="Times New Roman"/>
          <w:sz w:val="24"/>
          <w:szCs w:val="24"/>
        </w:rPr>
        <w:t>of “</w:t>
      </w:r>
      <w:r w:rsidR="009F1D55" w:rsidRPr="005E4FEA">
        <w:rPr>
          <w:rFonts w:ascii="Times New Roman" w:hAnsi="Times New Roman" w:cs="Times New Roman"/>
          <w:sz w:val="24"/>
          <w:szCs w:val="24"/>
        </w:rPr>
        <w:t xml:space="preserve">control” </w:t>
      </w:r>
      <w:r w:rsidR="00C04E27" w:rsidRPr="005E4FEA">
        <w:rPr>
          <w:rFonts w:ascii="Times New Roman" w:hAnsi="Times New Roman" w:cs="Times New Roman"/>
          <w:sz w:val="24"/>
          <w:szCs w:val="24"/>
        </w:rPr>
        <w:t>could properly be analysed by considering its three separate elements:</w:t>
      </w:r>
    </w:p>
    <w:p w14:paraId="43F3B754" w14:textId="334DE71E" w:rsidR="00990274" w:rsidRPr="00B54204" w:rsidRDefault="00B471FA" w:rsidP="00DA26E7">
      <w:pPr>
        <w:spacing w:before="120" w:line="276" w:lineRule="auto"/>
        <w:ind w:left="720"/>
        <w:rPr>
          <w:rFonts w:ascii="Times New Roman" w:hAnsi="Times New Roman" w:cs="Times New Roman"/>
          <w:i/>
          <w:iCs/>
          <w:sz w:val="24"/>
          <w:szCs w:val="24"/>
        </w:rPr>
      </w:pPr>
      <w:r w:rsidRPr="00B54204">
        <w:rPr>
          <w:rFonts w:ascii="Times New Roman" w:hAnsi="Times New Roman" w:cs="Times New Roman"/>
          <w:i/>
          <w:iCs/>
          <w:sz w:val="24"/>
          <w:szCs w:val="24"/>
        </w:rPr>
        <w:t>50. A true analysis is that there are three elements to the question whether a third party’s documents, or particular such documents or classes of such</w:t>
      </w:r>
      <w:r w:rsidR="00FE4714" w:rsidRPr="00B54204">
        <w:rPr>
          <w:rFonts w:ascii="Times New Roman" w:hAnsi="Times New Roman" w:cs="Times New Roman"/>
          <w:i/>
          <w:iCs/>
          <w:sz w:val="24"/>
          <w:szCs w:val="24"/>
        </w:rPr>
        <w:t xml:space="preserve"> </w:t>
      </w:r>
      <w:r w:rsidR="00990274" w:rsidRPr="00B54204">
        <w:rPr>
          <w:rFonts w:ascii="Times New Roman" w:hAnsi="Times New Roman" w:cs="Times New Roman"/>
          <w:i/>
          <w:iCs/>
          <w:sz w:val="24"/>
          <w:szCs w:val="24"/>
        </w:rPr>
        <w:t xml:space="preserve">documents, are within the ‘control’ of a party so as to be within the scope of its disclosure obligations in English civil litigation, by virtue of some standing consent given by the third party to the disclosing party in respect of its (the third party’s) documents that falls short of an enforceable contract: </w:t>
      </w:r>
    </w:p>
    <w:p w14:paraId="3E8DC82D" w14:textId="2BAC549D" w:rsidR="00990274" w:rsidRPr="00B54204" w:rsidRDefault="00990274" w:rsidP="00DA26E7">
      <w:pPr>
        <w:spacing w:before="120" w:line="276" w:lineRule="auto"/>
        <w:ind w:left="720"/>
        <w:rPr>
          <w:rFonts w:ascii="Times New Roman" w:hAnsi="Times New Roman" w:cs="Times New Roman"/>
          <w:i/>
          <w:iCs/>
          <w:sz w:val="24"/>
          <w:szCs w:val="24"/>
        </w:rPr>
      </w:pPr>
      <w:r w:rsidRPr="00B54204">
        <w:rPr>
          <w:rFonts w:ascii="Times New Roman" w:hAnsi="Times New Roman" w:cs="Times New Roman"/>
          <w:i/>
          <w:iCs/>
          <w:sz w:val="24"/>
          <w:szCs w:val="24"/>
        </w:rPr>
        <w:t xml:space="preserve">i) firstly, the scope (subject matter) of the consent – the documents or types of document covered by the consent; </w:t>
      </w:r>
    </w:p>
    <w:p w14:paraId="070EAA19" w14:textId="77777777" w:rsidR="008F6548" w:rsidRPr="00B54204" w:rsidRDefault="00990274" w:rsidP="00DA26E7">
      <w:pPr>
        <w:spacing w:before="120" w:line="276" w:lineRule="auto"/>
        <w:ind w:left="720"/>
        <w:rPr>
          <w:rFonts w:ascii="Times New Roman" w:hAnsi="Times New Roman" w:cs="Times New Roman"/>
          <w:i/>
          <w:iCs/>
          <w:sz w:val="24"/>
          <w:szCs w:val="24"/>
        </w:rPr>
      </w:pPr>
      <w:r w:rsidRPr="00B54204">
        <w:rPr>
          <w:rFonts w:ascii="Times New Roman" w:hAnsi="Times New Roman" w:cs="Times New Roman"/>
          <w:i/>
          <w:iCs/>
          <w:sz w:val="24"/>
          <w:szCs w:val="24"/>
        </w:rPr>
        <w:t>ii) secondly, the type of consent – how, under the consent given, the disclosing party will get hold of those documents (e.g. by looking through documents for itself and taking copies if it wishes, or by having documents located and sent (or copied) to it, or by having document</w:t>
      </w:r>
    </w:p>
    <w:p w14:paraId="225405A0" w14:textId="5A4B6376" w:rsidR="00990274" w:rsidRPr="00B54204" w:rsidRDefault="00990274" w:rsidP="00DA26E7">
      <w:pPr>
        <w:spacing w:before="120" w:line="276" w:lineRule="auto"/>
        <w:ind w:left="720"/>
        <w:rPr>
          <w:rFonts w:ascii="Times New Roman" w:hAnsi="Times New Roman" w:cs="Times New Roman"/>
          <w:i/>
          <w:iCs/>
          <w:sz w:val="24"/>
          <w:szCs w:val="24"/>
        </w:rPr>
      </w:pPr>
      <w:r w:rsidRPr="00B54204">
        <w:rPr>
          <w:rFonts w:ascii="Times New Roman" w:hAnsi="Times New Roman" w:cs="Times New Roman"/>
          <w:i/>
          <w:iCs/>
          <w:sz w:val="24"/>
          <w:szCs w:val="24"/>
        </w:rPr>
        <w:t xml:space="preserve">located and sent (or copied) to it to the extent they match some further (review) criteria); </w:t>
      </w:r>
    </w:p>
    <w:p w14:paraId="1BF8D803" w14:textId="4C6F9714" w:rsidR="00990274" w:rsidRPr="00B54204" w:rsidRDefault="00990274" w:rsidP="00DA26E7">
      <w:pPr>
        <w:spacing w:before="120" w:line="276" w:lineRule="auto"/>
        <w:ind w:left="720"/>
        <w:rPr>
          <w:rFonts w:ascii="Times New Roman" w:hAnsi="Times New Roman" w:cs="Times New Roman"/>
          <w:i/>
          <w:iCs/>
          <w:sz w:val="24"/>
          <w:szCs w:val="24"/>
        </w:rPr>
      </w:pPr>
      <w:r w:rsidRPr="00B54204">
        <w:rPr>
          <w:rFonts w:ascii="Times New Roman" w:hAnsi="Times New Roman" w:cs="Times New Roman"/>
          <w:i/>
          <w:iCs/>
          <w:sz w:val="24"/>
          <w:szCs w:val="24"/>
        </w:rPr>
        <w:t>iii</w:t>
      </w:r>
      <w:r w:rsidRPr="00141869">
        <w:rPr>
          <w:rFonts w:ascii="Times New Roman" w:hAnsi="Times New Roman" w:cs="Times New Roman"/>
          <w:b/>
          <w:bCs/>
          <w:i/>
          <w:iCs/>
          <w:sz w:val="24"/>
          <w:szCs w:val="24"/>
        </w:rPr>
        <w:t>) thirdly, the quality of the consent – whether it involves free and unfettered access to the documents covered, of which (or copies of which) the party will get hold in that way.</w:t>
      </w:r>
      <w:r w:rsidRPr="00B54204">
        <w:rPr>
          <w:rFonts w:ascii="Times New Roman" w:hAnsi="Times New Roman" w:cs="Times New Roman"/>
          <w:i/>
          <w:iCs/>
          <w:sz w:val="24"/>
          <w:szCs w:val="24"/>
        </w:rPr>
        <w:t xml:space="preserve"> </w:t>
      </w:r>
    </w:p>
    <w:p w14:paraId="186BD989" w14:textId="2DA2C3F9" w:rsidR="00C04E27" w:rsidRPr="00B54204" w:rsidRDefault="00990274" w:rsidP="00DA26E7">
      <w:pPr>
        <w:spacing w:before="120" w:line="276" w:lineRule="auto"/>
        <w:ind w:left="720"/>
        <w:rPr>
          <w:rFonts w:ascii="Times New Roman" w:hAnsi="Times New Roman" w:cs="Times New Roman"/>
          <w:i/>
          <w:iCs/>
          <w:sz w:val="24"/>
          <w:szCs w:val="24"/>
        </w:rPr>
      </w:pPr>
      <w:r w:rsidRPr="00B54204">
        <w:rPr>
          <w:rFonts w:ascii="Times New Roman" w:hAnsi="Times New Roman" w:cs="Times New Roman"/>
          <w:i/>
          <w:iCs/>
          <w:sz w:val="24"/>
          <w:szCs w:val="24"/>
        </w:rPr>
        <w:t xml:space="preserve">51. These elements are distinct in concept; and </w:t>
      </w:r>
      <w:r w:rsidRPr="000C5EE7">
        <w:rPr>
          <w:rFonts w:ascii="Times New Roman" w:hAnsi="Times New Roman" w:cs="Times New Roman"/>
          <w:b/>
          <w:bCs/>
          <w:i/>
          <w:iCs/>
          <w:sz w:val="24"/>
          <w:szCs w:val="24"/>
        </w:rPr>
        <w:t xml:space="preserve">the question of control is concerned only with the third element, the quality of the consent. </w:t>
      </w:r>
      <w:r w:rsidRPr="00B54204">
        <w:rPr>
          <w:rFonts w:ascii="Times New Roman" w:hAnsi="Times New Roman" w:cs="Times New Roman"/>
          <w:i/>
          <w:iCs/>
          <w:sz w:val="24"/>
          <w:szCs w:val="24"/>
        </w:rPr>
        <w:t>The scope of the consent will define the documents over which the disclosing party has control by virtue of the consent (if it is of the right quality), so that its disclosure obligations extend to those documents. The type of consent will affect what the disclosing party can be expected and required to do so as to discharge any disclosure obligation to conduct a search for those documents (again, if the consent is of such a quality as to confer control).</w:t>
      </w:r>
      <w:r w:rsidR="000C5EE7">
        <w:rPr>
          <w:rFonts w:ascii="Times New Roman" w:hAnsi="Times New Roman" w:cs="Times New Roman"/>
          <w:i/>
          <w:iCs/>
          <w:sz w:val="24"/>
          <w:szCs w:val="24"/>
        </w:rPr>
        <w:t xml:space="preserve"> </w:t>
      </w:r>
      <w:r w:rsidR="000C5EE7" w:rsidRPr="000C5EE7">
        <w:rPr>
          <w:rFonts w:ascii="Times New Roman" w:hAnsi="Times New Roman" w:cs="Times New Roman"/>
          <w:sz w:val="24"/>
          <w:szCs w:val="24"/>
        </w:rPr>
        <w:t>(emphasis added)</w:t>
      </w:r>
    </w:p>
    <w:p w14:paraId="27996A54" w14:textId="77777777" w:rsidR="0054727B" w:rsidRDefault="0054727B" w:rsidP="00DA26E7">
      <w:pPr>
        <w:spacing w:before="120" w:line="276" w:lineRule="auto"/>
        <w:rPr>
          <w:rFonts w:ascii="Times New Roman" w:hAnsi="Times New Roman" w:cs="Times New Roman"/>
          <w:sz w:val="24"/>
          <w:szCs w:val="24"/>
        </w:rPr>
      </w:pPr>
    </w:p>
    <w:p w14:paraId="3419B6A6" w14:textId="41FD5854" w:rsidR="00A856EE" w:rsidRPr="005E4FEA" w:rsidRDefault="00D4046B" w:rsidP="005E4FEA">
      <w:pPr>
        <w:pStyle w:val="ListParagraph"/>
        <w:numPr>
          <w:ilvl w:val="0"/>
          <w:numId w:val="1"/>
        </w:numPr>
        <w:spacing w:before="120" w:line="360" w:lineRule="auto"/>
        <w:jc w:val="both"/>
        <w:rPr>
          <w:rFonts w:ascii="Times New Roman" w:hAnsi="Times New Roman" w:cs="Times New Roman"/>
          <w:sz w:val="24"/>
          <w:szCs w:val="24"/>
        </w:rPr>
      </w:pPr>
      <w:r w:rsidRPr="005E4FEA">
        <w:rPr>
          <w:rFonts w:ascii="Times New Roman" w:hAnsi="Times New Roman" w:cs="Times New Roman"/>
          <w:sz w:val="24"/>
          <w:szCs w:val="24"/>
        </w:rPr>
        <w:t>In analysing the concept of</w:t>
      </w:r>
      <w:r w:rsidR="0027266D" w:rsidRPr="005E4FEA">
        <w:rPr>
          <w:rFonts w:ascii="Times New Roman" w:hAnsi="Times New Roman" w:cs="Times New Roman"/>
          <w:sz w:val="24"/>
          <w:szCs w:val="24"/>
        </w:rPr>
        <w:t xml:space="preserve"> “</w:t>
      </w:r>
      <w:r w:rsidR="0027266D" w:rsidRPr="005E4FEA">
        <w:rPr>
          <w:rFonts w:ascii="Times New Roman" w:hAnsi="Times New Roman" w:cs="Times New Roman"/>
          <w:i/>
          <w:iCs/>
          <w:sz w:val="24"/>
          <w:szCs w:val="24"/>
        </w:rPr>
        <w:t>control</w:t>
      </w:r>
      <w:r w:rsidR="0027266D" w:rsidRPr="005E4FEA">
        <w:rPr>
          <w:rFonts w:ascii="Times New Roman" w:hAnsi="Times New Roman" w:cs="Times New Roman"/>
          <w:sz w:val="24"/>
          <w:szCs w:val="24"/>
        </w:rPr>
        <w:t>” Baker JA held that a party’s</w:t>
      </w:r>
      <w:r w:rsidR="00F12C7F" w:rsidRPr="005E4FEA">
        <w:rPr>
          <w:rFonts w:ascii="Times New Roman" w:hAnsi="Times New Roman" w:cs="Times New Roman"/>
          <w:sz w:val="24"/>
          <w:szCs w:val="24"/>
        </w:rPr>
        <w:t xml:space="preserve"> control</w:t>
      </w:r>
      <w:r w:rsidR="0065080C" w:rsidRPr="005E4FEA">
        <w:rPr>
          <w:rFonts w:ascii="Times New Roman" w:hAnsi="Times New Roman" w:cs="Times New Roman"/>
          <w:sz w:val="24"/>
          <w:szCs w:val="24"/>
        </w:rPr>
        <w:t xml:space="preserve"> over third party’s documents</w:t>
      </w:r>
      <w:r w:rsidR="006C3739" w:rsidRPr="005E4FEA">
        <w:rPr>
          <w:rFonts w:ascii="Times New Roman" w:hAnsi="Times New Roman" w:cs="Times New Roman"/>
          <w:sz w:val="24"/>
          <w:szCs w:val="24"/>
        </w:rPr>
        <w:t xml:space="preserve">, including a parent </w:t>
      </w:r>
      <w:r w:rsidR="00C915ED" w:rsidRPr="005E4FEA">
        <w:rPr>
          <w:rFonts w:ascii="Times New Roman" w:hAnsi="Times New Roman" w:cs="Times New Roman"/>
          <w:sz w:val="24"/>
          <w:szCs w:val="24"/>
        </w:rPr>
        <w:t>c</w:t>
      </w:r>
      <w:r w:rsidR="00645F7F" w:rsidRPr="005E4FEA">
        <w:rPr>
          <w:rFonts w:ascii="Times New Roman" w:hAnsi="Times New Roman" w:cs="Times New Roman"/>
          <w:sz w:val="24"/>
          <w:szCs w:val="24"/>
        </w:rPr>
        <w:t>ompany</w:t>
      </w:r>
      <w:r w:rsidR="006C3739" w:rsidRPr="005E4FEA">
        <w:rPr>
          <w:rFonts w:ascii="Times New Roman" w:hAnsi="Times New Roman" w:cs="Times New Roman"/>
          <w:sz w:val="24"/>
          <w:szCs w:val="24"/>
        </w:rPr>
        <w:t>’s power over the documents</w:t>
      </w:r>
      <w:r w:rsidR="00456C80" w:rsidRPr="005E4FEA">
        <w:rPr>
          <w:rFonts w:ascii="Times New Roman" w:hAnsi="Times New Roman" w:cs="Times New Roman"/>
          <w:sz w:val="24"/>
          <w:szCs w:val="24"/>
        </w:rPr>
        <w:t xml:space="preserve"> over its subsidiary, is not </w:t>
      </w:r>
      <w:r w:rsidR="00852506" w:rsidRPr="005E4FEA">
        <w:rPr>
          <w:rFonts w:ascii="Times New Roman" w:hAnsi="Times New Roman" w:cs="Times New Roman"/>
          <w:sz w:val="24"/>
          <w:szCs w:val="24"/>
        </w:rPr>
        <w:t xml:space="preserve">confined to a situation where the parent </w:t>
      </w:r>
      <w:r w:rsidR="00C915ED" w:rsidRPr="005E4FEA">
        <w:rPr>
          <w:rFonts w:ascii="Times New Roman" w:hAnsi="Times New Roman" w:cs="Times New Roman"/>
          <w:sz w:val="24"/>
          <w:szCs w:val="24"/>
        </w:rPr>
        <w:t>c</w:t>
      </w:r>
      <w:r w:rsidR="00645F7F" w:rsidRPr="005E4FEA">
        <w:rPr>
          <w:rFonts w:ascii="Times New Roman" w:hAnsi="Times New Roman" w:cs="Times New Roman"/>
          <w:sz w:val="24"/>
          <w:szCs w:val="24"/>
        </w:rPr>
        <w:t>ompany</w:t>
      </w:r>
      <w:r w:rsidR="00852506" w:rsidRPr="005E4FEA">
        <w:rPr>
          <w:rFonts w:ascii="Times New Roman" w:hAnsi="Times New Roman" w:cs="Times New Roman"/>
          <w:sz w:val="24"/>
          <w:szCs w:val="24"/>
        </w:rPr>
        <w:t xml:space="preserve"> has control over the</w:t>
      </w:r>
      <w:r w:rsidR="00852506" w:rsidRPr="005E4FEA">
        <w:rPr>
          <w:rFonts w:ascii="Times New Roman" w:hAnsi="Times New Roman" w:cs="Times New Roman"/>
          <w:i/>
          <w:iCs/>
          <w:sz w:val="24"/>
          <w:szCs w:val="24"/>
        </w:rPr>
        <w:t xml:space="preserve"> entirety</w:t>
      </w:r>
      <w:r w:rsidR="00852506" w:rsidRPr="005E4FEA">
        <w:rPr>
          <w:rFonts w:ascii="Times New Roman" w:hAnsi="Times New Roman" w:cs="Times New Roman"/>
          <w:sz w:val="24"/>
          <w:szCs w:val="24"/>
        </w:rPr>
        <w:t xml:space="preserve"> of the subsidia</w:t>
      </w:r>
      <w:r w:rsidR="00656331" w:rsidRPr="005E4FEA">
        <w:rPr>
          <w:rFonts w:ascii="Times New Roman" w:hAnsi="Times New Roman" w:cs="Times New Roman"/>
          <w:sz w:val="24"/>
          <w:szCs w:val="24"/>
        </w:rPr>
        <w:t xml:space="preserve">ry’s </w:t>
      </w:r>
      <w:r w:rsidR="00852506" w:rsidRPr="005E4FEA">
        <w:rPr>
          <w:rFonts w:ascii="Times New Roman" w:hAnsi="Times New Roman" w:cs="Times New Roman"/>
          <w:sz w:val="24"/>
          <w:szCs w:val="24"/>
        </w:rPr>
        <w:t>documents.</w:t>
      </w:r>
      <w:r w:rsidR="00656331" w:rsidRPr="005E4FEA">
        <w:rPr>
          <w:rFonts w:ascii="Times New Roman" w:hAnsi="Times New Roman" w:cs="Times New Roman"/>
          <w:sz w:val="24"/>
          <w:szCs w:val="24"/>
        </w:rPr>
        <w:t xml:space="preserve"> It is open to the court to conclude, including as a matter of inference, that a parent has power over certain classes of documents held by the subsidiary.</w:t>
      </w:r>
    </w:p>
    <w:p w14:paraId="5D38EFF9" w14:textId="77777777" w:rsidR="00306945" w:rsidRDefault="00306945" w:rsidP="00F12C7F">
      <w:pPr>
        <w:spacing w:before="120" w:line="360" w:lineRule="auto"/>
        <w:rPr>
          <w:rFonts w:ascii="Times New Roman" w:hAnsi="Times New Roman" w:cs="Times New Roman"/>
          <w:sz w:val="24"/>
          <w:szCs w:val="24"/>
        </w:rPr>
      </w:pPr>
    </w:p>
    <w:p w14:paraId="7B690A9F" w14:textId="2E80D3B2" w:rsidR="00306945" w:rsidRDefault="00D20C99" w:rsidP="00F12C7F">
      <w:pPr>
        <w:spacing w:before="120" w:line="360" w:lineRule="auto"/>
        <w:rPr>
          <w:rFonts w:ascii="Times New Roman" w:hAnsi="Times New Roman" w:cs="Times New Roman"/>
          <w:b/>
          <w:bCs/>
          <w:i/>
          <w:iCs/>
          <w:sz w:val="24"/>
          <w:szCs w:val="24"/>
        </w:rPr>
      </w:pPr>
      <w:r w:rsidRPr="00A6158B">
        <w:rPr>
          <w:rFonts w:ascii="Times New Roman" w:hAnsi="Times New Roman" w:cs="Times New Roman"/>
          <w:b/>
          <w:bCs/>
          <w:i/>
          <w:iCs/>
          <w:sz w:val="24"/>
          <w:szCs w:val="24"/>
        </w:rPr>
        <w:t>Berkeley Square</w:t>
      </w:r>
      <w:r w:rsidR="00A6158B" w:rsidRPr="00A6158B">
        <w:rPr>
          <w:rFonts w:ascii="Times New Roman" w:hAnsi="Times New Roman" w:cs="Times New Roman"/>
          <w:b/>
          <w:bCs/>
          <w:i/>
          <w:iCs/>
          <w:sz w:val="24"/>
          <w:szCs w:val="24"/>
        </w:rPr>
        <w:t xml:space="preserve"> Holdings Limited</w:t>
      </w:r>
    </w:p>
    <w:p w14:paraId="6CD40C9F" w14:textId="77777777" w:rsidR="00BF72C1" w:rsidRDefault="00BF72C1" w:rsidP="00F12C7F">
      <w:pPr>
        <w:spacing w:before="120" w:line="360" w:lineRule="auto"/>
        <w:rPr>
          <w:rFonts w:ascii="Times New Roman" w:hAnsi="Times New Roman" w:cs="Times New Roman"/>
          <w:b/>
          <w:bCs/>
          <w:i/>
          <w:iCs/>
          <w:sz w:val="24"/>
          <w:szCs w:val="24"/>
        </w:rPr>
      </w:pPr>
    </w:p>
    <w:p w14:paraId="609D1B4E" w14:textId="2371750A" w:rsidR="00BF72C1" w:rsidRDefault="00983C70" w:rsidP="005E4FEA">
      <w:pPr>
        <w:pStyle w:val="ListParagraph"/>
        <w:numPr>
          <w:ilvl w:val="0"/>
          <w:numId w:val="1"/>
        </w:numPr>
        <w:spacing w:before="120" w:line="360" w:lineRule="auto"/>
        <w:jc w:val="both"/>
        <w:rPr>
          <w:rFonts w:ascii="Times New Roman" w:hAnsi="Times New Roman" w:cs="Times New Roman"/>
          <w:sz w:val="24"/>
          <w:szCs w:val="24"/>
        </w:rPr>
      </w:pPr>
      <w:r w:rsidRPr="005E4FEA">
        <w:rPr>
          <w:rFonts w:ascii="Times New Roman" w:hAnsi="Times New Roman" w:cs="Times New Roman"/>
          <w:sz w:val="24"/>
          <w:szCs w:val="24"/>
        </w:rPr>
        <w:t>In</w:t>
      </w:r>
      <w:r w:rsidRPr="005E4FEA">
        <w:rPr>
          <w:rFonts w:ascii="Times New Roman" w:hAnsi="Times New Roman" w:cs="Times New Roman"/>
          <w:i/>
          <w:iCs/>
          <w:sz w:val="24"/>
          <w:szCs w:val="24"/>
        </w:rPr>
        <w:t xml:space="preserve"> Berkeley Square</w:t>
      </w:r>
      <w:r w:rsidR="00EA4EAE" w:rsidRPr="005E4FEA">
        <w:rPr>
          <w:rFonts w:ascii="Times New Roman" w:hAnsi="Times New Roman" w:cs="Times New Roman"/>
          <w:i/>
          <w:iCs/>
          <w:sz w:val="24"/>
          <w:szCs w:val="24"/>
        </w:rPr>
        <w:t xml:space="preserve"> Holdings Limited v Lancer Property Asset Management </w:t>
      </w:r>
      <w:r w:rsidR="00EA4EAE" w:rsidRPr="005E4FEA">
        <w:rPr>
          <w:rFonts w:ascii="Times New Roman" w:hAnsi="Times New Roman" w:cs="Times New Roman"/>
          <w:sz w:val="24"/>
          <w:szCs w:val="24"/>
        </w:rPr>
        <w:t xml:space="preserve">[2021] EWHC </w:t>
      </w:r>
      <w:r w:rsidR="00982734" w:rsidRPr="005E4FEA">
        <w:rPr>
          <w:rFonts w:ascii="Times New Roman" w:hAnsi="Times New Roman" w:cs="Times New Roman"/>
          <w:sz w:val="24"/>
          <w:szCs w:val="24"/>
        </w:rPr>
        <w:t>849</w:t>
      </w:r>
      <w:r w:rsidR="0087688C" w:rsidRPr="005E4FEA">
        <w:rPr>
          <w:rFonts w:ascii="Times New Roman" w:hAnsi="Times New Roman" w:cs="Times New Roman"/>
          <w:sz w:val="24"/>
          <w:szCs w:val="24"/>
        </w:rPr>
        <w:t>, Mr Robin Vos, sitting as a judge of the Chancery Division, reviewed the authorities relating to</w:t>
      </w:r>
      <w:r w:rsidR="00C3723F" w:rsidRPr="005E4FEA">
        <w:rPr>
          <w:rFonts w:ascii="Times New Roman" w:hAnsi="Times New Roman" w:cs="Times New Roman"/>
          <w:sz w:val="24"/>
          <w:szCs w:val="24"/>
        </w:rPr>
        <w:t xml:space="preserve"> practical control and summarised the position at [46].</w:t>
      </w:r>
      <w:r w:rsidR="00147700">
        <w:rPr>
          <w:rStyle w:val="FootnoteReference"/>
          <w:rFonts w:ascii="Times New Roman" w:hAnsi="Times New Roman" w:cs="Times New Roman"/>
          <w:sz w:val="24"/>
          <w:szCs w:val="24"/>
        </w:rPr>
        <w:footnoteReference w:id="1"/>
      </w:r>
      <w:r w:rsidR="006D4935" w:rsidRPr="005E4FEA">
        <w:rPr>
          <w:rFonts w:ascii="Times New Roman" w:hAnsi="Times New Roman" w:cs="Times New Roman"/>
          <w:sz w:val="24"/>
          <w:szCs w:val="24"/>
        </w:rPr>
        <w:t xml:space="preserve"> </w:t>
      </w:r>
    </w:p>
    <w:p w14:paraId="4D9CB266" w14:textId="77777777" w:rsidR="005E4FEA" w:rsidRPr="005E4FEA" w:rsidRDefault="005E4FEA" w:rsidP="005E4FEA">
      <w:pPr>
        <w:pStyle w:val="ListParagraph"/>
        <w:spacing w:before="120" w:line="360" w:lineRule="auto"/>
        <w:ind w:left="360"/>
        <w:jc w:val="both"/>
        <w:rPr>
          <w:rFonts w:ascii="Times New Roman" w:hAnsi="Times New Roman" w:cs="Times New Roman"/>
          <w:sz w:val="24"/>
          <w:szCs w:val="24"/>
        </w:rPr>
      </w:pPr>
    </w:p>
    <w:p w14:paraId="1240B833" w14:textId="2DCC12EC" w:rsidR="005E4FEA" w:rsidRPr="003853DE" w:rsidRDefault="00560453" w:rsidP="00F12C7F">
      <w:pPr>
        <w:pStyle w:val="ListParagraph"/>
        <w:numPr>
          <w:ilvl w:val="0"/>
          <w:numId w:val="1"/>
        </w:numPr>
        <w:spacing w:before="120" w:line="360" w:lineRule="auto"/>
        <w:jc w:val="both"/>
        <w:rPr>
          <w:rFonts w:ascii="Times New Roman" w:hAnsi="Times New Roman" w:cs="Times New Roman"/>
          <w:sz w:val="24"/>
          <w:szCs w:val="24"/>
        </w:rPr>
      </w:pPr>
      <w:r w:rsidRPr="005E4FEA">
        <w:rPr>
          <w:rFonts w:ascii="Times New Roman" w:hAnsi="Times New Roman" w:cs="Times New Roman"/>
          <w:sz w:val="24"/>
          <w:szCs w:val="24"/>
        </w:rPr>
        <w:t>O</w:t>
      </w:r>
      <w:r w:rsidR="00313468" w:rsidRPr="005E4FEA">
        <w:rPr>
          <w:rFonts w:ascii="Times New Roman" w:hAnsi="Times New Roman" w:cs="Times New Roman"/>
          <w:sz w:val="24"/>
          <w:szCs w:val="24"/>
        </w:rPr>
        <w:t>n the evidence</w:t>
      </w:r>
      <w:r w:rsidRPr="005E4FEA">
        <w:rPr>
          <w:rFonts w:ascii="Times New Roman" w:hAnsi="Times New Roman" w:cs="Times New Roman"/>
          <w:sz w:val="24"/>
          <w:szCs w:val="24"/>
        </w:rPr>
        <w:t xml:space="preserve"> in </w:t>
      </w:r>
      <w:r w:rsidRPr="005E4FEA">
        <w:rPr>
          <w:rFonts w:ascii="Times New Roman" w:hAnsi="Times New Roman" w:cs="Times New Roman"/>
          <w:i/>
          <w:iCs/>
          <w:sz w:val="24"/>
          <w:szCs w:val="24"/>
        </w:rPr>
        <w:t>Berkeley Square</w:t>
      </w:r>
      <w:r w:rsidRPr="005E4FEA">
        <w:rPr>
          <w:rFonts w:ascii="Times New Roman" w:hAnsi="Times New Roman" w:cs="Times New Roman"/>
          <w:sz w:val="24"/>
          <w:szCs w:val="24"/>
        </w:rPr>
        <w:t>, Vos J had no doubt that the</w:t>
      </w:r>
      <w:r w:rsidR="00E62A6C" w:rsidRPr="005E4FEA">
        <w:rPr>
          <w:rFonts w:ascii="Times New Roman" w:hAnsi="Times New Roman" w:cs="Times New Roman"/>
          <w:sz w:val="24"/>
          <w:szCs w:val="24"/>
        </w:rPr>
        <w:t xml:space="preserve"> people who</w:t>
      </w:r>
      <w:r w:rsidR="00504892" w:rsidRPr="005E4FEA">
        <w:rPr>
          <w:rFonts w:ascii="Times New Roman" w:hAnsi="Times New Roman" w:cs="Times New Roman"/>
          <w:sz w:val="24"/>
          <w:szCs w:val="24"/>
        </w:rPr>
        <w:t>se</w:t>
      </w:r>
      <w:r w:rsidR="00E62A6C" w:rsidRPr="005E4FEA">
        <w:rPr>
          <w:rFonts w:ascii="Times New Roman" w:hAnsi="Times New Roman" w:cs="Times New Roman"/>
          <w:sz w:val="24"/>
          <w:szCs w:val="24"/>
        </w:rPr>
        <w:t xml:space="preserve"> documents are said to be under the control of the claimants had permitted the documents to be searched as part of the disclosure exercise which had already taken place.</w:t>
      </w:r>
      <w:r w:rsidR="00426CB0" w:rsidRPr="005E4FEA">
        <w:rPr>
          <w:rFonts w:ascii="Times New Roman" w:hAnsi="Times New Roman" w:cs="Times New Roman"/>
          <w:sz w:val="24"/>
          <w:szCs w:val="24"/>
        </w:rPr>
        <w:t xml:space="preserve"> On the basis of the available evidence</w:t>
      </w:r>
      <w:r w:rsidR="009416A2" w:rsidRPr="005E4FEA">
        <w:rPr>
          <w:rFonts w:ascii="Times New Roman" w:hAnsi="Times New Roman" w:cs="Times New Roman"/>
          <w:sz w:val="24"/>
          <w:szCs w:val="24"/>
        </w:rPr>
        <w:t>, Vos J held that he was satisfied that there has always been, and continues to be, and arrangement or understanding that the claimant would be able to access the documents</w:t>
      </w:r>
      <w:r w:rsidR="00B03CB6" w:rsidRPr="005E4FEA">
        <w:rPr>
          <w:rFonts w:ascii="Times New Roman" w:hAnsi="Times New Roman" w:cs="Times New Roman"/>
          <w:sz w:val="24"/>
          <w:szCs w:val="24"/>
        </w:rPr>
        <w:t xml:space="preserve"> held by the third parties</w:t>
      </w:r>
      <w:r w:rsidR="00880C19" w:rsidRPr="005E4FEA">
        <w:rPr>
          <w:rFonts w:ascii="Times New Roman" w:hAnsi="Times New Roman" w:cs="Times New Roman"/>
          <w:sz w:val="24"/>
          <w:szCs w:val="24"/>
        </w:rPr>
        <w:t xml:space="preserve">. The </w:t>
      </w:r>
      <w:r w:rsidR="00071A98" w:rsidRPr="005E4FEA">
        <w:rPr>
          <w:rFonts w:ascii="Times New Roman" w:hAnsi="Times New Roman" w:cs="Times New Roman"/>
          <w:sz w:val="24"/>
          <w:szCs w:val="24"/>
        </w:rPr>
        <w:t>only</w:t>
      </w:r>
      <w:r w:rsidR="00880C19" w:rsidRPr="005E4FEA">
        <w:rPr>
          <w:rFonts w:ascii="Times New Roman" w:hAnsi="Times New Roman" w:cs="Times New Roman"/>
          <w:sz w:val="24"/>
          <w:szCs w:val="24"/>
        </w:rPr>
        <w:t xml:space="preserve"> party who had not permitted his documents to be searched, Sheikh Khalifa</w:t>
      </w:r>
      <w:r w:rsidR="00876C91" w:rsidRPr="005E4FEA">
        <w:rPr>
          <w:rFonts w:ascii="Times New Roman" w:hAnsi="Times New Roman" w:cs="Times New Roman"/>
          <w:sz w:val="24"/>
          <w:szCs w:val="24"/>
        </w:rPr>
        <w:t>, was held not to be subject to the arrangement or understanding.</w:t>
      </w:r>
    </w:p>
    <w:p w14:paraId="0CD3027D" w14:textId="404A0675" w:rsidR="002A13BF" w:rsidRDefault="00370937" w:rsidP="00F12C7F">
      <w:pPr>
        <w:spacing w:before="120" w:line="360" w:lineRule="auto"/>
        <w:rPr>
          <w:rFonts w:ascii="Times New Roman" w:hAnsi="Times New Roman" w:cs="Times New Roman"/>
          <w:b/>
          <w:bCs/>
          <w:i/>
          <w:iCs/>
          <w:sz w:val="24"/>
          <w:szCs w:val="24"/>
        </w:rPr>
      </w:pPr>
      <w:r w:rsidRPr="00370937">
        <w:rPr>
          <w:rFonts w:ascii="Times New Roman" w:hAnsi="Times New Roman" w:cs="Times New Roman"/>
          <w:b/>
          <w:bCs/>
          <w:i/>
          <w:iCs/>
          <w:sz w:val="24"/>
          <w:szCs w:val="24"/>
        </w:rPr>
        <w:t>Wong v Grand View</w:t>
      </w:r>
    </w:p>
    <w:p w14:paraId="70E7A054" w14:textId="77777777" w:rsidR="00E33547" w:rsidRDefault="00E33547" w:rsidP="00F12C7F">
      <w:pPr>
        <w:spacing w:before="120" w:line="360" w:lineRule="auto"/>
        <w:rPr>
          <w:rFonts w:ascii="Times New Roman" w:hAnsi="Times New Roman" w:cs="Times New Roman"/>
          <w:b/>
          <w:bCs/>
          <w:i/>
          <w:iCs/>
          <w:sz w:val="24"/>
          <w:szCs w:val="24"/>
        </w:rPr>
      </w:pPr>
    </w:p>
    <w:p w14:paraId="0181880F" w14:textId="1599A2D2" w:rsidR="001F1E39" w:rsidRPr="005E4FEA" w:rsidRDefault="001F1E39" w:rsidP="005E4FEA">
      <w:pPr>
        <w:pStyle w:val="ListParagraph"/>
        <w:numPr>
          <w:ilvl w:val="0"/>
          <w:numId w:val="1"/>
        </w:numPr>
        <w:spacing w:before="120" w:line="360" w:lineRule="auto"/>
        <w:jc w:val="both"/>
        <w:rPr>
          <w:rFonts w:ascii="Times New Roman" w:hAnsi="Times New Roman" w:cs="Times New Roman"/>
          <w:sz w:val="24"/>
          <w:szCs w:val="24"/>
        </w:rPr>
      </w:pPr>
      <w:r w:rsidRPr="005E4FEA">
        <w:rPr>
          <w:rFonts w:ascii="Times New Roman" w:hAnsi="Times New Roman" w:cs="Times New Roman"/>
          <w:sz w:val="24"/>
          <w:szCs w:val="24"/>
        </w:rPr>
        <w:t xml:space="preserve">In </w:t>
      </w:r>
      <w:r w:rsidRPr="005E4FEA">
        <w:rPr>
          <w:rFonts w:ascii="Times New Roman" w:hAnsi="Times New Roman" w:cs="Times New Roman"/>
          <w:i/>
          <w:iCs/>
          <w:sz w:val="24"/>
          <w:szCs w:val="24"/>
        </w:rPr>
        <w:t>Wong v Grand View PTC</w:t>
      </w:r>
      <w:r w:rsidRPr="005E4FEA">
        <w:rPr>
          <w:rFonts w:ascii="Times New Roman" w:hAnsi="Times New Roman" w:cs="Times New Roman"/>
          <w:sz w:val="24"/>
          <w:szCs w:val="24"/>
        </w:rPr>
        <w:t xml:space="preserve"> [2020] SC (Bda) 57 Com (30 December 2020) Kawaley AJ considered at paragraphs 12 to 22 whether certain documents held in the finance department of a third-party corporate group were within the power of the defendant private trust companies (“PTCs”) for the purposes of discovery in the action. </w:t>
      </w:r>
      <w:r w:rsidR="00152626" w:rsidRPr="005E4FEA">
        <w:rPr>
          <w:rFonts w:ascii="Times New Roman" w:hAnsi="Times New Roman" w:cs="Times New Roman"/>
          <w:sz w:val="24"/>
          <w:szCs w:val="24"/>
        </w:rPr>
        <w:t>No suggestion was made that th</w:t>
      </w:r>
      <w:r w:rsidR="005A1626" w:rsidRPr="005E4FEA">
        <w:rPr>
          <w:rFonts w:ascii="Times New Roman" w:hAnsi="Times New Roman" w:cs="Times New Roman"/>
          <w:sz w:val="24"/>
          <w:szCs w:val="24"/>
        </w:rPr>
        <w:t>e</w:t>
      </w:r>
      <w:r w:rsidR="00152626" w:rsidRPr="005E4FEA">
        <w:rPr>
          <w:rFonts w:ascii="Times New Roman" w:hAnsi="Times New Roman" w:cs="Times New Roman"/>
          <w:sz w:val="24"/>
          <w:szCs w:val="24"/>
        </w:rPr>
        <w:t xml:space="preserve"> principles </w:t>
      </w:r>
      <w:r w:rsidR="005A1626" w:rsidRPr="005E4FEA">
        <w:rPr>
          <w:rFonts w:ascii="Times New Roman" w:hAnsi="Times New Roman" w:cs="Times New Roman"/>
          <w:sz w:val="24"/>
          <w:szCs w:val="24"/>
        </w:rPr>
        <w:t xml:space="preserve">applied in the English cases </w:t>
      </w:r>
      <w:r w:rsidR="00152626" w:rsidRPr="005E4FEA">
        <w:rPr>
          <w:rFonts w:ascii="Times New Roman" w:hAnsi="Times New Roman" w:cs="Times New Roman"/>
          <w:sz w:val="24"/>
          <w:szCs w:val="24"/>
        </w:rPr>
        <w:t xml:space="preserve">were inapplicable or somehow modified in Bermuda because of the distinction between the relevant provisions of the RSC and the CPR, and Kawaley AJ expressly relied at paragraph 17 on what was said in paragraph 21 of </w:t>
      </w:r>
      <w:r w:rsidR="00152626" w:rsidRPr="005E4FEA">
        <w:rPr>
          <w:rFonts w:ascii="Times New Roman" w:hAnsi="Times New Roman" w:cs="Times New Roman"/>
          <w:i/>
          <w:iCs/>
          <w:sz w:val="24"/>
          <w:szCs w:val="24"/>
        </w:rPr>
        <w:t xml:space="preserve">Schlumberger </w:t>
      </w:r>
      <w:r w:rsidR="00152626" w:rsidRPr="005E4FEA">
        <w:rPr>
          <w:rFonts w:ascii="Times New Roman" w:hAnsi="Times New Roman" w:cs="Times New Roman"/>
          <w:sz w:val="24"/>
          <w:szCs w:val="24"/>
        </w:rPr>
        <w:t xml:space="preserve">in concluding that the relevant material was within the </w:t>
      </w:r>
      <w:r w:rsidR="00540B19" w:rsidRPr="005E4FEA">
        <w:rPr>
          <w:rFonts w:ascii="Times New Roman" w:hAnsi="Times New Roman" w:cs="Times New Roman"/>
          <w:sz w:val="24"/>
          <w:szCs w:val="24"/>
        </w:rPr>
        <w:t>c</w:t>
      </w:r>
      <w:r w:rsidR="00645F7F" w:rsidRPr="005E4FEA">
        <w:rPr>
          <w:rFonts w:ascii="Times New Roman" w:hAnsi="Times New Roman" w:cs="Times New Roman"/>
          <w:sz w:val="24"/>
          <w:szCs w:val="24"/>
        </w:rPr>
        <w:t>ompany</w:t>
      </w:r>
      <w:r w:rsidR="00152626" w:rsidRPr="005E4FEA">
        <w:rPr>
          <w:rFonts w:ascii="Times New Roman" w:hAnsi="Times New Roman" w:cs="Times New Roman"/>
          <w:sz w:val="24"/>
          <w:szCs w:val="24"/>
        </w:rPr>
        <w:t>’ power.</w:t>
      </w:r>
    </w:p>
    <w:p w14:paraId="38888F14" w14:textId="77777777" w:rsidR="00C15845" w:rsidRDefault="00C15845" w:rsidP="00152626">
      <w:pPr>
        <w:spacing w:before="120" w:line="360" w:lineRule="auto"/>
        <w:rPr>
          <w:rFonts w:ascii="Times New Roman" w:hAnsi="Times New Roman" w:cs="Times New Roman"/>
          <w:sz w:val="24"/>
          <w:szCs w:val="24"/>
        </w:rPr>
      </w:pPr>
    </w:p>
    <w:p w14:paraId="2D27D843" w14:textId="60F9715B" w:rsidR="00C15845" w:rsidRPr="005E4FEA" w:rsidRDefault="00D74C6F" w:rsidP="005E4FEA">
      <w:pPr>
        <w:pStyle w:val="ListParagraph"/>
        <w:numPr>
          <w:ilvl w:val="0"/>
          <w:numId w:val="1"/>
        </w:numPr>
        <w:spacing w:before="120" w:line="360" w:lineRule="auto"/>
        <w:jc w:val="both"/>
        <w:rPr>
          <w:rFonts w:ascii="Times New Roman" w:hAnsi="Times New Roman" w:cs="Times New Roman"/>
          <w:sz w:val="24"/>
          <w:szCs w:val="24"/>
        </w:rPr>
      </w:pPr>
      <w:r w:rsidRPr="005E4FEA">
        <w:rPr>
          <w:rFonts w:ascii="Times New Roman" w:hAnsi="Times New Roman" w:cs="Times New Roman"/>
          <w:sz w:val="24"/>
          <w:szCs w:val="24"/>
        </w:rPr>
        <w:t>On its facts</w:t>
      </w:r>
      <w:r w:rsidR="00B2603E" w:rsidRPr="005E4FEA">
        <w:rPr>
          <w:rFonts w:ascii="Times New Roman" w:hAnsi="Times New Roman" w:cs="Times New Roman"/>
          <w:sz w:val="24"/>
          <w:szCs w:val="24"/>
        </w:rPr>
        <w:t xml:space="preserve"> the</w:t>
      </w:r>
      <w:r w:rsidR="00B2603E" w:rsidRPr="005E4FEA">
        <w:rPr>
          <w:rFonts w:ascii="Times New Roman" w:hAnsi="Times New Roman" w:cs="Times New Roman"/>
          <w:i/>
          <w:iCs/>
          <w:sz w:val="24"/>
          <w:szCs w:val="24"/>
        </w:rPr>
        <w:t xml:space="preserve"> Wong</w:t>
      </w:r>
      <w:r w:rsidR="00B2603E" w:rsidRPr="005E4FEA">
        <w:rPr>
          <w:rFonts w:ascii="Times New Roman" w:hAnsi="Times New Roman" w:cs="Times New Roman"/>
          <w:sz w:val="24"/>
          <w:szCs w:val="24"/>
        </w:rPr>
        <w:t xml:space="preserve"> case raised similar issues as</w:t>
      </w:r>
      <w:r w:rsidR="00532A32" w:rsidRPr="005E4FEA">
        <w:rPr>
          <w:rFonts w:ascii="Times New Roman" w:hAnsi="Times New Roman" w:cs="Times New Roman"/>
          <w:sz w:val="24"/>
          <w:szCs w:val="24"/>
        </w:rPr>
        <w:t xml:space="preserve"> those raised in </w:t>
      </w:r>
      <w:r w:rsidR="00532A32" w:rsidRPr="005E4FEA">
        <w:rPr>
          <w:rFonts w:ascii="Times New Roman" w:hAnsi="Times New Roman" w:cs="Times New Roman"/>
          <w:i/>
          <w:iCs/>
          <w:sz w:val="24"/>
          <w:szCs w:val="24"/>
        </w:rPr>
        <w:t>Schlumberger</w:t>
      </w:r>
      <w:r w:rsidR="00532A32" w:rsidRPr="005E4FEA">
        <w:rPr>
          <w:rFonts w:ascii="Times New Roman" w:hAnsi="Times New Roman" w:cs="Times New Roman"/>
          <w:sz w:val="24"/>
          <w:szCs w:val="24"/>
        </w:rPr>
        <w:t>.</w:t>
      </w:r>
      <w:r w:rsidR="00397F68" w:rsidRPr="005E4FEA">
        <w:rPr>
          <w:rFonts w:ascii="Times New Roman" w:hAnsi="Times New Roman" w:cs="Times New Roman"/>
          <w:sz w:val="24"/>
          <w:szCs w:val="24"/>
        </w:rPr>
        <w:t xml:space="preserve"> The relevant </w:t>
      </w:r>
      <w:r w:rsidR="005F1C9F" w:rsidRPr="005E4FEA">
        <w:rPr>
          <w:rFonts w:ascii="Times New Roman" w:hAnsi="Times New Roman" w:cs="Times New Roman"/>
          <w:sz w:val="24"/>
          <w:szCs w:val="24"/>
        </w:rPr>
        <w:t>third-party</w:t>
      </w:r>
      <w:r w:rsidR="00397F68" w:rsidRPr="005E4FEA">
        <w:rPr>
          <w:rFonts w:ascii="Times New Roman" w:hAnsi="Times New Roman" w:cs="Times New Roman"/>
          <w:sz w:val="24"/>
          <w:szCs w:val="24"/>
        </w:rPr>
        <w:t xml:space="preserve"> documents had already been accessed for the purposes of giving discovery. On that basis, Kawaley J</w:t>
      </w:r>
      <w:r w:rsidR="00CE6714" w:rsidRPr="005E4FEA">
        <w:rPr>
          <w:rFonts w:ascii="Times New Roman" w:hAnsi="Times New Roman" w:cs="Times New Roman"/>
          <w:sz w:val="24"/>
          <w:szCs w:val="24"/>
        </w:rPr>
        <w:t xml:space="preserve"> at [17</w:t>
      </w:r>
      <w:r w:rsidR="007545BE" w:rsidRPr="005E4FEA">
        <w:rPr>
          <w:rFonts w:ascii="Times New Roman" w:hAnsi="Times New Roman" w:cs="Times New Roman"/>
          <w:sz w:val="24"/>
          <w:szCs w:val="24"/>
        </w:rPr>
        <w:t>] inferred</w:t>
      </w:r>
      <w:r w:rsidR="00CE6714" w:rsidRPr="005E4FEA">
        <w:rPr>
          <w:rFonts w:ascii="Times New Roman" w:hAnsi="Times New Roman" w:cs="Times New Roman"/>
          <w:sz w:val="24"/>
          <w:szCs w:val="24"/>
        </w:rPr>
        <w:t xml:space="preserve"> the existence of a “</w:t>
      </w:r>
      <w:r w:rsidR="00CE6714" w:rsidRPr="005E4FEA">
        <w:rPr>
          <w:rFonts w:ascii="Times New Roman" w:hAnsi="Times New Roman" w:cs="Times New Roman"/>
          <w:i/>
          <w:iCs/>
          <w:sz w:val="24"/>
          <w:szCs w:val="24"/>
        </w:rPr>
        <w:t>general consent… to search for documents properly disclosable in this litigation</w:t>
      </w:r>
      <w:r w:rsidR="00CE6714" w:rsidRPr="005E4FEA">
        <w:rPr>
          <w:rFonts w:ascii="Times New Roman" w:hAnsi="Times New Roman" w:cs="Times New Roman"/>
          <w:sz w:val="24"/>
          <w:szCs w:val="24"/>
        </w:rPr>
        <w:t xml:space="preserve">”. </w:t>
      </w:r>
      <w:r w:rsidR="003310F7" w:rsidRPr="005E4FEA">
        <w:rPr>
          <w:rFonts w:ascii="Times New Roman" w:hAnsi="Times New Roman" w:cs="Times New Roman"/>
          <w:sz w:val="24"/>
          <w:szCs w:val="24"/>
        </w:rPr>
        <w:t>It is to be noted that the respondent’s primary opposition to the order was not that the documents could not be searched but that “</w:t>
      </w:r>
      <w:r w:rsidR="003310F7" w:rsidRPr="005E4FEA">
        <w:rPr>
          <w:rFonts w:ascii="Times New Roman" w:hAnsi="Times New Roman" w:cs="Times New Roman"/>
          <w:i/>
          <w:iCs/>
          <w:sz w:val="24"/>
          <w:szCs w:val="24"/>
        </w:rPr>
        <w:t>no more reasonably needs to be done</w:t>
      </w:r>
      <w:r w:rsidR="003310F7" w:rsidRPr="005E4FEA">
        <w:rPr>
          <w:rFonts w:ascii="Times New Roman" w:hAnsi="Times New Roman" w:cs="Times New Roman"/>
          <w:sz w:val="24"/>
          <w:szCs w:val="24"/>
        </w:rPr>
        <w:t>”.</w:t>
      </w:r>
    </w:p>
    <w:p w14:paraId="3B2BB154" w14:textId="77777777" w:rsidR="005F1C9F" w:rsidRDefault="005F1C9F" w:rsidP="00152626">
      <w:pPr>
        <w:spacing w:before="120" w:line="360" w:lineRule="auto"/>
        <w:rPr>
          <w:rFonts w:ascii="Times New Roman" w:hAnsi="Times New Roman" w:cs="Times New Roman"/>
          <w:sz w:val="24"/>
          <w:szCs w:val="24"/>
        </w:rPr>
      </w:pPr>
    </w:p>
    <w:p w14:paraId="7CC2C275" w14:textId="698C3B6F" w:rsidR="005F1C9F" w:rsidRDefault="005F1C9F" w:rsidP="00152626">
      <w:pPr>
        <w:spacing w:before="120" w:line="360" w:lineRule="auto"/>
        <w:rPr>
          <w:rFonts w:ascii="Times New Roman" w:hAnsi="Times New Roman" w:cs="Times New Roman"/>
          <w:b/>
          <w:bCs/>
          <w:i/>
          <w:iCs/>
          <w:sz w:val="24"/>
          <w:szCs w:val="24"/>
        </w:rPr>
      </w:pPr>
      <w:r w:rsidRPr="008D6508">
        <w:rPr>
          <w:rFonts w:ascii="Times New Roman" w:hAnsi="Times New Roman" w:cs="Times New Roman"/>
          <w:b/>
          <w:bCs/>
          <w:i/>
          <w:iCs/>
          <w:sz w:val="24"/>
          <w:szCs w:val="24"/>
        </w:rPr>
        <w:t>Ivanish</w:t>
      </w:r>
      <w:r w:rsidR="007C2A00" w:rsidRPr="008D6508">
        <w:rPr>
          <w:rFonts w:ascii="Times New Roman" w:hAnsi="Times New Roman" w:cs="Times New Roman"/>
          <w:b/>
          <w:bCs/>
          <w:i/>
          <w:iCs/>
          <w:sz w:val="24"/>
          <w:szCs w:val="24"/>
        </w:rPr>
        <w:t>vili v Credit Suisse</w:t>
      </w:r>
    </w:p>
    <w:p w14:paraId="7DC7CADC" w14:textId="77777777" w:rsidR="007545BE" w:rsidRDefault="007545BE" w:rsidP="00152626">
      <w:pPr>
        <w:spacing w:before="120" w:line="360" w:lineRule="auto"/>
        <w:rPr>
          <w:rFonts w:ascii="Times New Roman" w:hAnsi="Times New Roman" w:cs="Times New Roman"/>
          <w:b/>
          <w:bCs/>
          <w:i/>
          <w:iCs/>
          <w:sz w:val="24"/>
          <w:szCs w:val="24"/>
        </w:rPr>
      </w:pPr>
    </w:p>
    <w:p w14:paraId="46B3C270" w14:textId="1218675F" w:rsidR="007545BE" w:rsidRPr="005E4FEA" w:rsidRDefault="001D191F" w:rsidP="005E4FEA">
      <w:pPr>
        <w:pStyle w:val="ListParagraph"/>
        <w:numPr>
          <w:ilvl w:val="0"/>
          <w:numId w:val="1"/>
        </w:numPr>
        <w:spacing w:before="120" w:line="360" w:lineRule="auto"/>
        <w:jc w:val="both"/>
        <w:rPr>
          <w:rFonts w:ascii="Times New Roman" w:hAnsi="Times New Roman" w:cs="Times New Roman"/>
          <w:sz w:val="24"/>
          <w:szCs w:val="24"/>
        </w:rPr>
      </w:pPr>
      <w:r w:rsidRPr="005E4FEA">
        <w:rPr>
          <w:rFonts w:ascii="Times New Roman" w:hAnsi="Times New Roman" w:cs="Times New Roman"/>
          <w:sz w:val="24"/>
          <w:szCs w:val="24"/>
        </w:rPr>
        <w:t xml:space="preserve">In </w:t>
      </w:r>
      <w:r w:rsidRPr="005E4FEA">
        <w:rPr>
          <w:rFonts w:ascii="Times New Roman" w:hAnsi="Times New Roman" w:cs="Times New Roman"/>
          <w:i/>
          <w:iCs/>
          <w:sz w:val="24"/>
          <w:szCs w:val="24"/>
        </w:rPr>
        <w:t>Ivanishvili v Credit Suisse</w:t>
      </w:r>
      <w:r w:rsidRPr="005E4FEA">
        <w:rPr>
          <w:rFonts w:ascii="Times New Roman" w:hAnsi="Times New Roman" w:cs="Times New Roman"/>
          <w:sz w:val="24"/>
          <w:szCs w:val="24"/>
        </w:rPr>
        <w:t xml:space="preserve"> [2021] SC (Bda) SC 81 (30 September 2021) this Court was concerned with an application for an unless order requiring </w:t>
      </w:r>
      <w:r w:rsidR="001B34C2" w:rsidRPr="005E4FEA">
        <w:rPr>
          <w:rFonts w:ascii="Times New Roman" w:hAnsi="Times New Roman" w:cs="Times New Roman"/>
          <w:sz w:val="24"/>
          <w:szCs w:val="24"/>
        </w:rPr>
        <w:t>discovery</w:t>
      </w:r>
      <w:r w:rsidRPr="005E4FEA">
        <w:rPr>
          <w:rFonts w:ascii="Times New Roman" w:hAnsi="Times New Roman" w:cs="Times New Roman"/>
          <w:sz w:val="24"/>
          <w:szCs w:val="24"/>
        </w:rPr>
        <w:t xml:space="preserve"> of certain documents held by a third-party bank which the defendant, CS Life, had been ordered to disclose on the footing that they were within the defendant’s power because the defendant had a legal right to the documents under Swiss law, which was the system of law applicable to the relationship between CS Life and the third-party</w:t>
      </w:r>
      <w:r w:rsidR="006E3917" w:rsidRPr="005E4FEA">
        <w:rPr>
          <w:rFonts w:ascii="Times New Roman" w:hAnsi="Times New Roman" w:cs="Times New Roman"/>
          <w:sz w:val="24"/>
          <w:szCs w:val="24"/>
        </w:rPr>
        <w:t xml:space="preserve"> bank.</w:t>
      </w:r>
    </w:p>
    <w:p w14:paraId="5919F4C4" w14:textId="77777777" w:rsidR="008542E4" w:rsidRDefault="008542E4" w:rsidP="001D191F">
      <w:pPr>
        <w:spacing w:before="120" w:line="360" w:lineRule="auto"/>
        <w:rPr>
          <w:rFonts w:ascii="Times New Roman" w:hAnsi="Times New Roman" w:cs="Times New Roman"/>
          <w:sz w:val="24"/>
          <w:szCs w:val="24"/>
        </w:rPr>
      </w:pPr>
    </w:p>
    <w:p w14:paraId="6CF48BE7" w14:textId="7F6130F5" w:rsidR="008542E4" w:rsidRPr="005E4FEA" w:rsidRDefault="00C80AEE" w:rsidP="005E4FEA">
      <w:pPr>
        <w:pStyle w:val="ListParagraph"/>
        <w:numPr>
          <w:ilvl w:val="0"/>
          <w:numId w:val="1"/>
        </w:numPr>
        <w:spacing w:before="120" w:line="360" w:lineRule="auto"/>
        <w:jc w:val="both"/>
        <w:rPr>
          <w:rFonts w:ascii="Times New Roman" w:hAnsi="Times New Roman" w:cs="Times New Roman"/>
          <w:sz w:val="24"/>
          <w:szCs w:val="24"/>
        </w:rPr>
      </w:pPr>
      <w:r w:rsidRPr="005E4FEA">
        <w:rPr>
          <w:rFonts w:ascii="Times New Roman" w:hAnsi="Times New Roman" w:cs="Times New Roman"/>
          <w:i/>
          <w:iCs/>
          <w:sz w:val="24"/>
          <w:szCs w:val="24"/>
        </w:rPr>
        <w:t>Credit Suisse</w:t>
      </w:r>
      <w:r w:rsidRPr="005E4FEA">
        <w:rPr>
          <w:rFonts w:ascii="Times New Roman" w:hAnsi="Times New Roman" w:cs="Times New Roman"/>
          <w:sz w:val="24"/>
          <w:szCs w:val="24"/>
        </w:rPr>
        <w:t xml:space="preserve"> is of limited relevance to this case given that in an earlier judgement ([2020]</w:t>
      </w:r>
      <w:r w:rsidR="00A47756" w:rsidRPr="005E4FEA">
        <w:rPr>
          <w:rFonts w:ascii="Times New Roman" w:hAnsi="Times New Roman" w:cs="Times New Roman"/>
          <w:sz w:val="24"/>
          <w:szCs w:val="24"/>
        </w:rPr>
        <w:t xml:space="preserve"> SC (Bda) 11Civ</w:t>
      </w:r>
      <w:r w:rsidR="0088182B" w:rsidRPr="005E4FEA">
        <w:rPr>
          <w:rFonts w:ascii="Times New Roman" w:hAnsi="Times New Roman" w:cs="Times New Roman"/>
          <w:sz w:val="24"/>
          <w:szCs w:val="24"/>
        </w:rPr>
        <w:t>.)</w:t>
      </w:r>
      <w:r w:rsidR="00DB5EE5" w:rsidRPr="005E4FEA">
        <w:rPr>
          <w:rFonts w:ascii="Times New Roman" w:hAnsi="Times New Roman" w:cs="Times New Roman"/>
          <w:sz w:val="24"/>
          <w:szCs w:val="24"/>
        </w:rPr>
        <w:t xml:space="preserve">, </w:t>
      </w:r>
      <w:r w:rsidR="00D70E16" w:rsidRPr="005E4FEA">
        <w:rPr>
          <w:rFonts w:ascii="Times New Roman" w:hAnsi="Times New Roman" w:cs="Times New Roman"/>
          <w:sz w:val="24"/>
          <w:szCs w:val="24"/>
        </w:rPr>
        <w:t>t</w:t>
      </w:r>
      <w:r w:rsidR="00DB5EE5" w:rsidRPr="005E4FEA">
        <w:rPr>
          <w:rFonts w:ascii="Times New Roman" w:hAnsi="Times New Roman" w:cs="Times New Roman"/>
          <w:sz w:val="24"/>
          <w:szCs w:val="24"/>
        </w:rPr>
        <w:t>he Court ha</w:t>
      </w:r>
      <w:r w:rsidR="00D70E16" w:rsidRPr="005E4FEA">
        <w:rPr>
          <w:rFonts w:ascii="Times New Roman" w:hAnsi="Times New Roman" w:cs="Times New Roman"/>
          <w:sz w:val="24"/>
          <w:szCs w:val="24"/>
        </w:rPr>
        <w:t>d</w:t>
      </w:r>
      <w:r w:rsidR="00DB5EE5" w:rsidRPr="005E4FEA">
        <w:rPr>
          <w:rFonts w:ascii="Times New Roman" w:hAnsi="Times New Roman" w:cs="Times New Roman"/>
          <w:sz w:val="24"/>
          <w:szCs w:val="24"/>
        </w:rPr>
        <w:t xml:space="preserve"> held that, as a matter of Swiss law pursuant to Article 400 of the Swiss Co</w:t>
      </w:r>
      <w:r w:rsidR="00BD656A" w:rsidRPr="005E4FEA">
        <w:rPr>
          <w:rFonts w:ascii="Times New Roman" w:hAnsi="Times New Roman" w:cs="Times New Roman"/>
          <w:sz w:val="24"/>
          <w:szCs w:val="24"/>
        </w:rPr>
        <w:t>de</w:t>
      </w:r>
      <w:r w:rsidR="00DB5EE5" w:rsidRPr="005E4FEA">
        <w:rPr>
          <w:rFonts w:ascii="Times New Roman" w:hAnsi="Times New Roman" w:cs="Times New Roman"/>
          <w:sz w:val="24"/>
          <w:szCs w:val="24"/>
        </w:rPr>
        <w:t xml:space="preserve"> of Obligations, the defendant had legal power over the documents of</w:t>
      </w:r>
      <w:r w:rsidR="00B56CA8" w:rsidRPr="005E4FEA">
        <w:rPr>
          <w:rFonts w:ascii="Times New Roman" w:hAnsi="Times New Roman" w:cs="Times New Roman"/>
          <w:sz w:val="24"/>
          <w:szCs w:val="24"/>
        </w:rPr>
        <w:t xml:space="preserve"> </w:t>
      </w:r>
      <w:r w:rsidR="00107A95" w:rsidRPr="005E4FEA">
        <w:rPr>
          <w:rFonts w:ascii="Times New Roman" w:hAnsi="Times New Roman" w:cs="Times New Roman"/>
          <w:sz w:val="24"/>
          <w:szCs w:val="24"/>
        </w:rPr>
        <w:t>C</w:t>
      </w:r>
      <w:r w:rsidR="00B56CA8" w:rsidRPr="005E4FEA">
        <w:rPr>
          <w:rFonts w:ascii="Times New Roman" w:hAnsi="Times New Roman" w:cs="Times New Roman"/>
          <w:sz w:val="24"/>
          <w:szCs w:val="24"/>
        </w:rPr>
        <w:t>redit Suisse AG</w:t>
      </w:r>
      <w:r w:rsidR="00551E9A" w:rsidRPr="005E4FEA">
        <w:rPr>
          <w:rFonts w:ascii="Times New Roman" w:hAnsi="Times New Roman" w:cs="Times New Roman"/>
          <w:sz w:val="24"/>
          <w:szCs w:val="24"/>
        </w:rPr>
        <w:t>.</w:t>
      </w:r>
      <w:r w:rsidR="0002441F" w:rsidRPr="005E4FEA">
        <w:rPr>
          <w:rFonts w:ascii="Times New Roman" w:hAnsi="Times New Roman" w:cs="Times New Roman"/>
          <w:sz w:val="24"/>
          <w:szCs w:val="24"/>
        </w:rPr>
        <w:t xml:space="preserve"> The plaintiffs in that case did not advance a case that the documents of</w:t>
      </w:r>
      <w:r w:rsidR="00C63C78" w:rsidRPr="005E4FEA">
        <w:rPr>
          <w:rFonts w:ascii="Times New Roman" w:hAnsi="Times New Roman" w:cs="Times New Roman"/>
          <w:sz w:val="24"/>
          <w:szCs w:val="24"/>
        </w:rPr>
        <w:t xml:space="preserve"> </w:t>
      </w:r>
      <w:r w:rsidR="001E5781" w:rsidRPr="005E4FEA">
        <w:rPr>
          <w:rFonts w:ascii="Times New Roman" w:hAnsi="Times New Roman" w:cs="Times New Roman"/>
          <w:sz w:val="24"/>
          <w:szCs w:val="24"/>
        </w:rPr>
        <w:t>Credit Suisse AG, the bank, were within the “</w:t>
      </w:r>
      <w:r w:rsidR="001E5781" w:rsidRPr="005E4FEA">
        <w:rPr>
          <w:rFonts w:ascii="Times New Roman" w:hAnsi="Times New Roman" w:cs="Times New Roman"/>
          <w:i/>
          <w:iCs/>
          <w:sz w:val="24"/>
          <w:szCs w:val="24"/>
        </w:rPr>
        <w:t>practical control</w:t>
      </w:r>
      <w:r w:rsidR="001E5781" w:rsidRPr="005E4FEA">
        <w:rPr>
          <w:rFonts w:ascii="Times New Roman" w:hAnsi="Times New Roman" w:cs="Times New Roman"/>
          <w:sz w:val="24"/>
          <w:szCs w:val="24"/>
        </w:rPr>
        <w:t>”</w:t>
      </w:r>
      <w:r w:rsidR="00D70E16" w:rsidRPr="005E4FEA">
        <w:rPr>
          <w:rFonts w:ascii="Times New Roman" w:hAnsi="Times New Roman" w:cs="Times New Roman"/>
          <w:sz w:val="24"/>
          <w:szCs w:val="24"/>
        </w:rPr>
        <w:t xml:space="preserve"> of the defendant.</w:t>
      </w:r>
    </w:p>
    <w:p w14:paraId="5665B846" w14:textId="77777777" w:rsidR="00551E9A" w:rsidRDefault="00551E9A" w:rsidP="001D191F">
      <w:pPr>
        <w:spacing w:before="120" w:line="360" w:lineRule="auto"/>
        <w:rPr>
          <w:rFonts w:ascii="Times New Roman" w:hAnsi="Times New Roman" w:cs="Times New Roman"/>
          <w:sz w:val="24"/>
          <w:szCs w:val="24"/>
        </w:rPr>
      </w:pPr>
    </w:p>
    <w:p w14:paraId="210E91C8" w14:textId="132268F1" w:rsidR="00551E9A" w:rsidRDefault="00EF0E76" w:rsidP="001D191F">
      <w:pPr>
        <w:spacing w:before="120" w:line="360" w:lineRule="auto"/>
        <w:rPr>
          <w:rFonts w:ascii="Times New Roman" w:hAnsi="Times New Roman" w:cs="Times New Roman"/>
          <w:b/>
          <w:bCs/>
          <w:i/>
          <w:iCs/>
          <w:sz w:val="24"/>
          <w:szCs w:val="24"/>
        </w:rPr>
      </w:pPr>
      <w:r w:rsidRPr="00EF0E76">
        <w:rPr>
          <w:rFonts w:ascii="Times New Roman" w:hAnsi="Times New Roman" w:cs="Times New Roman"/>
          <w:b/>
          <w:bCs/>
          <w:i/>
          <w:iCs/>
          <w:sz w:val="24"/>
          <w:szCs w:val="24"/>
        </w:rPr>
        <w:t>Estate of Osama Abudawood</w:t>
      </w:r>
    </w:p>
    <w:p w14:paraId="4C97C406" w14:textId="77777777" w:rsidR="007E75F4" w:rsidRPr="007F499A" w:rsidRDefault="007E75F4" w:rsidP="001D191F">
      <w:pPr>
        <w:spacing w:before="120" w:line="360" w:lineRule="auto"/>
        <w:rPr>
          <w:rFonts w:ascii="Times New Roman" w:hAnsi="Times New Roman" w:cs="Times New Roman"/>
          <w:sz w:val="24"/>
          <w:szCs w:val="24"/>
        </w:rPr>
      </w:pPr>
    </w:p>
    <w:p w14:paraId="62FF05C8" w14:textId="17CD7C5D" w:rsidR="007E75F4" w:rsidRPr="005E4FEA" w:rsidRDefault="007E75F4" w:rsidP="005E4FEA">
      <w:pPr>
        <w:pStyle w:val="ListParagraph"/>
        <w:numPr>
          <w:ilvl w:val="0"/>
          <w:numId w:val="1"/>
        </w:numPr>
        <w:spacing w:before="120" w:line="360" w:lineRule="auto"/>
        <w:jc w:val="both"/>
        <w:rPr>
          <w:rFonts w:ascii="Times New Roman" w:hAnsi="Times New Roman" w:cs="Times New Roman"/>
          <w:sz w:val="24"/>
          <w:szCs w:val="24"/>
        </w:rPr>
      </w:pPr>
      <w:r w:rsidRPr="005E4FEA">
        <w:rPr>
          <w:rFonts w:ascii="Times New Roman" w:hAnsi="Times New Roman" w:cs="Times New Roman"/>
          <w:sz w:val="24"/>
          <w:szCs w:val="24"/>
        </w:rPr>
        <w:t>Mr Moore KC</w:t>
      </w:r>
      <w:r w:rsidR="007F499A" w:rsidRPr="005E4FEA">
        <w:rPr>
          <w:rFonts w:ascii="Times New Roman" w:hAnsi="Times New Roman" w:cs="Times New Roman"/>
          <w:sz w:val="24"/>
          <w:szCs w:val="24"/>
        </w:rPr>
        <w:t xml:space="preserve"> drew </w:t>
      </w:r>
      <w:r w:rsidR="00F73C40" w:rsidRPr="005E4FEA">
        <w:rPr>
          <w:rFonts w:ascii="Times New Roman" w:hAnsi="Times New Roman" w:cs="Times New Roman"/>
          <w:sz w:val="24"/>
          <w:szCs w:val="24"/>
        </w:rPr>
        <w:t xml:space="preserve">to </w:t>
      </w:r>
      <w:r w:rsidR="007F499A" w:rsidRPr="005E4FEA">
        <w:rPr>
          <w:rFonts w:ascii="Times New Roman" w:hAnsi="Times New Roman" w:cs="Times New Roman"/>
          <w:sz w:val="24"/>
          <w:szCs w:val="24"/>
        </w:rPr>
        <w:t xml:space="preserve">the attention of the Court the Cayman </w:t>
      </w:r>
      <w:r w:rsidR="00D673BA" w:rsidRPr="005E4FEA">
        <w:rPr>
          <w:rFonts w:ascii="Times New Roman" w:hAnsi="Times New Roman" w:cs="Times New Roman"/>
          <w:sz w:val="24"/>
          <w:szCs w:val="24"/>
        </w:rPr>
        <w:t>authority of</w:t>
      </w:r>
      <w:r w:rsidR="00CE124D" w:rsidRPr="005E4FEA">
        <w:rPr>
          <w:rFonts w:ascii="Times New Roman" w:hAnsi="Times New Roman" w:cs="Times New Roman"/>
          <w:sz w:val="24"/>
          <w:szCs w:val="24"/>
        </w:rPr>
        <w:t xml:space="preserve"> </w:t>
      </w:r>
      <w:r w:rsidR="00CE124D" w:rsidRPr="005E4FEA">
        <w:rPr>
          <w:rFonts w:ascii="Times New Roman" w:hAnsi="Times New Roman" w:cs="Times New Roman"/>
          <w:i/>
          <w:iCs/>
          <w:sz w:val="24"/>
          <w:szCs w:val="24"/>
        </w:rPr>
        <w:t>Re Abudawood</w:t>
      </w:r>
      <w:r w:rsidR="00CE124D" w:rsidRPr="005E4FEA">
        <w:rPr>
          <w:rFonts w:ascii="Times New Roman" w:hAnsi="Times New Roman" w:cs="Times New Roman"/>
          <w:sz w:val="24"/>
          <w:szCs w:val="24"/>
        </w:rPr>
        <w:t xml:space="preserve"> (unreported</w:t>
      </w:r>
      <w:r w:rsidR="00DF6C25" w:rsidRPr="005E4FEA">
        <w:rPr>
          <w:rFonts w:ascii="Times New Roman" w:hAnsi="Times New Roman" w:cs="Times New Roman"/>
          <w:sz w:val="24"/>
          <w:szCs w:val="24"/>
        </w:rPr>
        <w:t>, Cayman Islands, 27 July 2022),</w:t>
      </w:r>
      <w:r w:rsidR="00E67603" w:rsidRPr="005E4FEA">
        <w:rPr>
          <w:rFonts w:ascii="Times New Roman" w:hAnsi="Times New Roman" w:cs="Times New Roman"/>
          <w:sz w:val="24"/>
          <w:szCs w:val="24"/>
        </w:rPr>
        <w:t xml:space="preserve"> where the Grand Court was concerned</w:t>
      </w:r>
      <w:r w:rsidR="00410F75" w:rsidRPr="005E4FEA">
        <w:rPr>
          <w:rFonts w:ascii="Times New Roman" w:hAnsi="Times New Roman" w:cs="Times New Roman"/>
          <w:sz w:val="24"/>
          <w:szCs w:val="24"/>
        </w:rPr>
        <w:t xml:space="preserve"> whether the respondent had power over the documents of its subsidiaries.</w:t>
      </w:r>
    </w:p>
    <w:p w14:paraId="2034D9D7" w14:textId="77777777" w:rsidR="00410F75" w:rsidRDefault="00410F75" w:rsidP="001D191F">
      <w:pPr>
        <w:spacing w:before="120" w:line="360" w:lineRule="auto"/>
        <w:rPr>
          <w:rFonts w:ascii="Times New Roman" w:hAnsi="Times New Roman" w:cs="Times New Roman"/>
          <w:sz w:val="24"/>
          <w:szCs w:val="24"/>
        </w:rPr>
      </w:pPr>
    </w:p>
    <w:p w14:paraId="599CAAB7" w14:textId="49EB387C" w:rsidR="00410F75" w:rsidRPr="00380F1E" w:rsidRDefault="00410F75" w:rsidP="00380F1E">
      <w:pPr>
        <w:pStyle w:val="ListParagraph"/>
        <w:numPr>
          <w:ilvl w:val="0"/>
          <w:numId w:val="1"/>
        </w:numPr>
        <w:spacing w:before="120" w:line="360" w:lineRule="auto"/>
        <w:jc w:val="both"/>
        <w:rPr>
          <w:rFonts w:ascii="Times New Roman" w:hAnsi="Times New Roman" w:cs="Times New Roman"/>
          <w:sz w:val="24"/>
          <w:szCs w:val="24"/>
        </w:rPr>
      </w:pPr>
      <w:r w:rsidRPr="00380F1E">
        <w:rPr>
          <w:rFonts w:ascii="Times New Roman" w:hAnsi="Times New Roman" w:cs="Times New Roman"/>
          <w:sz w:val="24"/>
          <w:szCs w:val="24"/>
        </w:rPr>
        <w:t xml:space="preserve">In considering this issue, Kawaley J </w:t>
      </w:r>
      <w:r w:rsidR="006F1BB1" w:rsidRPr="00380F1E">
        <w:rPr>
          <w:rFonts w:ascii="Times New Roman" w:hAnsi="Times New Roman" w:cs="Times New Roman"/>
          <w:sz w:val="24"/>
          <w:szCs w:val="24"/>
        </w:rPr>
        <w:t>first addressed the question of burden of proof</w:t>
      </w:r>
      <w:r w:rsidR="001459D0" w:rsidRPr="00380F1E">
        <w:rPr>
          <w:rFonts w:ascii="Times New Roman" w:hAnsi="Times New Roman" w:cs="Times New Roman"/>
          <w:sz w:val="24"/>
          <w:szCs w:val="24"/>
        </w:rPr>
        <w:t>.</w:t>
      </w:r>
      <w:r w:rsidR="00337194" w:rsidRPr="00380F1E">
        <w:rPr>
          <w:rFonts w:ascii="Times New Roman" w:hAnsi="Times New Roman" w:cs="Times New Roman"/>
          <w:sz w:val="24"/>
          <w:szCs w:val="24"/>
        </w:rPr>
        <w:t xml:space="preserve"> </w:t>
      </w:r>
      <w:r w:rsidR="009D58C6" w:rsidRPr="00380F1E">
        <w:rPr>
          <w:rFonts w:ascii="Times New Roman" w:hAnsi="Times New Roman" w:cs="Times New Roman"/>
          <w:sz w:val="24"/>
          <w:szCs w:val="24"/>
        </w:rPr>
        <w:t>Kawaley J held</w:t>
      </w:r>
      <w:r w:rsidR="00CE17BE" w:rsidRPr="00380F1E">
        <w:rPr>
          <w:rFonts w:ascii="Times New Roman" w:hAnsi="Times New Roman" w:cs="Times New Roman"/>
          <w:sz w:val="24"/>
          <w:szCs w:val="24"/>
        </w:rPr>
        <w:t xml:space="preserve"> that</w:t>
      </w:r>
      <w:r w:rsidR="00427285" w:rsidRPr="00380F1E">
        <w:rPr>
          <w:rFonts w:ascii="Times New Roman" w:hAnsi="Times New Roman" w:cs="Times New Roman"/>
          <w:sz w:val="24"/>
          <w:szCs w:val="24"/>
        </w:rPr>
        <w:t xml:space="preserve"> the applicant for an order of specific discovery (and indeed for most forms of interim relief) assumes both (a) the burden of persuading the Court that the relief sought should be granted and (b) the evidential burden of proving that the requisite interlocutory factual findings should properly be made.</w:t>
      </w:r>
      <w:r w:rsidR="002E4308" w:rsidRPr="00380F1E">
        <w:rPr>
          <w:rFonts w:ascii="Times New Roman" w:hAnsi="Times New Roman" w:cs="Times New Roman"/>
          <w:sz w:val="24"/>
          <w:szCs w:val="24"/>
        </w:rPr>
        <w:t xml:space="preserve"> </w:t>
      </w:r>
      <w:r w:rsidR="000410B2" w:rsidRPr="00380F1E">
        <w:rPr>
          <w:rFonts w:ascii="Times New Roman" w:hAnsi="Times New Roman" w:cs="Times New Roman"/>
          <w:sz w:val="24"/>
          <w:szCs w:val="24"/>
        </w:rPr>
        <w:t xml:space="preserve">In the interlocutory context, Kawaley J </w:t>
      </w:r>
      <w:r w:rsidR="00D14AB5" w:rsidRPr="00380F1E">
        <w:rPr>
          <w:rFonts w:ascii="Times New Roman" w:hAnsi="Times New Roman" w:cs="Times New Roman"/>
          <w:sz w:val="24"/>
          <w:szCs w:val="24"/>
        </w:rPr>
        <w:t>held, it</w:t>
      </w:r>
      <w:r w:rsidR="000410B2" w:rsidRPr="00380F1E">
        <w:rPr>
          <w:rFonts w:ascii="Times New Roman" w:hAnsi="Times New Roman" w:cs="Times New Roman"/>
          <w:sz w:val="24"/>
          <w:szCs w:val="24"/>
        </w:rPr>
        <w:t xml:space="preserve"> must generally be the case that the approach to the evidence, when it is untested by cross-examination, must be somewhat different to the position at trial. Interlocutory factual findings based on documentary evidence alone are implicitly always made on the assumption that: (a) the findings can safely be made without a full factual inquiry; and (b) the applicant for interlocutory relief has discharged the evidential and persuasive burden of demonstrating that it is appropriate both for: (1) the interlocutory findings upon which the application is founded to be recorded in the applicant’s favour, and</w:t>
      </w:r>
      <w:r w:rsidR="00C23304" w:rsidRPr="00380F1E">
        <w:rPr>
          <w:rFonts w:ascii="Times New Roman" w:hAnsi="Times New Roman" w:cs="Times New Roman"/>
          <w:sz w:val="24"/>
          <w:szCs w:val="24"/>
        </w:rPr>
        <w:t xml:space="preserve"> (2) the relief sought to be granted applying the relevant legal jurisdictional test.</w:t>
      </w:r>
    </w:p>
    <w:p w14:paraId="0533D1E8" w14:textId="77777777" w:rsidR="005E2D89" w:rsidRDefault="005E2D89" w:rsidP="00C23304">
      <w:pPr>
        <w:spacing w:before="120" w:line="360" w:lineRule="auto"/>
        <w:rPr>
          <w:rFonts w:ascii="Times New Roman" w:hAnsi="Times New Roman" w:cs="Times New Roman"/>
          <w:sz w:val="24"/>
          <w:szCs w:val="24"/>
        </w:rPr>
      </w:pPr>
    </w:p>
    <w:p w14:paraId="4E6168E3" w14:textId="1947E458" w:rsidR="005E2D89" w:rsidRPr="00380F1E" w:rsidRDefault="005E2D89" w:rsidP="00380F1E">
      <w:pPr>
        <w:pStyle w:val="ListParagraph"/>
        <w:numPr>
          <w:ilvl w:val="0"/>
          <w:numId w:val="1"/>
        </w:numPr>
        <w:spacing w:before="120" w:line="360" w:lineRule="auto"/>
        <w:jc w:val="both"/>
        <w:rPr>
          <w:rFonts w:ascii="Times New Roman" w:hAnsi="Times New Roman" w:cs="Times New Roman"/>
          <w:sz w:val="24"/>
          <w:szCs w:val="24"/>
        </w:rPr>
      </w:pPr>
      <w:r w:rsidRPr="00380F1E">
        <w:rPr>
          <w:rFonts w:ascii="Times New Roman" w:hAnsi="Times New Roman" w:cs="Times New Roman"/>
          <w:sz w:val="24"/>
          <w:szCs w:val="24"/>
        </w:rPr>
        <w:t xml:space="preserve">Kawaley J held at </w:t>
      </w:r>
      <w:r w:rsidR="00514828" w:rsidRPr="00380F1E">
        <w:rPr>
          <w:rFonts w:ascii="Times New Roman" w:hAnsi="Times New Roman" w:cs="Times New Roman"/>
          <w:sz w:val="24"/>
          <w:szCs w:val="24"/>
        </w:rPr>
        <w:t>[37]</w:t>
      </w:r>
      <w:r w:rsidR="00B9563B" w:rsidRPr="00380F1E">
        <w:rPr>
          <w:rFonts w:ascii="Times New Roman" w:hAnsi="Times New Roman" w:cs="Times New Roman"/>
          <w:sz w:val="24"/>
          <w:szCs w:val="24"/>
        </w:rPr>
        <w:t xml:space="preserve"> that</w:t>
      </w:r>
      <w:r w:rsidR="006F2840" w:rsidRPr="00380F1E">
        <w:rPr>
          <w:rFonts w:ascii="Times New Roman" w:hAnsi="Times New Roman" w:cs="Times New Roman"/>
          <w:sz w:val="24"/>
          <w:szCs w:val="24"/>
        </w:rPr>
        <w:t xml:space="preserve"> it is likely to take unusual circumstances for such voluntarily disclosed information to reveal sufficient detail about the inter-group operations to support a positive finding that as matter of practical reality the parent </w:t>
      </w:r>
      <w:r w:rsidR="00540B19" w:rsidRPr="00380F1E">
        <w:rPr>
          <w:rFonts w:ascii="Times New Roman" w:hAnsi="Times New Roman" w:cs="Times New Roman"/>
          <w:sz w:val="24"/>
          <w:szCs w:val="24"/>
        </w:rPr>
        <w:t>c</w:t>
      </w:r>
      <w:r w:rsidR="00645F7F" w:rsidRPr="00380F1E">
        <w:rPr>
          <w:rFonts w:ascii="Times New Roman" w:hAnsi="Times New Roman" w:cs="Times New Roman"/>
          <w:sz w:val="24"/>
          <w:szCs w:val="24"/>
        </w:rPr>
        <w:t>ompany</w:t>
      </w:r>
      <w:r w:rsidR="006F2840" w:rsidRPr="00380F1E">
        <w:rPr>
          <w:rFonts w:ascii="Times New Roman" w:hAnsi="Times New Roman" w:cs="Times New Roman"/>
          <w:sz w:val="24"/>
          <w:szCs w:val="24"/>
        </w:rPr>
        <w:t xml:space="preserve"> has an unfettered right of access to its subsidiaries’ documents for discovery purposes.</w:t>
      </w:r>
      <w:r w:rsidR="00C0494F" w:rsidRPr="00380F1E">
        <w:rPr>
          <w:rFonts w:ascii="Times New Roman" w:hAnsi="Times New Roman" w:cs="Times New Roman"/>
          <w:sz w:val="24"/>
          <w:szCs w:val="24"/>
        </w:rPr>
        <w:t xml:space="preserve"> In support of the contention</w:t>
      </w:r>
      <w:r w:rsidR="002623AB" w:rsidRPr="00380F1E">
        <w:rPr>
          <w:rFonts w:ascii="Times New Roman" w:hAnsi="Times New Roman" w:cs="Times New Roman"/>
          <w:sz w:val="24"/>
          <w:szCs w:val="24"/>
        </w:rPr>
        <w:t xml:space="preserve"> that the parent can in fact access its subsidiaries’ documents</w:t>
      </w:r>
      <w:r w:rsidR="005254DB" w:rsidRPr="00380F1E">
        <w:rPr>
          <w:rFonts w:ascii="Times New Roman" w:hAnsi="Times New Roman" w:cs="Times New Roman"/>
          <w:sz w:val="24"/>
          <w:szCs w:val="24"/>
        </w:rPr>
        <w:t xml:space="preserve"> whenever it wishes to do so, the </w:t>
      </w:r>
      <w:r w:rsidR="00D512E3" w:rsidRPr="00380F1E">
        <w:rPr>
          <w:rFonts w:ascii="Times New Roman" w:hAnsi="Times New Roman" w:cs="Times New Roman"/>
          <w:sz w:val="24"/>
          <w:szCs w:val="24"/>
        </w:rPr>
        <w:t>a</w:t>
      </w:r>
      <w:r w:rsidR="005254DB" w:rsidRPr="00380F1E">
        <w:rPr>
          <w:rFonts w:ascii="Times New Roman" w:hAnsi="Times New Roman" w:cs="Times New Roman"/>
          <w:sz w:val="24"/>
          <w:szCs w:val="24"/>
        </w:rPr>
        <w:t>pplicant</w:t>
      </w:r>
      <w:r w:rsidR="00DC4769" w:rsidRPr="00380F1E">
        <w:rPr>
          <w:rFonts w:ascii="Times New Roman" w:hAnsi="Times New Roman" w:cs="Times New Roman"/>
          <w:sz w:val="24"/>
          <w:szCs w:val="24"/>
        </w:rPr>
        <w:t xml:space="preserve"> relied on the factors which included</w:t>
      </w:r>
      <w:r w:rsidR="00464E57" w:rsidRPr="00380F1E">
        <w:rPr>
          <w:rFonts w:ascii="Times New Roman" w:hAnsi="Times New Roman" w:cs="Times New Roman"/>
          <w:sz w:val="24"/>
          <w:szCs w:val="24"/>
        </w:rPr>
        <w:t xml:space="preserve"> that: </w:t>
      </w:r>
      <w:r w:rsidR="000560DC" w:rsidRPr="00380F1E">
        <w:rPr>
          <w:rFonts w:ascii="Times New Roman" w:hAnsi="Times New Roman" w:cs="Times New Roman"/>
          <w:sz w:val="24"/>
          <w:szCs w:val="24"/>
        </w:rPr>
        <w:t xml:space="preserve">(i) the respondent was a family-owned </w:t>
      </w:r>
      <w:r w:rsidR="00540B19" w:rsidRPr="00380F1E">
        <w:rPr>
          <w:rFonts w:ascii="Times New Roman" w:hAnsi="Times New Roman" w:cs="Times New Roman"/>
          <w:sz w:val="24"/>
          <w:szCs w:val="24"/>
        </w:rPr>
        <w:t>c</w:t>
      </w:r>
      <w:r w:rsidR="00645F7F" w:rsidRPr="00380F1E">
        <w:rPr>
          <w:rFonts w:ascii="Times New Roman" w:hAnsi="Times New Roman" w:cs="Times New Roman"/>
          <w:sz w:val="24"/>
          <w:szCs w:val="24"/>
        </w:rPr>
        <w:t>ompany</w:t>
      </w:r>
      <w:r w:rsidR="000560DC" w:rsidRPr="00380F1E">
        <w:rPr>
          <w:rFonts w:ascii="Times New Roman" w:hAnsi="Times New Roman" w:cs="Times New Roman"/>
          <w:sz w:val="24"/>
          <w:szCs w:val="24"/>
        </w:rPr>
        <w:t xml:space="preserve"> and the parent of a group which has common directors and prepared accounts on a consolidated basis; (ii) all documents were maintained at a single “</w:t>
      </w:r>
      <w:r w:rsidR="000560DC" w:rsidRPr="00380F1E">
        <w:rPr>
          <w:rFonts w:ascii="Times New Roman" w:hAnsi="Times New Roman" w:cs="Times New Roman"/>
          <w:i/>
          <w:iCs/>
          <w:sz w:val="24"/>
          <w:szCs w:val="24"/>
        </w:rPr>
        <w:t>family office</w:t>
      </w:r>
      <w:r w:rsidR="000560DC" w:rsidRPr="00380F1E">
        <w:rPr>
          <w:rFonts w:ascii="Times New Roman" w:hAnsi="Times New Roman" w:cs="Times New Roman"/>
          <w:sz w:val="24"/>
          <w:szCs w:val="24"/>
        </w:rPr>
        <w:t>”; (iii) the ease with which the respondent</w:t>
      </w:r>
      <w:r w:rsidR="000E7F44" w:rsidRPr="00380F1E">
        <w:rPr>
          <w:rFonts w:ascii="Times New Roman" w:hAnsi="Times New Roman" w:cs="Times New Roman"/>
          <w:sz w:val="24"/>
          <w:szCs w:val="24"/>
        </w:rPr>
        <w:t xml:space="preserve"> </w:t>
      </w:r>
      <w:r w:rsidR="000560DC" w:rsidRPr="00380F1E">
        <w:rPr>
          <w:rFonts w:ascii="Times New Roman" w:hAnsi="Times New Roman" w:cs="Times New Roman"/>
          <w:sz w:val="24"/>
          <w:szCs w:val="24"/>
        </w:rPr>
        <w:t>was able to collate documents to comply with an undertaking; and (iv) the respondent had elected not to “</w:t>
      </w:r>
      <w:r w:rsidR="000560DC" w:rsidRPr="00380F1E">
        <w:rPr>
          <w:rFonts w:ascii="Times New Roman" w:hAnsi="Times New Roman" w:cs="Times New Roman"/>
          <w:i/>
          <w:iCs/>
          <w:sz w:val="24"/>
          <w:szCs w:val="24"/>
        </w:rPr>
        <w:t>lift the shroud of mystery</w:t>
      </w:r>
      <w:r w:rsidR="000560DC" w:rsidRPr="00380F1E">
        <w:rPr>
          <w:rFonts w:ascii="Times New Roman" w:hAnsi="Times New Roman" w:cs="Times New Roman"/>
          <w:sz w:val="24"/>
          <w:szCs w:val="24"/>
        </w:rPr>
        <w:t>” covering the question of how documents were collated for consolidated financial accounting or valuation purposes generally, or how they gained access to them for the purpose of an undertaking it had given.</w:t>
      </w:r>
    </w:p>
    <w:p w14:paraId="342E099D" w14:textId="77777777" w:rsidR="00AC0D35" w:rsidRDefault="00AC0D35" w:rsidP="000560DC">
      <w:pPr>
        <w:spacing w:before="120" w:line="360" w:lineRule="auto"/>
        <w:rPr>
          <w:rFonts w:ascii="Times New Roman" w:hAnsi="Times New Roman" w:cs="Times New Roman"/>
          <w:sz w:val="24"/>
          <w:szCs w:val="24"/>
        </w:rPr>
      </w:pPr>
    </w:p>
    <w:p w14:paraId="5E1E8F78" w14:textId="60C72DA1" w:rsidR="00466AD4" w:rsidRPr="00380F1E" w:rsidRDefault="000F5E79" w:rsidP="00380F1E">
      <w:pPr>
        <w:pStyle w:val="ListParagraph"/>
        <w:numPr>
          <w:ilvl w:val="0"/>
          <w:numId w:val="1"/>
        </w:numPr>
        <w:spacing w:before="120" w:line="360" w:lineRule="auto"/>
        <w:jc w:val="both"/>
        <w:rPr>
          <w:rFonts w:ascii="Times New Roman" w:hAnsi="Times New Roman" w:cs="Times New Roman"/>
          <w:sz w:val="24"/>
          <w:szCs w:val="24"/>
        </w:rPr>
      </w:pPr>
      <w:r w:rsidRPr="00380F1E">
        <w:rPr>
          <w:rFonts w:ascii="Times New Roman" w:hAnsi="Times New Roman" w:cs="Times New Roman"/>
          <w:sz w:val="24"/>
          <w:szCs w:val="24"/>
        </w:rPr>
        <w:t>At [38] Kawale</w:t>
      </w:r>
      <w:r w:rsidR="00A61E89" w:rsidRPr="00380F1E">
        <w:rPr>
          <w:rFonts w:ascii="Times New Roman" w:hAnsi="Times New Roman" w:cs="Times New Roman"/>
          <w:sz w:val="24"/>
          <w:szCs w:val="24"/>
        </w:rPr>
        <w:t>y</w:t>
      </w:r>
      <w:r w:rsidRPr="00380F1E">
        <w:rPr>
          <w:rFonts w:ascii="Times New Roman" w:hAnsi="Times New Roman" w:cs="Times New Roman"/>
          <w:sz w:val="24"/>
          <w:szCs w:val="24"/>
        </w:rPr>
        <w:t xml:space="preserve"> J </w:t>
      </w:r>
      <w:r w:rsidR="00A61E89" w:rsidRPr="00380F1E">
        <w:rPr>
          <w:rFonts w:ascii="Times New Roman" w:hAnsi="Times New Roman" w:cs="Times New Roman"/>
          <w:sz w:val="24"/>
          <w:szCs w:val="24"/>
        </w:rPr>
        <w:t>set out the Court</w:t>
      </w:r>
      <w:r w:rsidR="001F1C5B" w:rsidRPr="00380F1E">
        <w:rPr>
          <w:rFonts w:ascii="Times New Roman" w:hAnsi="Times New Roman" w:cs="Times New Roman"/>
          <w:sz w:val="24"/>
          <w:szCs w:val="24"/>
        </w:rPr>
        <w:t>’</w:t>
      </w:r>
      <w:r w:rsidR="00A61E89" w:rsidRPr="00380F1E">
        <w:rPr>
          <w:rFonts w:ascii="Times New Roman" w:hAnsi="Times New Roman" w:cs="Times New Roman"/>
          <w:sz w:val="24"/>
          <w:szCs w:val="24"/>
        </w:rPr>
        <w:t>s approach</w:t>
      </w:r>
      <w:r w:rsidR="001F1C5B" w:rsidRPr="00380F1E">
        <w:rPr>
          <w:rFonts w:ascii="Times New Roman" w:hAnsi="Times New Roman" w:cs="Times New Roman"/>
          <w:sz w:val="24"/>
          <w:szCs w:val="24"/>
        </w:rPr>
        <w:t xml:space="preserve"> in evaluating the evidence presented in support of this contention that the respondent</w:t>
      </w:r>
      <w:r w:rsidR="00466AD4" w:rsidRPr="00380F1E">
        <w:rPr>
          <w:rFonts w:ascii="Times New Roman" w:hAnsi="Times New Roman" w:cs="Times New Roman"/>
          <w:sz w:val="24"/>
          <w:szCs w:val="24"/>
        </w:rPr>
        <w:t xml:space="preserve"> had access to its subsidiaries’ documents whenever it wishes to do so:</w:t>
      </w:r>
    </w:p>
    <w:p w14:paraId="11E33C4F" w14:textId="5952711D" w:rsidR="000C2B80" w:rsidRDefault="00A24E6F" w:rsidP="00DA26E7">
      <w:pPr>
        <w:spacing w:before="120" w:line="276" w:lineRule="auto"/>
        <w:ind w:left="720"/>
        <w:rPr>
          <w:rFonts w:ascii="Times New Roman" w:hAnsi="Times New Roman" w:cs="Times New Roman"/>
          <w:i/>
          <w:iCs/>
          <w:sz w:val="24"/>
          <w:szCs w:val="24"/>
        </w:rPr>
      </w:pPr>
      <w:r w:rsidRPr="004C6474">
        <w:rPr>
          <w:rFonts w:ascii="Times New Roman" w:hAnsi="Times New Roman" w:cs="Times New Roman"/>
          <w:i/>
          <w:iCs/>
          <w:sz w:val="24"/>
          <w:szCs w:val="24"/>
        </w:rPr>
        <w:t>In evaluating the available evidence, it is important to distinguish material which affords grounds for suspicion from material which affords grounds for factual findings, whether as a matter of inference or otherwise…unless one is justified in ignoring (1) the positive denial that any arrangement or understanding exists, (2) the burden of proof borne by the [applicant], and (3) the entire corporate structure (which, prima facie, absent veil-piercing, one is not), it is not possible to infer from these core facts that [the respondent] has in reality an unfettered right of access in the requisite legal sense.</w:t>
      </w:r>
    </w:p>
    <w:p w14:paraId="61AAF076" w14:textId="77777777" w:rsidR="004C6474" w:rsidRDefault="004C6474" w:rsidP="004C6474">
      <w:pPr>
        <w:spacing w:before="120" w:line="360" w:lineRule="auto"/>
        <w:ind w:left="720"/>
        <w:rPr>
          <w:rFonts w:ascii="Times New Roman" w:hAnsi="Times New Roman" w:cs="Times New Roman"/>
          <w:i/>
          <w:iCs/>
          <w:sz w:val="24"/>
          <w:szCs w:val="24"/>
        </w:rPr>
      </w:pPr>
    </w:p>
    <w:p w14:paraId="717C566A" w14:textId="770C41D3" w:rsidR="004C6474" w:rsidRPr="00380F1E" w:rsidRDefault="00652F1B" w:rsidP="00380F1E">
      <w:pPr>
        <w:pStyle w:val="ListParagraph"/>
        <w:numPr>
          <w:ilvl w:val="0"/>
          <w:numId w:val="1"/>
        </w:numPr>
        <w:spacing w:before="120" w:line="360" w:lineRule="auto"/>
        <w:jc w:val="both"/>
        <w:rPr>
          <w:rFonts w:ascii="Times New Roman" w:hAnsi="Times New Roman" w:cs="Times New Roman"/>
          <w:sz w:val="24"/>
          <w:szCs w:val="24"/>
        </w:rPr>
      </w:pPr>
      <w:r w:rsidRPr="00380F1E">
        <w:rPr>
          <w:rFonts w:ascii="Times New Roman" w:hAnsi="Times New Roman" w:cs="Times New Roman"/>
          <w:sz w:val="24"/>
          <w:szCs w:val="24"/>
        </w:rPr>
        <w:t>Kaw</w:t>
      </w:r>
      <w:r w:rsidR="00CC6A45" w:rsidRPr="00380F1E">
        <w:rPr>
          <w:rFonts w:ascii="Times New Roman" w:hAnsi="Times New Roman" w:cs="Times New Roman"/>
          <w:sz w:val="24"/>
          <w:szCs w:val="24"/>
        </w:rPr>
        <w:t>aley J emphasised the fundamental distinction</w:t>
      </w:r>
      <w:r w:rsidR="0084467C" w:rsidRPr="00380F1E">
        <w:rPr>
          <w:rFonts w:ascii="Times New Roman" w:hAnsi="Times New Roman" w:cs="Times New Roman"/>
          <w:sz w:val="24"/>
          <w:szCs w:val="24"/>
        </w:rPr>
        <w:t xml:space="preserve"> between</w:t>
      </w:r>
      <w:r w:rsidR="00BD59AA" w:rsidRPr="00380F1E">
        <w:rPr>
          <w:rFonts w:ascii="Times New Roman" w:hAnsi="Times New Roman" w:cs="Times New Roman"/>
          <w:sz w:val="24"/>
          <w:szCs w:val="24"/>
        </w:rPr>
        <w:t xml:space="preserve"> access to documents granted by  subsidiary compan</w:t>
      </w:r>
      <w:r w:rsidR="00C6697C" w:rsidRPr="00380F1E">
        <w:rPr>
          <w:rFonts w:ascii="Times New Roman" w:hAnsi="Times New Roman" w:cs="Times New Roman"/>
          <w:sz w:val="24"/>
          <w:szCs w:val="24"/>
        </w:rPr>
        <w:t>ies</w:t>
      </w:r>
      <w:r w:rsidR="00BD59AA" w:rsidRPr="00380F1E">
        <w:rPr>
          <w:rFonts w:ascii="Times New Roman" w:hAnsi="Times New Roman" w:cs="Times New Roman"/>
          <w:sz w:val="24"/>
          <w:szCs w:val="24"/>
        </w:rPr>
        <w:t xml:space="preserve"> because it is in the subsidiary compan</w:t>
      </w:r>
      <w:r w:rsidR="00C6697C" w:rsidRPr="00380F1E">
        <w:rPr>
          <w:rFonts w:ascii="Times New Roman" w:hAnsi="Times New Roman" w:cs="Times New Roman"/>
          <w:sz w:val="24"/>
          <w:szCs w:val="24"/>
        </w:rPr>
        <w:t>ies</w:t>
      </w:r>
      <w:r w:rsidR="00BD59AA" w:rsidRPr="00380F1E">
        <w:rPr>
          <w:rFonts w:ascii="Times New Roman" w:hAnsi="Times New Roman" w:cs="Times New Roman"/>
          <w:sz w:val="24"/>
          <w:szCs w:val="24"/>
        </w:rPr>
        <w:t xml:space="preserve"> commercial interest</w:t>
      </w:r>
      <w:r w:rsidR="00E14DAD" w:rsidRPr="00380F1E">
        <w:rPr>
          <w:rFonts w:ascii="Times New Roman" w:hAnsi="Times New Roman" w:cs="Times New Roman"/>
          <w:sz w:val="24"/>
          <w:szCs w:val="24"/>
        </w:rPr>
        <w:t xml:space="preserve"> to do so and</w:t>
      </w:r>
      <w:r w:rsidR="003A6B04" w:rsidRPr="00380F1E">
        <w:rPr>
          <w:rFonts w:ascii="Times New Roman" w:hAnsi="Times New Roman" w:cs="Times New Roman"/>
          <w:sz w:val="24"/>
          <w:szCs w:val="24"/>
        </w:rPr>
        <w:t xml:space="preserve"> arrangement or understanding reflective of an understanding or arrangement reached between the parent qua parent</w:t>
      </w:r>
      <w:r w:rsidR="00A92EB8" w:rsidRPr="00380F1E">
        <w:rPr>
          <w:rFonts w:ascii="Times New Roman" w:hAnsi="Times New Roman" w:cs="Times New Roman"/>
          <w:sz w:val="24"/>
          <w:szCs w:val="24"/>
        </w:rPr>
        <w:t xml:space="preserve"> and the subsidiaries qua subsidiaries</w:t>
      </w:r>
      <w:r w:rsidR="00C6697C" w:rsidRPr="00380F1E">
        <w:rPr>
          <w:rFonts w:ascii="Times New Roman" w:hAnsi="Times New Roman" w:cs="Times New Roman"/>
          <w:sz w:val="24"/>
          <w:szCs w:val="24"/>
        </w:rPr>
        <w:t xml:space="preserve">. At </w:t>
      </w:r>
      <w:r w:rsidR="00E273E1" w:rsidRPr="00380F1E">
        <w:rPr>
          <w:rFonts w:ascii="Times New Roman" w:hAnsi="Times New Roman" w:cs="Times New Roman"/>
          <w:sz w:val="24"/>
          <w:szCs w:val="24"/>
        </w:rPr>
        <w:t>[39] Kawaley J held:</w:t>
      </w:r>
    </w:p>
    <w:p w14:paraId="07A773F6" w14:textId="744CF6F6" w:rsidR="00C7352C" w:rsidRDefault="009F0E56" w:rsidP="00DA26E7">
      <w:pPr>
        <w:spacing w:before="120" w:line="276" w:lineRule="auto"/>
        <w:ind w:left="720"/>
        <w:rPr>
          <w:rFonts w:ascii="Times New Roman" w:hAnsi="Times New Roman" w:cs="Times New Roman"/>
          <w:i/>
          <w:iCs/>
          <w:sz w:val="24"/>
          <w:szCs w:val="24"/>
        </w:rPr>
      </w:pPr>
      <w:r w:rsidRPr="00963FF0">
        <w:rPr>
          <w:rFonts w:ascii="Times New Roman" w:hAnsi="Times New Roman" w:cs="Times New Roman"/>
          <w:i/>
          <w:iCs/>
          <w:sz w:val="24"/>
          <w:szCs w:val="24"/>
        </w:rPr>
        <w:t>…in my judgment, there is a fundamental distinction between (1) a state of affairs which I do infer must exist, namely that [the respondent] can potentially obtain whatever documents it needs from its subsidiaries because inter-group conflicts of interest will not ordinarily exist so requests made of subsidiaries are likely to be granted, and (2) the type of arrangement or understanding which the law requires for discovery purposes. A qualifying arrangement or understanding in my judgment must be reflective of an understanding or arrangement reached between the parent qua parent and the subsidiaries qua subsidiaries in relation to the general or specific basis upon which the parent will be able to access its subsidiaries’ records. As Males J observed in</w:t>
      </w:r>
      <w:r w:rsidR="00EB123F">
        <w:rPr>
          <w:rFonts w:ascii="Times New Roman" w:hAnsi="Times New Roman" w:cs="Times New Roman"/>
          <w:i/>
          <w:iCs/>
          <w:sz w:val="24"/>
          <w:szCs w:val="24"/>
        </w:rPr>
        <w:t xml:space="preserve"> </w:t>
      </w:r>
      <w:r w:rsidR="00EB123F" w:rsidRPr="00EB123F">
        <w:rPr>
          <w:rFonts w:ascii="Times New Roman" w:hAnsi="Times New Roman" w:cs="Times New Roman"/>
          <w:i/>
          <w:iCs/>
          <w:sz w:val="24"/>
          <w:szCs w:val="24"/>
          <w:u w:val="single"/>
        </w:rPr>
        <w:t>Ardila</w:t>
      </w:r>
      <w:r w:rsidRPr="00EB123F">
        <w:rPr>
          <w:rFonts w:ascii="Times New Roman" w:hAnsi="Times New Roman" w:cs="Times New Roman"/>
          <w:i/>
          <w:iCs/>
          <w:sz w:val="24"/>
          <w:szCs w:val="24"/>
          <w:u w:val="single"/>
        </w:rPr>
        <w:t xml:space="preserve"> </w:t>
      </w:r>
      <w:r w:rsidRPr="00963FF0">
        <w:rPr>
          <w:rFonts w:ascii="Times New Roman" w:hAnsi="Times New Roman" w:cs="Times New Roman"/>
          <w:i/>
          <w:iCs/>
          <w:sz w:val="24"/>
          <w:szCs w:val="24"/>
          <w:u w:val="single"/>
        </w:rPr>
        <w:t>Investments</w:t>
      </w:r>
      <w:r w:rsidRPr="00963FF0">
        <w:rPr>
          <w:rFonts w:ascii="Times New Roman" w:hAnsi="Times New Roman" w:cs="Times New Roman"/>
          <w:i/>
          <w:iCs/>
          <w:sz w:val="24"/>
          <w:szCs w:val="24"/>
        </w:rPr>
        <w:t>…”an expectation that the subsidiary will in practice comply with requests made by the parent is not enough to amount to control</w:t>
      </w:r>
      <w:r w:rsidR="003E5904" w:rsidRPr="00963FF0">
        <w:rPr>
          <w:rFonts w:ascii="Times New Roman" w:hAnsi="Times New Roman" w:cs="Times New Roman"/>
          <w:i/>
          <w:iCs/>
          <w:sz w:val="24"/>
          <w:szCs w:val="24"/>
        </w:rPr>
        <w:t>.</w:t>
      </w:r>
      <w:r w:rsidR="00B54298">
        <w:rPr>
          <w:rFonts w:ascii="Times New Roman" w:hAnsi="Times New Roman" w:cs="Times New Roman"/>
          <w:i/>
          <w:iCs/>
          <w:sz w:val="24"/>
          <w:szCs w:val="24"/>
        </w:rPr>
        <w:t>”</w:t>
      </w:r>
    </w:p>
    <w:p w14:paraId="410B837D" w14:textId="77777777" w:rsidR="00A94536" w:rsidRDefault="00A94536" w:rsidP="00DA26E7">
      <w:pPr>
        <w:spacing w:before="120" w:line="276" w:lineRule="auto"/>
        <w:ind w:left="720"/>
        <w:rPr>
          <w:rFonts w:ascii="Times New Roman" w:hAnsi="Times New Roman" w:cs="Times New Roman"/>
          <w:i/>
          <w:iCs/>
          <w:sz w:val="24"/>
          <w:szCs w:val="24"/>
        </w:rPr>
      </w:pPr>
    </w:p>
    <w:p w14:paraId="738E2F02" w14:textId="61D5A38A" w:rsidR="00A94536" w:rsidRPr="00380F1E" w:rsidRDefault="005B24EA" w:rsidP="00380F1E">
      <w:pPr>
        <w:pStyle w:val="ListParagraph"/>
        <w:numPr>
          <w:ilvl w:val="0"/>
          <w:numId w:val="1"/>
        </w:numPr>
        <w:spacing w:before="120" w:line="360" w:lineRule="auto"/>
        <w:jc w:val="both"/>
        <w:rPr>
          <w:rFonts w:ascii="Times New Roman" w:hAnsi="Times New Roman" w:cs="Times New Roman"/>
          <w:i/>
          <w:iCs/>
          <w:sz w:val="24"/>
          <w:szCs w:val="24"/>
        </w:rPr>
      </w:pPr>
      <w:r w:rsidRPr="00380F1E">
        <w:rPr>
          <w:rFonts w:ascii="Times New Roman" w:hAnsi="Times New Roman" w:cs="Times New Roman"/>
          <w:sz w:val="24"/>
          <w:szCs w:val="24"/>
        </w:rPr>
        <w:t>In making the finding that</w:t>
      </w:r>
      <w:r w:rsidR="00F80AE7" w:rsidRPr="00380F1E">
        <w:rPr>
          <w:rFonts w:ascii="Times New Roman" w:hAnsi="Times New Roman" w:cs="Times New Roman"/>
          <w:sz w:val="24"/>
          <w:szCs w:val="24"/>
        </w:rPr>
        <w:t xml:space="preserve"> </w:t>
      </w:r>
      <w:r w:rsidR="00BD0EA8" w:rsidRPr="00380F1E">
        <w:rPr>
          <w:rFonts w:ascii="Times New Roman" w:hAnsi="Times New Roman" w:cs="Times New Roman"/>
          <w:sz w:val="24"/>
          <w:szCs w:val="24"/>
        </w:rPr>
        <w:t>the subsidiaries’ documents were not in the control of the respondent Kawaley J held that</w:t>
      </w:r>
      <w:r w:rsidR="00014306" w:rsidRPr="00380F1E">
        <w:rPr>
          <w:rFonts w:ascii="Times New Roman" w:hAnsi="Times New Roman" w:cs="Times New Roman"/>
          <w:sz w:val="24"/>
          <w:szCs w:val="24"/>
        </w:rPr>
        <w:t xml:space="preserve"> </w:t>
      </w:r>
      <w:r w:rsidR="00A96E3B" w:rsidRPr="00380F1E">
        <w:rPr>
          <w:rFonts w:ascii="Times New Roman" w:hAnsi="Times New Roman" w:cs="Times New Roman"/>
          <w:sz w:val="24"/>
          <w:szCs w:val="24"/>
        </w:rPr>
        <w:t>it was not open to him to reject direct, unchallenged and sworn evidence refuting the existence of the arrangement or understanding</w:t>
      </w:r>
      <w:r w:rsidR="001E4ECA" w:rsidRPr="00380F1E">
        <w:rPr>
          <w:rFonts w:ascii="Times New Roman" w:hAnsi="Times New Roman" w:cs="Times New Roman"/>
          <w:sz w:val="24"/>
          <w:szCs w:val="24"/>
        </w:rPr>
        <w:t>. In that regard Kawaley J relied upon</w:t>
      </w:r>
      <w:r w:rsidR="00187005" w:rsidRPr="00380F1E">
        <w:rPr>
          <w:rFonts w:ascii="Times New Roman" w:hAnsi="Times New Roman" w:cs="Times New Roman"/>
          <w:sz w:val="24"/>
          <w:szCs w:val="24"/>
        </w:rPr>
        <w:t xml:space="preserve"> the judgment of Harman J in</w:t>
      </w:r>
      <w:r w:rsidR="00187005" w:rsidRPr="00380F1E">
        <w:rPr>
          <w:rFonts w:ascii="Times New Roman" w:hAnsi="Times New Roman" w:cs="Times New Roman"/>
          <w:i/>
          <w:iCs/>
          <w:sz w:val="24"/>
          <w:szCs w:val="24"/>
        </w:rPr>
        <w:t xml:space="preserve"> Re C</w:t>
      </w:r>
      <w:r w:rsidR="00236180" w:rsidRPr="00380F1E">
        <w:rPr>
          <w:rFonts w:ascii="Times New Roman" w:hAnsi="Times New Roman" w:cs="Times New Roman"/>
          <w:i/>
          <w:iCs/>
          <w:sz w:val="24"/>
          <w:szCs w:val="24"/>
        </w:rPr>
        <w:t>orbenstoke Ltd (No. 2)</w:t>
      </w:r>
      <w:r w:rsidR="00236180" w:rsidRPr="00380F1E">
        <w:rPr>
          <w:rFonts w:ascii="Times New Roman" w:hAnsi="Times New Roman" w:cs="Times New Roman"/>
          <w:sz w:val="24"/>
          <w:szCs w:val="24"/>
        </w:rPr>
        <w:t xml:space="preserve"> </w:t>
      </w:r>
      <w:r w:rsidR="000644A1" w:rsidRPr="00380F1E">
        <w:rPr>
          <w:rFonts w:ascii="Times New Roman" w:hAnsi="Times New Roman" w:cs="Times New Roman"/>
          <w:sz w:val="24"/>
          <w:szCs w:val="24"/>
        </w:rPr>
        <w:t>[1989] BCC 767 at 777G:</w:t>
      </w:r>
    </w:p>
    <w:p w14:paraId="1CAB4C83" w14:textId="490E609D" w:rsidR="000644A1" w:rsidRDefault="003A076D" w:rsidP="00DA26E7">
      <w:pPr>
        <w:spacing w:before="120" w:line="276" w:lineRule="auto"/>
        <w:ind w:left="720"/>
        <w:rPr>
          <w:rFonts w:ascii="Times New Roman" w:hAnsi="Times New Roman" w:cs="Times New Roman"/>
          <w:i/>
          <w:iCs/>
          <w:sz w:val="24"/>
          <w:szCs w:val="24"/>
        </w:rPr>
      </w:pPr>
      <w:r w:rsidRPr="001A3165">
        <w:rPr>
          <w:rFonts w:ascii="Times New Roman" w:hAnsi="Times New Roman" w:cs="Times New Roman"/>
          <w:i/>
          <w:iCs/>
          <w:sz w:val="24"/>
          <w:szCs w:val="24"/>
        </w:rPr>
        <w:t>I have not referred at any point to the evidence sworn in reply by Mr Gabr, which Mr. Highley attacked. I am of the view that no judge is entitled to disbelieve an affidavit-that is a document upon oath-or an affirmation unless the deponent or affirmant is cross-examined upon his affidavit so that the judge may be satisfied that he is not telling the truth. I do not say that there may not be some absolutely glaring example where documents can show that a document in a statement in an affidavit is untrue. But mere inferences as to the truth or untruth of a statement are impossible to draw from paper evidence.</w:t>
      </w:r>
    </w:p>
    <w:p w14:paraId="5DC9416B" w14:textId="77777777" w:rsidR="00525DB0" w:rsidRDefault="00525DB0" w:rsidP="00512326">
      <w:pPr>
        <w:spacing w:before="120" w:line="360" w:lineRule="auto"/>
        <w:ind w:left="720"/>
        <w:rPr>
          <w:rFonts w:ascii="Times New Roman" w:hAnsi="Times New Roman" w:cs="Times New Roman"/>
          <w:i/>
          <w:iCs/>
          <w:sz w:val="24"/>
          <w:szCs w:val="24"/>
        </w:rPr>
      </w:pPr>
    </w:p>
    <w:p w14:paraId="368A699D" w14:textId="13E8CDD3" w:rsidR="00425870" w:rsidRPr="00380F1E" w:rsidRDefault="00525DB0" w:rsidP="00380F1E">
      <w:pPr>
        <w:pStyle w:val="ListParagraph"/>
        <w:numPr>
          <w:ilvl w:val="0"/>
          <w:numId w:val="1"/>
        </w:numPr>
        <w:spacing w:before="120" w:line="360" w:lineRule="auto"/>
        <w:jc w:val="both"/>
        <w:rPr>
          <w:rFonts w:ascii="Times New Roman" w:hAnsi="Times New Roman" w:cs="Times New Roman"/>
          <w:sz w:val="24"/>
          <w:szCs w:val="24"/>
        </w:rPr>
      </w:pPr>
      <w:r w:rsidRPr="00380F1E">
        <w:rPr>
          <w:rFonts w:ascii="Times New Roman" w:hAnsi="Times New Roman" w:cs="Times New Roman"/>
          <w:sz w:val="24"/>
          <w:szCs w:val="24"/>
        </w:rPr>
        <w:t xml:space="preserve">In </w:t>
      </w:r>
      <w:r w:rsidR="00333F4D" w:rsidRPr="00380F1E">
        <w:rPr>
          <w:rFonts w:ascii="Times New Roman" w:hAnsi="Times New Roman" w:cs="Times New Roman"/>
          <w:sz w:val="24"/>
          <w:szCs w:val="24"/>
        </w:rPr>
        <w:t>relation to</w:t>
      </w:r>
      <w:r w:rsidR="00425870" w:rsidRPr="00380F1E">
        <w:rPr>
          <w:rFonts w:ascii="Times New Roman" w:hAnsi="Times New Roman" w:cs="Times New Roman"/>
          <w:sz w:val="24"/>
          <w:szCs w:val="24"/>
        </w:rPr>
        <w:t xml:space="preserve"> the Court’s unwillingness to reject </w:t>
      </w:r>
      <w:r w:rsidR="00773259" w:rsidRPr="00380F1E">
        <w:rPr>
          <w:rFonts w:ascii="Times New Roman" w:hAnsi="Times New Roman" w:cs="Times New Roman"/>
          <w:sz w:val="24"/>
          <w:szCs w:val="24"/>
        </w:rPr>
        <w:t>affidavit Mr Mo</w:t>
      </w:r>
      <w:r w:rsidR="00656F3A" w:rsidRPr="00380F1E">
        <w:rPr>
          <w:rFonts w:ascii="Times New Roman" w:hAnsi="Times New Roman" w:cs="Times New Roman"/>
          <w:sz w:val="24"/>
          <w:szCs w:val="24"/>
        </w:rPr>
        <w:t>o</w:t>
      </w:r>
      <w:r w:rsidR="00773259" w:rsidRPr="00380F1E">
        <w:rPr>
          <w:rFonts w:ascii="Times New Roman" w:hAnsi="Times New Roman" w:cs="Times New Roman"/>
          <w:sz w:val="24"/>
          <w:szCs w:val="24"/>
        </w:rPr>
        <w:t>re KC also referred the Court to</w:t>
      </w:r>
      <w:r w:rsidR="00425870" w:rsidRPr="00380F1E">
        <w:rPr>
          <w:rFonts w:ascii="Times New Roman" w:hAnsi="Times New Roman" w:cs="Times New Roman"/>
          <w:sz w:val="24"/>
          <w:szCs w:val="24"/>
        </w:rPr>
        <w:t xml:space="preserve"> </w:t>
      </w:r>
      <w:r w:rsidR="00D25EF4" w:rsidRPr="00380F1E">
        <w:rPr>
          <w:rFonts w:ascii="Times New Roman" w:hAnsi="Times New Roman" w:cs="Times New Roman"/>
          <w:sz w:val="24"/>
          <w:szCs w:val="24"/>
        </w:rPr>
        <w:t xml:space="preserve">the observations </w:t>
      </w:r>
      <w:r w:rsidR="00E87C69" w:rsidRPr="00380F1E">
        <w:rPr>
          <w:rFonts w:ascii="Times New Roman" w:hAnsi="Times New Roman" w:cs="Times New Roman"/>
          <w:sz w:val="24"/>
          <w:szCs w:val="24"/>
        </w:rPr>
        <w:t xml:space="preserve">of Rimer J at [58] in </w:t>
      </w:r>
      <w:r w:rsidR="00425870" w:rsidRPr="00380F1E">
        <w:rPr>
          <w:rFonts w:ascii="Times New Roman" w:hAnsi="Times New Roman" w:cs="Times New Roman"/>
          <w:i/>
          <w:iCs/>
          <w:sz w:val="24"/>
          <w:szCs w:val="24"/>
        </w:rPr>
        <w:t xml:space="preserve">Coyne v DRD Distribution Ltd </w:t>
      </w:r>
      <w:r w:rsidR="00425870" w:rsidRPr="00380F1E">
        <w:rPr>
          <w:rFonts w:ascii="Times New Roman" w:hAnsi="Times New Roman" w:cs="Times New Roman"/>
          <w:sz w:val="24"/>
          <w:szCs w:val="24"/>
        </w:rPr>
        <w:t xml:space="preserve">[2008] EWCA Civ 488: </w:t>
      </w:r>
    </w:p>
    <w:p w14:paraId="751C3BD2" w14:textId="1BBD28ED" w:rsidR="00525DB0" w:rsidRDefault="00425870" w:rsidP="00DA26E7">
      <w:pPr>
        <w:spacing w:before="120" w:line="276" w:lineRule="auto"/>
        <w:ind w:left="720"/>
        <w:rPr>
          <w:rFonts w:ascii="Times New Roman" w:hAnsi="Times New Roman" w:cs="Times New Roman"/>
          <w:i/>
          <w:iCs/>
          <w:sz w:val="24"/>
          <w:szCs w:val="24"/>
        </w:rPr>
      </w:pPr>
      <w:r w:rsidRPr="00656F3A">
        <w:rPr>
          <w:rFonts w:ascii="Times New Roman" w:hAnsi="Times New Roman" w:cs="Times New Roman"/>
          <w:i/>
          <w:iCs/>
          <w:sz w:val="24"/>
          <w:szCs w:val="24"/>
        </w:rPr>
        <w:t>…The basic principle is that, until there has been such cross-examination, it is ordinarily not possible for the court to disbelieve the word of the witness in his affidavit and it will not do so. This is not an inflexible principle: it may in certain circumstances be open to the court to reject an untested piece of evidence on the basis that it is manifestly incredible, either because it is inherently so or because it is shown to be so by other facts that are admitted or by reliable documents</w:t>
      </w:r>
      <w:r w:rsidR="00223D9B">
        <w:rPr>
          <w:rFonts w:ascii="Times New Roman" w:hAnsi="Times New Roman" w:cs="Times New Roman"/>
          <w:i/>
          <w:iCs/>
          <w:sz w:val="24"/>
          <w:szCs w:val="24"/>
        </w:rPr>
        <w:t>…</w:t>
      </w:r>
    </w:p>
    <w:p w14:paraId="42D7CF9C" w14:textId="6C446065" w:rsidR="00223D9B" w:rsidRDefault="00223D9B" w:rsidP="00DA26E7">
      <w:pPr>
        <w:spacing w:before="120" w:line="276" w:lineRule="auto"/>
        <w:ind w:left="720"/>
        <w:rPr>
          <w:rFonts w:ascii="Times New Roman" w:hAnsi="Times New Roman" w:cs="Times New Roman"/>
          <w:i/>
          <w:iCs/>
          <w:sz w:val="24"/>
          <w:szCs w:val="24"/>
        </w:rPr>
      </w:pPr>
    </w:p>
    <w:p w14:paraId="163302E6" w14:textId="77777777" w:rsidR="00223D9B" w:rsidRDefault="00223D9B" w:rsidP="00DA26E7">
      <w:pPr>
        <w:spacing w:before="120" w:line="276" w:lineRule="auto"/>
        <w:ind w:left="720"/>
        <w:rPr>
          <w:rFonts w:ascii="Times New Roman" w:hAnsi="Times New Roman" w:cs="Times New Roman"/>
          <w:i/>
          <w:iCs/>
          <w:sz w:val="24"/>
          <w:szCs w:val="24"/>
        </w:rPr>
      </w:pPr>
    </w:p>
    <w:p w14:paraId="4EDA1CA5" w14:textId="77777777" w:rsidR="00C866C8" w:rsidRDefault="00C866C8" w:rsidP="00656F3A">
      <w:pPr>
        <w:spacing w:before="120" w:line="360" w:lineRule="auto"/>
        <w:ind w:left="720"/>
        <w:rPr>
          <w:rFonts w:ascii="Times New Roman" w:hAnsi="Times New Roman" w:cs="Times New Roman"/>
          <w:i/>
          <w:iCs/>
          <w:sz w:val="24"/>
          <w:szCs w:val="24"/>
        </w:rPr>
      </w:pPr>
    </w:p>
    <w:p w14:paraId="5E363CD8" w14:textId="52312CFB" w:rsidR="00C866C8" w:rsidRPr="006A3D95" w:rsidRDefault="0092532F" w:rsidP="00EE3AFF">
      <w:pPr>
        <w:spacing w:before="120" w:line="360" w:lineRule="auto"/>
        <w:rPr>
          <w:rFonts w:ascii="Times New Roman" w:hAnsi="Times New Roman" w:cs="Times New Roman"/>
          <w:b/>
          <w:bCs/>
          <w:i/>
          <w:iCs/>
          <w:sz w:val="24"/>
          <w:szCs w:val="24"/>
        </w:rPr>
      </w:pPr>
      <w:r w:rsidRPr="006A3D95">
        <w:rPr>
          <w:rFonts w:ascii="Times New Roman" w:hAnsi="Times New Roman" w:cs="Times New Roman"/>
          <w:b/>
          <w:bCs/>
          <w:i/>
          <w:iCs/>
          <w:sz w:val="24"/>
          <w:szCs w:val="24"/>
        </w:rPr>
        <w:t>Cons</w:t>
      </w:r>
      <w:r w:rsidR="0050516E" w:rsidRPr="006A3D95">
        <w:rPr>
          <w:rFonts w:ascii="Times New Roman" w:hAnsi="Times New Roman" w:cs="Times New Roman"/>
          <w:b/>
          <w:bCs/>
          <w:i/>
          <w:iCs/>
          <w:sz w:val="24"/>
          <w:szCs w:val="24"/>
        </w:rPr>
        <w:t xml:space="preserve">tantin Medien AG v </w:t>
      </w:r>
      <w:r w:rsidR="006A3D95" w:rsidRPr="006A3D95">
        <w:rPr>
          <w:rFonts w:ascii="Times New Roman" w:hAnsi="Times New Roman" w:cs="Times New Roman"/>
          <w:b/>
          <w:bCs/>
          <w:i/>
          <w:iCs/>
          <w:sz w:val="24"/>
          <w:szCs w:val="24"/>
        </w:rPr>
        <w:t>Ecclestone</w:t>
      </w:r>
    </w:p>
    <w:p w14:paraId="246C5B9F" w14:textId="77777777" w:rsidR="006A3D95" w:rsidRPr="006A3D95" w:rsidRDefault="006A3D95" w:rsidP="00EE3AFF">
      <w:pPr>
        <w:spacing w:before="120" w:line="360" w:lineRule="auto"/>
        <w:rPr>
          <w:rFonts w:ascii="Times New Roman" w:hAnsi="Times New Roman" w:cs="Times New Roman"/>
          <w:sz w:val="24"/>
          <w:szCs w:val="24"/>
        </w:rPr>
      </w:pPr>
    </w:p>
    <w:p w14:paraId="5E42B370" w14:textId="19C8D74A" w:rsidR="006A3D95" w:rsidRPr="00380F1E" w:rsidRDefault="006A3D95" w:rsidP="00380F1E">
      <w:pPr>
        <w:pStyle w:val="ListParagraph"/>
        <w:numPr>
          <w:ilvl w:val="0"/>
          <w:numId w:val="1"/>
        </w:numPr>
        <w:spacing w:before="120" w:line="360" w:lineRule="auto"/>
        <w:jc w:val="both"/>
        <w:rPr>
          <w:rFonts w:ascii="Times New Roman" w:hAnsi="Times New Roman" w:cs="Times New Roman"/>
          <w:sz w:val="24"/>
          <w:szCs w:val="24"/>
        </w:rPr>
      </w:pPr>
      <w:r w:rsidRPr="00380F1E">
        <w:rPr>
          <w:rFonts w:ascii="Times New Roman" w:hAnsi="Times New Roman" w:cs="Times New Roman"/>
          <w:sz w:val="24"/>
          <w:szCs w:val="24"/>
        </w:rPr>
        <w:t xml:space="preserve">In </w:t>
      </w:r>
      <w:r w:rsidRPr="00380F1E">
        <w:rPr>
          <w:rFonts w:ascii="Times New Roman" w:hAnsi="Times New Roman" w:cs="Times New Roman"/>
          <w:i/>
          <w:iCs/>
          <w:sz w:val="24"/>
          <w:szCs w:val="24"/>
        </w:rPr>
        <w:t>Constantin Medien AG v Ecclestone</w:t>
      </w:r>
      <w:r w:rsidRPr="00380F1E">
        <w:rPr>
          <w:rFonts w:ascii="Times New Roman" w:hAnsi="Times New Roman" w:cs="Times New Roman"/>
          <w:sz w:val="24"/>
          <w:szCs w:val="24"/>
        </w:rPr>
        <w:t xml:space="preserve"> </w:t>
      </w:r>
      <w:r w:rsidR="0059249C" w:rsidRPr="00380F1E">
        <w:rPr>
          <w:rFonts w:ascii="Times New Roman" w:hAnsi="Times New Roman" w:cs="Times New Roman"/>
          <w:sz w:val="24"/>
          <w:szCs w:val="24"/>
        </w:rPr>
        <w:t>[2013] EWHC 2676 (Ch)</w:t>
      </w:r>
      <w:r w:rsidR="00C407EE" w:rsidRPr="00380F1E">
        <w:rPr>
          <w:rFonts w:ascii="Times New Roman" w:hAnsi="Times New Roman" w:cs="Times New Roman"/>
          <w:sz w:val="24"/>
          <w:szCs w:val="24"/>
        </w:rPr>
        <w:t xml:space="preserve"> it </w:t>
      </w:r>
      <w:r w:rsidR="008111F9" w:rsidRPr="00380F1E">
        <w:rPr>
          <w:rFonts w:ascii="Times New Roman" w:hAnsi="Times New Roman" w:cs="Times New Roman"/>
          <w:sz w:val="24"/>
          <w:szCs w:val="24"/>
        </w:rPr>
        <w:t>was contended by the claimant that as the defendant, Mr Ecclestone, was able to obtain</w:t>
      </w:r>
      <w:r w:rsidR="00924886" w:rsidRPr="00380F1E">
        <w:rPr>
          <w:rFonts w:ascii="Times New Roman" w:hAnsi="Times New Roman" w:cs="Times New Roman"/>
          <w:sz w:val="24"/>
          <w:szCs w:val="24"/>
        </w:rPr>
        <w:t xml:space="preserve"> documents in </w:t>
      </w:r>
      <w:r w:rsidR="00AF18D0" w:rsidRPr="00380F1E">
        <w:rPr>
          <w:rFonts w:ascii="Times New Roman" w:hAnsi="Times New Roman" w:cs="Times New Roman"/>
          <w:sz w:val="24"/>
          <w:szCs w:val="24"/>
        </w:rPr>
        <w:t>his</w:t>
      </w:r>
      <w:r w:rsidR="00924886" w:rsidRPr="00380F1E">
        <w:rPr>
          <w:rFonts w:ascii="Times New Roman" w:hAnsi="Times New Roman" w:cs="Times New Roman"/>
          <w:sz w:val="24"/>
          <w:szCs w:val="24"/>
        </w:rPr>
        <w:t xml:space="preserve"> capacity as a director of the </w:t>
      </w:r>
      <w:r w:rsidR="003333E8" w:rsidRPr="00380F1E">
        <w:rPr>
          <w:rFonts w:ascii="Times New Roman" w:hAnsi="Times New Roman" w:cs="Times New Roman"/>
          <w:sz w:val="24"/>
          <w:szCs w:val="24"/>
        </w:rPr>
        <w:t xml:space="preserve">Formula </w:t>
      </w:r>
      <w:r w:rsidR="00237428" w:rsidRPr="00380F1E">
        <w:rPr>
          <w:rFonts w:ascii="Times New Roman" w:hAnsi="Times New Roman" w:cs="Times New Roman"/>
          <w:sz w:val="24"/>
          <w:szCs w:val="24"/>
        </w:rPr>
        <w:t>1</w:t>
      </w:r>
      <w:r w:rsidR="0087182D" w:rsidRPr="00380F1E">
        <w:rPr>
          <w:rFonts w:ascii="Times New Roman" w:hAnsi="Times New Roman" w:cs="Times New Roman"/>
          <w:sz w:val="24"/>
          <w:szCs w:val="24"/>
        </w:rPr>
        <w:t xml:space="preserve"> companies</w:t>
      </w:r>
      <w:r w:rsidR="00924886" w:rsidRPr="00380F1E">
        <w:rPr>
          <w:rFonts w:ascii="Times New Roman" w:hAnsi="Times New Roman" w:cs="Times New Roman"/>
          <w:sz w:val="24"/>
          <w:szCs w:val="24"/>
        </w:rPr>
        <w:t>, he should be ordered to disclose</w:t>
      </w:r>
      <w:r w:rsidR="003E1243" w:rsidRPr="00380F1E">
        <w:rPr>
          <w:rFonts w:ascii="Times New Roman" w:hAnsi="Times New Roman" w:cs="Times New Roman"/>
          <w:sz w:val="24"/>
          <w:szCs w:val="24"/>
        </w:rPr>
        <w:t xml:space="preserve"> those documents</w:t>
      </w:r>
      <w:r w:rsidR="00632A50" w:rsidRPr="00380F1E">
        <w:rPr>
          <w:rFonts w:ascii="Times New Roman" w:hAnsi="Times New Roman" w:cs="Times New Roman"/>
          <w:sz w:val="24"/>
          <w:szCs w:val="24"/>
        </w:rPr>
        <w:t xml:space="preserve"> in</w:t>
      </w:r>
      <w:r w:rsidR="00463CB5" w:rsidRPr="00380F1E">
        <w:rPr>
          <w:rFonts w:ascii="Times New Roman" w:hAnsi="Times New Roman" w:cs="Times New Roman"/>
          <w:sz w:val="24"/>
          <w:szCs w:val="24"/>
        </w:rPr>
        <w:t xml:space="preserve"> proceedings brought by the claimant against the </w:t>
      </w:r>
      <w:r w:rsidR="00051830" w:rsidRPr="00380F1E">
        <w:rPr>
          <w:rFonts w:ascii="Times New Roman" w:hAnsi="Times New Roman" w:cs="Times New Roman"/>
          <w:sz w:val="24"/>
          <w:szCs w:val="24"/>
        </w:rPr>
        <w:t>c</w:t>
      </w:r>
      <w:r w:rsidR="00645F7F" w:rsidRPr="00380F1E">
        <w:rPr>
          <w:rFonts w:ascii="Times New Roman" w:hAnsi="Times New Roman" w:cs="Times New Roman"/>
          <w:sz w:val="24"/>
          <w:szCs w:val="24"/>
        </w:rPr>
        <w:t>ompany</w:t>
      </w:r>
      <w:r w:rsidR="00170B74" w:rsidRPr="00380F1E">
        <w:rPr>
          <w:rFonts w:ascii="Times New Roman" w:hAnsi="Times New Roman" w:cs="Times New Roman"/>
          <w:sz w:val="24"/>
          <w:szCs w:val="24"/>
        </w:rPr>
        <w:t xml:space="preserve"> for compensation</w:t>
      </w:r>
      <w:r w:rsidR="00853657" w:rsidRPr="00380F1E">
        <w:rPr>
          <w:rFonts w:ascii="Times New Roman" w:hAnsi="Times New Roman" w:cs="Times New Roman"/>
          <w:sz w:val="24"/>
          <w:szCs w:val="24"/>
        </w:rPr>
        <w:t xml:space="preserve"> arising out of the sale</w:t>
      </w:r>
      <w:r w:rsidR="007C2548" w:rsidRPr="00380F1E">
        <w:rPr>
          <w:rFonts w:ascii="Times New Roman" w:hAnsi="Times New Roman" w:cs="Times New Roman"/>
          <w:sz w:val="24"/>
          <w:szCs w:val="24"/>
        </w:rPr>
        <w:t xml:space="preserve"> of a substantial stake</w:t>
      </w:r>
      <w:r w:rsidR="000D035A" w:rsidRPr="00380F1E">
        <w:rPr>
          <w:rFonts w:ascii="Times New Roman" w:hAnsi="Times New Roman" w:cs="Times New Roman"/>
          <w:sz w:val="24"/>
          <w:szCs w:val="24"/>
        </w:rPr>
        <w:t xml:space="preserve"> in Formula 1 Group allegedly induced by</w:t>
      </w:r>
      <w:r w:rsidR="00A76169" w:rsidRPr="00380F1E">
        <w:rPr>
          <w:rFonts w:ascii="Times New Roman" w:hAnsi="Times New Roman" w:cs="Times New Roman"/>
          <w:sz w:val="24"/>
          <w:szCs w:val="24"/>
        </w:rPr>
        <w:t xml:space="preserve"> a bribe paid by Mr Ecclestone.</w:t>
      </w:r>
      <w:r w:rsidR="009D1A73" w:rsidRPr="00380F1E">
        <w:rPr>
          <w:rFonts w:ascii="Times New Roman" w:hAnsi="Times New Roman" w:cs="Times New Roman"/>
          <w:sz w:val="24"/>
          <w:szCs w:val="24"/>
        </w:rPr>
        <w:t xml:space="preserve"> Vos J </w:t>
      </w:r>
      <w:r w:rsidR="00CB65C5" w:rsidRPr="00380F1E">
        <w:rPr>
          <w:rFonts w:ascii="Times New Roman" w:hAnsi="Times New Roman" w:cs="Times New Roman"/>
          <w:sz w:val="24"/>
          <w:szCs w:val="24"/>
        </w:rPr>
        <w:t>rejected the submission</w:t>
      </w:r>
      <w:r w:rsidR="00D50017" w:rsidRPr="00380F1E">
        <w:rPr>
          <w:rFonts w:ascii="Times New Roman" w:hAnsi="Times New Roman" w:cs="Times New Roman"/>
          <w:sz w:val="24"/>
          <w:szCs w:val="24"/>
        </w:rPr>
        <w:t xml:space="preserve"> at [64] on the ground that</w:t>
      </w:r>
      <w:r w:rsidR="005D29B7" w:rsidRPr="00380F1E">
        <w:rPr>
          <w:rFonts w:ascii="Times New Roman" w:hAnsi="Times New Roman" w:cs="Times New Roman"/>
          <w:sz w:val="24"/>
          <w:szCs w:val="24"/>
        </w:rPr>
        <w:t xml:space="preserve"> </w:t>
      </w:r>
      <w:r w:rsidR="00A61E5E" w:rsidRPr="00380F1E">
        <w:rPr>
          <w:rFonts w:ascii="Times New Roman" w:hAnsi="Times New Roman" w:cs="Times New Roman"/>
          <w:sz w:val="24"/>
          <w:szCs w:val="24"/>
        </w:rPr>
        <w:t>a</w:t>
      </w:r>
      <w:r w:rsidR="005D29B7" w:rsidRPr="00380F1E">
        <w:rPr>
          <w:rFonts w:ascii="Times New Roman" w:hAnsi="Times New Roman" w:cs="Times New Roman"/>
          <w:sz w:val="24"/>
          <w:szCs w:val="24"/>
        </w:rPr>
        <w:t xml:space="preserve"> director</w:t>
      </w:r>
      <w:r w:rsidR="00A61E5E" w:rsidRPr="00380F1E">
        <w:rPr>
          <w:rFonts w:ascii="Times New Roman" w:hAnsi="Times New Roman" w:cs="Times New Roman"/>
          <w:sz w:val="24"/>
          <w:szCs w:val="24"/>
        </w:rPr>
        <w:t>’</w:t>
      </w:r>
      <w:r w:rsidR="005D29B7" w:rsidRPr="00380F1E">
        <w:rPr>
          <w:rFonts w:ascii="Times New Roman" w:hAnsi="Times New Roman" w:cs="Times New Roman"/>
          <w:sz w:val="24"/>
          <w:szCs w:val="24"/>
        </w:rPr>
        <w:t xml:space="preserve">s right to inspect the books of the </w:t>
      </w:r>
      <w:r w:rsidR="00051830" w:rsidRPr="00380F1E">
        <w:rPr>
          <w:rFonts w:ascii="Times New Roman" w:hAnsi="Times New Roman" w:cs="Times New Roman"/>
          <w:sz w:val="24"/>
          <w:szCs w:val="24"/>
        </w:rPr>
        <w:t>c</w:t>
      </w:r>
      <w:r w:rsidR="00645F7F" w:rsidRPr="00380F1E">
        <w:rPr>
          <w:rFonts w:ascii="Times New Roman" w:hAnsi="Times New Roman" w:cs="Times New Roman"/>
          <w:sz w:val="24"/>
          <w:szCs w:val="24"/>
        </w:rPr>
        <w:t>ompany</w:t>
      </w:r>
      <w:r w:rsidR="005D29B7" w:rsidRPr="00380F1E">
        <w:rPr>
          <w:rFonts w:ascii="Times New Roman" w:hAnsi="Times New Roman" w:cs="Times New Roman"/>
          <w:sz w:val="24"/>
          <w:szCs w:val="24"/>
        </w:rPr>
        <w:t xml:space="preserve"> could </w:t>
      </w:r>
      <w:r w:rsidR="00611981" w:rsidRPr="00380F1E">
        <w:rPr>
          <w:rFonts w:ascii="Times New Roman" w:hAnsi="Times New Roman" w:cs="Times New Roman"/>
          <w:sz w:val="24"/>
          <w:szCs w:val="24"/>
        </w:rPr>
        <w:t>only be used for the purpose for which it was conferred</w:t>
      </w:r>
      <w:r w:rsidR="005D29B7" w:rsidRPr="00380F1E">
        <w:rPr>
          <w:rFonts w:ascii="Times New Roman" w:hAnsi="Times New Roman" w:cs="Times New Roman"/>
          <w:sz w:val="24"/>
          <w:szCs w:val="24"/>
        </w:rPr>
        <w:t>:</w:t>
      </w:r>
    </w:p>
    <w:p w14:paraId="23E61DFF" w14:textId="0FC7D611" w:rsidR="00D740DD" w:rsidRPr="00BC3644" w:rsidRDefault="00A03912" w:rsidP="00DA26E7">
      <w:pPr>
        <w:spacing w:before="100" w:beforeAutospacing="1" w:after="100" w:afterAutospacing="1" w:line="276" w:lineRule="auto"/>
        <w:ind w:left="720"/>
        <w:rPr>
          <w:rFonts w:ascii="Times New Roman" w:hAnsi="Times New Roman" w:cs="Times New Roman"/>
          <w:i/>
          <w:iCs/>
          <w:color w:val="000000"/>
          <w:sz w:val="24"/>
          <w:szCs w:val="24"/>
        </w:rPr>
      </w:pPr>
      <w:bookmarkStart w:id="1" w:name="para64"/>
      <w:r w:rsidRPr="00BC3644">
        <w:rPr>
          <w:rFonts w:ascii="Times New Roman" w:hAnsi="Times New Roman" w:cs="Times New Roman"/>
          <w:i/>
          <w:iCs/>
          <w:color w:val="000000"/>
          <w:sz w:val="24"/>
          <w:szCs w:val="24"/>
        </w:rPr>
        <w:t xml:space="preserve">64. </w:t>
      </w:r>
      <w:r w:rsidR="00D740DD" w:rsidRPr="00BC3644">
        <w:rPr>
          <w:rFonts w:ascii="Times New Roman" w:hAnsi="Times New Roman" w:cs="Times New Roman"/>
          <w:i/>
          <w:iCs/>
          <w:color w:val="000000"/>
          <w:sz w:val="24"/>
          <w:szCs w:val="24"/>
        </w:rPr>
        <w:t xml:space="preserve">In these circumstances, it seems to me that I must be bound by the decision of the </w:t>
      </w:r>
      <w:r w:rsidR="00645F7F">
        <w:rPr>
          <w:rFonts w:ascii="Times New Roman" w:hAnsi="Times New Roman" w:cs="Times New Roman"/>
          <w:i/>
          <w:iCs/>
          <w:color w:val="000000"/>
          <w:sz w:val="24"/>
          <w:szCs w:val="24"/>
        </w:rPr>
        <w:t>Company</w:t>
      </w:r>
      <w:r w:rsidR="00D740DD" w:rsidRPr="00BC3644">
        <w:rPr>
          <w:rFonts w:ascii="Times New Roman" w:hAnsi="Times New Roman" w:cs="Times New Roman"/>
          <w:i/>
          <w:iCs/>
          <w:color w:val="000000"/>
          <w:sz w:val="24"/>
          <w:szCs w:val="24"/>
        </w:rPr>
        <w:t>'s own board of directors as to what is in its best interests. The director here, Mr Ecclestone, may wish to inspect the FOG companies' documents so as to give disclosure in these proceedings. But, as it seems to me, following Chadwick LJ's dictum in </w:t>
      </w:r>
      <w:r w:rsidR="00D740DD" w:rsidRPr="00BC3644">
        <w:rPr>
          <w:rFonts w:ascii="Times New Roman" w:hAnsi="Times New Roman" w:cs="Times New Roman"/>
          <w:i/>
          <w:iCs/>
          <w:color w:val="000000"/>
          <w:sz w:val="24"/>
          <w:szCs w:val="24"/>
          <w:u w:val="single"/>
        </w:rPr>
        <w:t>Oxford Legal Group Limited</w:t>
      </w:r>
      <w:r w:rsidR="00D740DD" w:rsidRPr="00BC3644">
        <w:rPr>
          <w:rFonts w:ascii="Times New Roman" w:hAnsi="Times New Roman" w:cs="Times New Roman"/>
          <w:i/>
          <w:iCs/>
          <w:color w:val="000000"/>
          <w:sz w:val="24"/>
          <w:szCs w:val="24"/>
        </w:rPr>
        <w:t> </w:t>
      </w:r>
      <w:r w:rsidR="00D740DD" w:rsidRPr="00BC3644">
        <w:rPr>
          <w:rFonts w:ascii="Times New Roman" w:hAnsi="Times New Roman" w:cs="Times New Roman"/>
          <w:i/>
          <w:iCs/>
          <w:color w:val="000000"/>
          <w:sz w:val="24"/>
          <w:szCs w:val="24"/>
          <w:u w:val="single"/>
        </w:rPr>
        <w:t>supra</w:t>
      </w:r>
      <w:r w:rsidR="00D740DD" w:rsidRPr="00BC3644">
        <w:rPr>
          <w:rFonts w:ascii="Times New Roman" w:hAnsi="Times New Roman" w:cs="Times New Roman"/>
          <w:i/>
          <w:iCs/>
          <w:color w:val="000000"/>
          <w:sz w:val="24"/>
          <w:szCs w:val="24"/>
        </w:rPr>
        <w:t xml:space="preserve">, Mr Ecclestone only has a right to do so in order to enable him to carry out his duties as a director of those companies. </w:t>
      </w:r>
      <w:r w:rsidR="00D740DD" w:rsidRPr="00BC3644">
        <w:rPr>
          <w:rFonts w:ascii="Times New Roman" w:hAnsi="Times New Roman" w:cs="Times New Roman"/>
          <w:b/>
          <w:bCs/>
          <w:i/>
          <w:iCs/>
          <w:color w:val="000000"/>
          <w:sz w:val="24"/>
          <w:szCs w:val="24"/>
        </w:rPr>
        <w:t>Whether or not Mr Eccelstone's purposes would be improper in seeking to inspect the FOG companies' documents for the purposes of giving disclosure in this action, it is clear to me that such a right would not be invoked for the purpose for which it had been conferred, namely to allow the director to protect the interests of the FOG companies</w:t>
      </w:r>
      <w:r w:rsidR="00D740DD" w:rsidRPr="00BC3644">
        <w:rPr>
          <w:rFonts w:ascii="Times New Roman" w:hAnsi="Times New Roman" w:cs="Times New Roman"/>
          <w:i/>
          <w:iCs/>
          <w:color w:val="000000"/>
          <w:sz w:val="24"/>
          <w:szCs w:val="24"/>
        </w:rPr>
        <w:t>. At least, it can be said that that is clearly the view of the board of directors of the FOG companies; and that is a view that, in considering an application for ordinary specific disclosure against Mr Ecclestone, in my judgment I cannot second guess.</w:t>
      </w:r>
      <w:bookmarkEnd w:id="1"/>
    </w:p>
    <w:p w14:paraId="4E19973A" w14:textId="2029EAD6" w:rsidR="00D740DD" w:rsidRPr="00BC3644" w:rsidRDefault="00A03912" w:rsidP="00DA26E7">
      <w:pPr>
        <w:spacing w:before="100" w:beforeAutospacing="1" w:after="100" w:afterAutospacing="1" w:line="276" w:lineRule="auto"/>
        <w:ind w:left="720"/>
        <w:rPr>
          <w:rFonts w:ascii="Times New Roman" w:hAnsi="Times New Roman" w:cs="Times New Roman"/>
          <w:i/>
          <w:iCs/>
          <w:color w:val="000000"/>
          <w:sz w:val="24"/>
          <w:szCs w:val="24"/>
        </w:rPr>
      </w:pPr>
      <w:bookmarkStart w:id="2" w:name="para65"/>
      <w:r w:rsidRPr="00BC3644">
        <w:rPr>
          <w:rFonts w:ascii="Times New Roman" w:hAnsi="Times New Roman" w:cs="Times New Roman"/>
          <w:i/>
          <w:iCs/>
          <w:color w:val="000000"/>
          <w:sz w:val="24"/>
          <w:szCs w:val="24"/>
        </w:rPr>
        <w:t xml:space="preserve">65. </w:t>
      </w:r>
      <w:r w:rsidR="00D740DD" w:rsidRPr="00BC3644">
        <w:rPr>
          <w:rFonts w:ascii="Times New Roman" w:hAnsi="Times New Roman" w:cs="Times New Roman"/>
          <w:i/>
          <w:iCs/>
          <w:color w:val="000000"/>
          <w:sz w:val="24"/>
          <w:szCs w:val="24"/>
        </w:rPr>
        <w:t>For these reasons I have concluded that Mr Ecclestone has not been shown to be in physical possession of the documents of which disclosure is sought. Accordingly I cannot require that he give disclosure against the wishes of the board of directors of the FOG companies themselves.</w:t>
      </w:r>
      <w:bookmarkEnd w:id="2"/>
      <w:r w:rsidR="00937F69" w:rsidRPr="00BC3644">
        <w:rPr>
          <w:rFonts w:ascii="Times New Roman" w:hAnsi="Times New Roman" w:cs="Times New Roman"/>
          <w:color w:val="000000"/>
          <w:sz w:val="24"/>
          <w:szCs w:val="24"/>
        </w:rPr>
        <w:t xml:space="preserve"> (emphasis added)</w:t>
      </w:r>
    </w:p>
    <w:p w14:paraId="5DC1C701" w14:textId="77777777" w:rsidR="005D29B7" w:rsidRPr="008D63E8" w:rsidRDefault="005D29B7" w:rsidP="004C7755">
      <w:pPr>
        <w:spacing w:before="120" w:line="360" w:lineRule="auto"/>
        <w:ind w:left="720"/>
        <w:rPr>
          <w:rFonts w:ascii="Times New Roman" w:hAnsi="Times New Roman" w:cs="Times New Roman"/>
          <w:i/>
          <w:iCs/>
          <w:sz w:val="24"/>
          <w:szCs w:val="24"/>
        </w:rPr>
      </w:pPr>
    </w:p>
    <w:p w14:paraId="6264FFC9" w14:textId="7F73DE6E" w:rsidR="006A3D95" w:rsidRPr="00380F1E" w:rsidRDefault="00660E57" w:rsidP="00380F1E">
      <w:pPr>
        <w:pStyle w:val="ListParagraph"/>
        <w:numPr>
          <w:ilvl w:val="0"/>
          <w:numId w:val="1"/>
        </w:numPr>
        <w:spacing w:before="120" w:line="360" w:lineRule="auto"/>
        <w:jc w:val="both"/>
        <w:rPr>
          <w:rFonts w:ascii="Times New Roman" w:hAnsi="Times New Roman" w:cs="Times New Roman"/>
          <w:sz w:val="24"/>
          <w:szCs w:val="24"/>
        </w:rPr>
      </w:pPr>
      <w:r w:rsidRPr="00380F1E">
        <w:rPr>
          <w:rFonts w:ascii="Times New Roman" w:hAnsi="Times New Roman" w:cs="Times New Roman"/>
          <w:sz w:val="24"/>
          <w:szCs w:val="24"/>
        </w:rPr>
        <w:t xml:space="preserve">Having regard to the authorities reviewed above, the following principles are relevant in determining whether </w:t>
      </w:r>
      <w:r w:rsidR="00972F14" w:rsidRPr="00380F1E">
        <w:rPr>
          <w:rFonts w:ascii="Times New Roman" w:hAnsi="Times New Roman" w:cs="Times New Roman"/>
          <w:sz w:val="24"/>
          <w:szCs w:val="24"/>
        </w:rPr>
        <w:t xml:space="preserve">documents held by a subsidiary </w:t>
      </w:r>
      <w:r w:rsidR="00051830" w:rsidRPr="00380F1E">
        <w:rPr>
          <w:rFonts w:ascii="Times New Roman" w:hAnsi="Times New Roman" w:cs="Times New Roman"/>
          <w:sz w:val="24"/>
          <w:szCs w:val="24"/>
        </w:rPr>
        <w:t>c</w:t>
      </w:r>
      <w:r w:rsidR="00645F7F" w:rsidRPr="00380F1E">
        <w:rPr>
          <w:rFonts w:ascii="Times New Roman" w:hAnsi="Times New Roman" w:cs="Times New Roman"/>
          <w:sz w:val="24"/>
          <w:szCs w:val="24"/>
        </w:rPr>
        <w:t>ompany</w:t>
      </w:r>
      <w:r w:rsidR="00972F14" w:rsidRPr="00380F1E">
        <w:rPr>
          <w:rFonts w:ascii="Times New Roman" w:hAnsi="Times New Roman" w:cs="Times New Roman"/>
          <w:sz w:val="24"/>
          <w:szCs w:val="24"/>
        </w:rPr>
        <w:t xml:space="preserve"> are within the “</w:t>
      </w:r>
      <w:r w:rsidR="00972F14" w:rsidRPr="00380F1E">
        <w:rPr>
          <w:rFonts w:ascii="Times New Roman" w:hAnsi="Times New Roman" w:cs="Times New Roman"/>
          <w:i/>
          <w:iCs/>
          <w:sz w:val="24"/>
          <w:szCs w:val="24"/>
        </w:rPr>
        <w:t>power</w:t>
      </w:r>
      <w:r w:rsidR="00972F14" w:rsidRPr="00380F1E">
        <w:rPr>
          <w:rFonts w:ascii="Times New Roman" w:hAnsi="Times New Roman" w:cs="Times New Roman"/>
          <w:sz w:val="24"/>
          <w:szCs w:val="24"/>
        </w:rPr>
        <w:t xml:space="preserve">” of its parent </w:t>
      </w:r>
      <w:r w:rsidR="0050582D" w:rsidRPr="00380F1E">
        <w:rPr>
          <w:rFonts w:ascii="Times New Roman" w:hAnsi="Times New Roman" w:cs="Times New Roman"/>
          <w:sz w:val="24"/>
          <w:szCs w:val="24"/>
        </w:rPr>
        <w:t>c</w:t>
      </w:r>
      <w:r w:rsidR="00645F7F" w:rsidRPr="00380F1E">
        <w:rPr>
          <w:rFonts w:ascii="Times New Roman" w:hAnsi="Times New Roman" w:cs="Times New Roman"/>
          <w:sz w:val="24"/>
          <w:szCs w:val="24"/>
        </w:rPr>
        <w:t>ompany</w:t>
      </w:r>
      <w:r w:rsidR="00972F14" w:rsidRPr="00380F1E">
        <w:rPr>
          <w:rFonts w:ascii="Times New Roman" w:hAnsi="Times New Roman" w:cs="Times New Roman"/>
          <w:sz w:val="24"/>
          <w:szCs w:val="24"/>
        </w:rPr>
        <w:t xml:space="preserve"> within the meaning of</w:t>
      </w:r>
      <w:r w:rsidR="00E71DCD" w:rsidRPr="00380F1E">
        <w:rPr>
          <w:rFonts w:ascii="Times New Roman" w:hAnsi="Times New Roman" w:cs="Times New Roman"/>
          <w:sz w:val="24"/>
          <w:szCs w:val="24"/>
        </w:rPr>
        <w:t xml:space="preserve"> Order 24 rule 1:</w:t>
      </w:r>
    </w:p>
    <w:p w14:paraId="6A971960" w14:textId="77777777" w:rsidR="00963BA1" w:rsidRDefault="00963BA1" w:rsidP="004C7755">
      <w:pPr>
        <w:spacing w:before="120" w:line="360" w:lineRule="auto"/>
        <w:rPr>
          <w:rFonts w:ascii="Times New Roman" w:hAnsi="Times New Roman" w:cs="Times New Roman"/>
          <w:sz w:val="24"/>
          <w:szCs w:val="24"/>
        </w:rPr>
      </w:pPr>
    </w:p>
    <w:p w14:paraId="651DBEDD" w14:textId="23174B0A" w:rsidR="00963BA1" w:rsidRDefault="00AF1135" w:rsidP="00FF2CBE">
      <w:pPr>
        <w:pStyle w:val="ListParagraph"/>
        <w:numPr>
          <w:ilvl w:val="0"/>
          <w:numId w:val="7"/>
        </w:numPr>
        <w:spacing w:before="120" w:line="360" w:lineRule="auto"/>
        <w:rPr>
          <w:rFonts w:ascii="Times New Roman" w:hAnsi="Times New Roman" w:cs="Times New Roman"/>
          <w:sz w:val="24"/>
          <w:szCs w:val="24"/>
        </w:rPr>
      </w:pPr>
      <w:r>
        <w:rPr>
          <w:rFonts w:ascii="Times New Roman" w:hAnsi="Times New Roman" w:cs="Times New Roman"/>
          <w:sz w:val="24"/>
          <w:szCs w:val="24"/>
        </w:rPr>
        <w:t>The word “</w:t>
      </w:r>
      <w:r w:rsidRPr="00AC1AE9">
        <w:rPr>
          <w:rFonts w:ascii="Times New Roman" w:hAnsi="Times New Roman" w:cs="Times New Roman"/>
          <w:i/>
          <w:iCs/>
          <w:sz w:val="24"/>
          <w:szCs w:val="24"/>
        </w:rPr>
        <w:t>power</w:t>
      </w:r>
      <w:r>
        <w:rPr>
          <w:rFonts w:ascii="Times New Roman" w:hAnsi="Times New Roman" w:cs="Times New Roman"/>
          <w:sz w:val="24"/>
          <w:szCs w:val="24"/>
        </w:rPr>
        <w:t>” in Order 24 rule</w:t>
      </w:r>
      <w:r w:rsidR="0066767F">
        <w:rPr>
          <w:rFonts w:ascii="Times New Roman" w:hAnsi="Times New Roman" w:cs="Times New Roman"/>
          <w:sz w:val="24"/>
          <w:szCs w:val="24"/>
        </w:rPr>
        <w:t xml:space="preserve"> 1 means a presently enforceable legal right to obtain from whoever actually holds the document inspection of it without the need to obtain the consent of anyone else</w:t>
      </w:r>
      <w:r w:rsidR="00BE56A8">
        <w:rPr>
          <w:rFonts w:ascii="Times New Roman" w:hAnsi="Times New Roman" w:cs="Times New Roman"/>
          <w:sz w:val="24"/>
          <w:szCs w:val="24"/>
        </w:rPr>
        <w:t xml:space="preserve">: </w:t>
      </w:r>
      <w:r w:rsidR="00BE56A8" w:rsidRPr="00AC1AE9">
        <w:rPr>
          <w:rFonts w:ascii="Times New Roman" w:hAnsi="Times New Roman" w:cs="Times New Roman"/>
          <w:i/>
          <w:iCs/>
          <w:sz w:val="24"/>
          <w:szCs w:val="24"/>
        </w:rPr>
        <w:t>Lonrho</w:t>
      </w:r>
      <w:r w:rsidR="0015677B">
        <w:rPr>
          <w:rFonts w:ascii="Times New Roman" w:hAnsi="Times New Roman" w:cs="Times New Roman"/>
          <w:sz w:val="24"/>
          <w:szCs w:val="24"/>
        </w:rPr>
        <w:t xml:space="preserve"> at</w:t>
      </w:r>
      <w:r w:rsidR="00A60D5A">
        <w:rPr>
          <w:rFonts w:ascii="Times New Roman" w:hAnsi="Times New Roman" w:cs="Times New Roman"/>
          <w:sz w:val="24"/>
          <w:szCs w:val="24"/>
        </w:rPr>
        <w:t xml:space="preserve"> 635H</w:t>
      </w:r>
      <w:r w:rsidR="00AC1AE9">
        <w:rPr>
          <w:rFonts w:ascii="Times New Roman" w:hAnsi="Times New Roman" w:cs="Times New Roman"/>
          <w:sz w:val="24"/>
          <w:szCs w:val="24"/>
        </w:rPr>
        <w:t>.</w:t>
      </w:r>
    </w:p>
    <w:p w14:paraId="4E8303CD" w14:textId="77777777" w:rsidR="00EC258C" w:rsidRDefault="00EC258C" w:rsidP="004C7755">
      <w:pPr>
        <w:pStyle w:val="ListParagraph"/>
        <w:spacing w:before="120" w:line="360" w:lineRule="auto"/>
        <w:rPr>
          <w:rFonts w:ascii="Times New Roman" w:hAnsi="Times New Roman" w:cs="Times New Roman"/>
          <w:sz w:val="24"/>
          <w:szCs w:val="24"/>
        </w:rPr>
      </w:pPr>
    </w:p>
    <w:p w14:paraId="1B1A9FD9" w14:textId="23853A31" w:rsidR="000E127F" w:rsidRDefault="00CA4258" w:rsidP="00FF2CBE">
      <w:pPr>
        <w:pStyle w:val="ListParagraph"/>
        <w:numPr>
          <w:ilvl w:val="0"/>
          <w:numId w:val="7"/>
        </w:numPr>
        <w:spacing w:before="120" w:line="360" w:lineRule="auto"/>
        <w:rPr>
          <w:rFonts w:ascii="Times New Roman" w:hAnsi="Times New Roman" w:cs="Times New Roman"/>
          <w:sz w:val="24"/>
          <w:szCs w:val="24"/>
        </w:rPr>
      </w:pPr>
      <w:r>
        <w:rPr>
          <w:rFonts w:ascii="Times New Roman" w:hAnsi="Times New Roman" w:cs="Times New Roman"/>
          <w:sz w:val="24"/>
          <w:szCs w:val="24"/>
        </w:rPr>
        <w:t xml:space="preserve">A parent </w:t>
      </w:r>
      <w:r w:rsidR="0050582D">
        <w:rPr>
          <w:rFonts w:ascii="Times New Roman" w:hAnsi="Times New Roman" w:cs="Times New Roman"/>
          <w:sz w:val="24"/>
          <w:szCs w:val="24"/>
        </w:rPr>
        <w:t>c</w:t>
      </w:r>
      <w:r w:rsidR="00645F7F">
        <w:rPr>
          <w:rFonts w:ascii="Times New Roman" w:hAnsi="Times New Roman" w:cs="Times New Roman"/>
          <w:sz w:val="24"/>
          <w:szCs w:val="24"/>
        </w:rPr>
        <w:t>ompany</w:t>
      </w:r>
      <w:r>
        <w:rPr>
          <w:rFonts w:ascii="Times New Roman" w:hAnsi="Times New Roman" w:cs="Times New Roman"/>
          <w:sz w:val="24"/>
          <w:szCs w:val="24"/>
        </w:rPr>
        <w:t xml:space="preserve"> does not merely by virtue of being a parent </w:t>
      </w:r>
      <w:r w:rsidR="0050582D">
        <w:rPr>
          <w:rFonts w:ascii="Times New Roman" w:hAnsi="Times New Roman" w:cs="Times New Roman"/>
          <w:sz w:val="24"/>
          <w:szCs w:val="24"/>
        </w:rPr>
        <w:t>c</w:t>
      </w:r>
      <w:r w:rsidR="00645F7F">
        <w:rPr>
          <w:rFonts w:ascii="Times New Roman" w:hAnsi="Times New Roman" w:cs="Times New Roman"/>
          <w:sz w:val="24"/>
          <w:szCs w:val="24"/>
        </w:rPr>
        <w:t>ompany</w:t>
      </w:r>
      <w:r>
        <w:rPr>
          <w:rFonts w:ascii="Times New Roman" w:hAnsi="Times New Roman" w:cs="Times New Roman"/>
          <w:sz w:val="24"/>
          <w:szCs w:val="24"/>
        </w:rPr>
        <w:t xml:space="preserve"> have control over the documents of its subsidiary: </w:t>
      </w:r>
      <w:r w:rsidRPr="00CE1FA8">
        <w:rPr>
          <w:rFonts w:ascii="Times New Roman" w:hAnsi="Times New Roman" w:cs="Times New Roman"/>
          <w:i/>
          <w:iCs/>
          <w:sz w:val="24"/>
          <w:szCs w:val="24"/>
        </w:rPr>
        <w:t>Lonroh</w:t>
      </w:r>
      <w:r w:rsidR="008B374F">
        <w:rPr>
          <w:rFonts w:ascii="Times New Roman" w:hAnsi="Times New Roman" w:cs="Times New Roman"/>
          <w:sz w:val="24"/>
          <w:szCs w:val="24"/>
        </w:rPr>
        <w:t xml:space="preserve"> and </w:t>
      </w:r>
      <w:r w:rsidR="008B374F" w:rsidRPr="00CE1FA8">
        <w:rPr>
          <w:rFonts w:ascii="Times New Roman" w:hAnsi="Times New Roman" w:cs="Times New Roman"/>
          <w:i/>
          <w:iCs/>
          <w:sz w:val="24"/>
          <w:szCs w:val="24"/>
        </w:rPr>
        <w:t>Ardila</w:t>
      </w:r>
      <w:r w:rsidR="008B374F">
        <w:rPr>
          <w:rFonts w:ascii="Times New Roman" w:hAnsi="Times New Roman" w:cs="Times New Roman"/>
          <w:sz w:val="24"/>
          <w:szCs w:val="24"/>
        </w:rPr>
        <w:t xml:space="preserve"> at [14]</w:t>
      </w:r>
      <w:r w:rsidR="00CE1FA8">
        <w:rPr>
          <w:rFonts w:ascii="Times New Roman" w:hAnsi="Times New Roman" w:cs="Times New Roman"/>
          <w:sz w:val="24"/>
          <w:szCs w:val="24"/>
        </w:rPr>
        <w:t>.</w:t>
      </w:r>
    </w:p>
    <w:p w14:paraId="2195624B" w14:textId="77777777" w:rsidR="00CE1FA8" w:rsidRPr="00CE1FA8" w:rsidRDefault="00CE1FA8" w:rsidP="004C7755">
      <w:pPr>
        <w:pStyle w:val="ListParagraph"/>
        <w:spacing w:line="360" w:lineRule="auto"/>
        <w:rPr>
          <w:rFonts w:ascii="Times New Roman" w:hAnsi="Times New Roman" w:cs="Times New Roman"/>
          <w:sz w:val="24"/>
          <w:szCs w:val="24"/>
        </w:rPr>
      </w:pPr>
    </w:p>
    <w:p w14:paraId="56C0B93C" w14:textId="3673F802" w:rsidR="0078253F" w:rsidRPr="00956225" w:rsidRDefault="00955997" w:rsidP="00FF2CBE">
      <w:pPr>
        <w:pStyle w:val="ListParagraph"/>
        <w:numPr>
          <w:ilvl w:val="0"/>
          <w:numId w:val="7"/>
        </w:numPr>
        <w:spacing w:before="120" w:line="360" w:lineRule="auto"/>
        <w:rPr>
          <w:rFonts w:ascii="Times New Roman" w:hAnsi="Times New Roman" w:cs="Times New Roman"/>
          <w:sz w:val="24"/>
          <w:szCs w:val="24"/>
        </w:rPr>
      </w:pPr>
      <w:r w:rsidRPr="00955997">
        <w:rPr>
          <w:rFonts w:ascii="Times New Roman" w:hAnsi="Times New Roman" w:cs="Times New Roman"/>
          <w:sz w:val="24"/>
          <w:szCs w:val="24"/>
        </w:rPr>
        <w:t xml:space="preserve">A mere expectation that the subsidiary </w:t>
      </w:r>
      <w:r w:rsidR="004C40DC">
        <w:rPr>
          <w:rFonts w:ascii="Times New Roman" w:hAnsi="Times New Roman" w:cs="Times New Roman"/>
          <w:sz w:val="24"/>
          <w:szCs w:val="24"/>
        </w:rPr>
        <w:t xml:space="preserve">company </w:t>
      </w:r>
      <w:r w:rsidRPr="00955997">
        <w:rPr>
          <w:rFonts w:ascii="Times New Roman" w:hAnsi="Times New Roman" w:cs="Times New Roman"/>
          <w:sz w:val="24"/>
          <w:szCs w:val="24"/>
        </w:rPr>
        <w:t xml:space="preserve">will comply with a request of the parent </w:t>
      </w:r>
      <w:r w:rsidR="00956225">
        <w:rPr>
          <w:rFonts w:ascii="Times New Roman" w:hAnsi="Times New Roman" w:cs="Times New Roman"/>
          <w:sz w:val="24"/>
          <w:szCs w:val="24"/>
        </w:rPr>
        <w:t xml:space="preserve">company </w:t>
      </w:r>
      <w:r w:rsidRPr="00955997">
        <w:rPr>
          <w:rFonts w:ascii="Times New Roman" w:hAnsi="Times New Roman" w:cs="Times New Roman"/>
          <w:sz w:val="24"/>
          <w:szCs w:val="24"/>
        </w:rPr>
        <w:t xml:space="preserve">for </w:t>
      </w:r>
      <w:r w:rsidR="00685C95">
        <w:rPr>
          <w:rFonts w:ascii="Times New Roman" w:hAnsi="Times New Roman" w:cs="Times New Roman"/>
          <w:sz w:val="24"/>
          <w:szCs w:val="24"/>
        </w:rPr>
        <w:t>its</w:t>
      </w:r>
      <w:r w:rsidR="004066E3">
        <w:rPr>
          <w:rFonts w:ascii="Times New Roman" w:hAnsi="Times New Roman" w:cs="Times New Roman"/>
          <w:sz w:val="24"/>
          <w:szCs w:val="24"/>
        </w:rPr>
        <w:t xml:space="preserve"> </w:t>
      </w:r>
      <w:r w:rsidRPr="00956225">
        <w:rPr>
          <w:rFonts w:ascii="Times New Roman" w:hAnsi="Times New Roman" w:cs="Times New Roman"/>
          <w:sz w:val="24"/>
          <w:szCs w:val="24"/>
        </w:rPr>
        <w:t>documents is not enough to amount to control over those documents, and there is no obligation to make such a request:</w:t>
      </w:r>
      <w:r w:rsidRPr="00956225">
        <w:rPr>
          <w:rFonts w:ascii="Times New Roman" w:hAnsi="Times New Roman" w:cs="Times New Roman"/>
          <w:i/>
          <w:iCs/>
          <w:sz w:val="24"/>
          <w:szCs w:val="24"/>
        </w:rPr>
        <w:t xml:space="preserve"> Lonrho</w:t>
      </w:r>
      <w:r w:rsidRPr="00956225">
        <w:rPr>
          <w:rFonts w:ascii="Times New Roman" w:hAnsi="Times New Roman" w:cs="Times New Roman"/>
          <w:sz w:val="24"/>
          <w:szCs w:val="24"/>
        </w:rPr>
        <w:t xml:space="preserve">, </w:t>
      </w:r>
      <w:r w:rsidRPr="00956225">
        <w:rPr>
          <w:rFonts w:ascii="Times New Roman" w:hAnsi="Times New Roman" w:cs="Times New Roman"/>
          <w:i/>
          <w:iCs/>
          <w:sz w:val="24"/>
          <w:szCs w:val="24"/>
        </w:rPr>
        <w:t xml:space="preserve">Schlumberger </w:t>
      </w:r>
      <w:r w:rsidRPr="00956225">
        <w:rPr>
          <w:rFonts w:ascii="Times New Roman" w:hAnsi="Times New Roman" w:cs="Times New Roman"/>
          <w:sz w:val="24"/>
          <w:szCs w:val="24"/>
        </w:rPr>
        <w:t>at</w:t>
      </w:r>
      <w:r w:rsidR="00827911" w:rsidRPr="00956225">
        <w:rPr>
          <w:rFonts w:ascii="Times New Roman" w:hAnsi="Times New Roman" w:cs="Times New Roman"/>
          <w:sz w:val="24"/>
          <w:szCs w:val="24"/>
        </w:rPr>
        <w:t xml:space="preserve"> </w:t>
      </w:r>
      <w:r w:rsidR="005F0EE7" w:rsidRPr="00956225">
        <w:rPr>
          <w:rFonts w:ascii="Times New Roman" w:hAnsi="Times New Roman" w:cs="Times New Roman"/>
          <w:sz w:val="24"/>
          <w:szCs w:val="24"/>
        </w:rPr>
        <w:t>[</w:t>
      </w:r>
      <w:r w:rsidRPr="00956225">
        <w:rPr>
          <w:rFonts w:ascii="Times New Roman" w:hAnsi="Times New Roman" w:cs="Times New Roman"/>
          <w:sz w:val="24"/>
          <w:szCs w:val="24"/>
        </w:rPr>
        <w:t>21</w:t>
      </w:r>
      <w:r w:rsidR="00827911" w:rsidRPr="00956225">
        <w:rPr>
          <w:rFonts w:ascii="Times New Roman" w:hAnsi="Times New Roman" w:cs="Times New Roman"/>
          <w:sz w:val="24"/>
          <w:szCs w:val="24"/>
        </w:rPr>
        <w:t>]</w:t>
      </w:r>
      <w:r w:rsidRPr="00956225">
        <w:rPr>
          <w:rFonts w:ascii="Times New Roman" w:hAnsi="Times New Roman" w:cs="Times New Roman"/>
          <w:sz w:val="24"/>
          <w:szCs w:val="24"/>
        </w:rPr>
        <w:t xml:space="preserve">, and </w:t>
      </w:r>
      <w:r w:rsidRPr="00956225">
        <w:rPr>
          <w:rFonts w:ascii="Times New Roman" w:hAnsi="Times New Roman" w:cs="Times New Roman"/>
          <w:i/>
          <w:iCs/>
          <w:sz w:val="24"/>
          <w:szCs w:val="24"/>
        </w:rPr>
        <w:t xml:space="preserve">Ardila </w:t>
      </w:r>
      <w:r w:rsidRPr="00956225">
        <w:rPr>
          <w:rFonts w:ascii="Times New Roman" w:hAnsi="Times New Roman" w:cs="Times New Roman"/>
          <w:sz w:val="24"/>
          <w:szCs w:val="24"/>
        </w:rPr>
        <w:t xml:space="preserve">at </w:t>
      </w:r>
      <w:r w:rsidR="00827911" w:rsidRPr="00956225">
        <w:rPr>
          <w:rFonts w:ascii="Times New Roman" w:hAnsi="Times New Roman" w:cs="Times New Roman"/>
          <w:sz w:val="24"/>
          <w:szCs w:val="24"/>
        </w:rPr>
        <w:t>[</w:t>
      </w:r>
      <w:r w:rsidRPr="00956225">
        <w:rPr>
          <w:rFonts w:ascii="Times New Roman" w:hAnsi="Times New Roman" w:cs="Times New Roman"/>
          <w:sz w:val="24"/>
          <w:szCs w:val="24"/>
        </w:rPr>
        <w:t>13</w:t>
      </w:r>
      <w:r w:rsidR="00827911" w:rsidRPr="00956225">
        <w:rPr>
          <w:rFonts w:ascii="Times New Roman" w:hAnsi="Times New Roman" w:cs="Times New Roman"/>
          <w:sz w:val="24"/>
          <w:szCs w:val="24"/>
        </w:rPr>
        <w:t>]</w:t>
      </w:r>
      <w:r w:rsidRPr="00956225">
        <w:rPr>
          <w:rFonts w:ascii="Times New Roman" w:hAnsi="Times New Roman" w:cs="Times New Roman"/>
          <w:sz w:val="24"/>
          <w:szCs w:val="24"/>
        </w:rPr>
        <w:t>.</w:t>
      </w:r>
    </w:p>
    <w:p w14:paraId="61A77A26" w14:textId="77777777" w:rsidR="00666509" w:rsidRDefault="00666509" w:rsidP="004C7755">
      <w:pPr>
        <w:pStyle w:val="ListParagraph"/>
        <w:spacing w:before="120" w:line="360" w:lineRule="auto"/>
        <w:rPr>
          <w:rFonts w:ascii="Times New Roman" w:hAnsi="Times New Roman" w:cs="Times New Roman"/>
          <w:sz w:val="24"/>
          <w:szCs w:val="24"/>
        </w:rPr>
      </w:pPr>
    </w:p>
    <w:p w14:paraId="5D5FFBF5" w14:textId="01C131FB" w:rsidR="0078253F" w:rsidRPr="0078253F" w:rsidRDefault="00C9397F" w:rsidP="00FF2CBE">
      <w:pPr>
        <w:pStyle w:val="ListParagraph"/>
        <w:numPr>
          <w:ilvl w:val="0"/>
          <w:numId w:val="7"/>
        </w:numPr>
        <w:spacing w:before="120" w:line="360" w:lineRule="auto"/>
        <w:rPr>
          <w:rFonts w:ascii="Times New Roman" w:hAnsi="Times New Roman" w:cs="Times New Roman"/>
          <w:sz w:val="24"/>
          <w:szCs w:val="24"/>
        </w:rPr>
      </w:pPr>
      <w:r>
        <w:rPr>
          <w:rFonts w:ascii="Times New Roman" w:hAnsi="Times New Roman" w:cs="Times New Roman"/>
          <w:sz w:val="24"/>
          <w:szCs w:val="24"/>
        </w:rPr>
        <w:t xml:space="preserve">Given that the parent and a subsidiary </w:t>
      </w:r>
      <w:r w:rsidR="0050582D">
        <w:rPr>
          <w:rFonts w:ascii="Times New Roman" w:hAnsi="Times New Roman" w:cs="Times New Roman"/>
          <w:sz w:val="24"/>
          <w:szCs w:val="24"/>
        </w:rPr>
        <w:t>c</w:t>
      </w:r>
      <w:r w:rsidR="00645F7F">
        <w:rPr>
          <w:rFonts w:ascii="Times New Roman" w:hAnsi="Times New Roman" w:cs="Times New Roman"/>
          <w:sz w:val="24"/>
          <w:szCs w:val="24"/>
        </w:rPr>
        <w:t>ompany</w:t>
      </w:r>
      <w:r>
        <w:rPr>
          <w:rFonts w:ascii="Times New Roman" w:hAnsi="Times New Roman" w:cs="Times New Roman"/>
          <w:sz w:val="24"/>
          <w:szCs w:val="24"/>
        </w:rPr>
        <w:t xml:space="preserve"> are likely to enjoy shared commercial interest, a parent</w:t>
      </w:r>
      <w:r w:rsidR="006E5BBE">
        <w:rPr>
          <w:rFonts w:ascii="Times New Roman" w:hAnsi="Times New Roman" w:cs="Times New Roman"/>
          <w:sz w:val="24"/>
          <w:szCs w:val="24"/>
        </w:rPr>
        <w:t xml:space="preserve"> </w:t>
      </w:r>
      <w:r w:rsidR="0050582D">
        <w:rPr>
          <w:rFonts w:ascii="Times New Roman" w:hAnsi="Times New Roman" w:cs="Times New Roman"/>
          <w:sz w:val="24"/>
          <w:szCs w:val="24"/>
        </w:rPr>
        <w:t>c</w:t>
      </w:r>
      <w:r w:rsidR="00645F7F">
        <w:rPr>
          <w:rFonts w:ascii="Times New Roman" w:hAnsi="Times New Roman" w:cs="Times New Roman"/>
          <w:sz w:val="24"/>
          <w:szCs w:val="24"/>
        </w:rPr>
        <w:t>ompany</w:t>
      </w:r>
      <w:r>
        <w:rPr>
          <w:rFonts w:ascii="Times New Roman" w:hAnsi="Times New Roman" w:cs="Times New Roman"/>
          <w:sz w:val="24"/>
          <w:szCs w:val="24"/>
        </w:rPr>
        <w:t xml:space="preserve"> may ordinarily expect it subsidiary</w:t>
      </w:r>
      <w:r w:rsidR="006402DA">
        <w:rPr>
          <w:rFonts w:ascii="Times New Roman" w:hAnsi="Times New Roman" w:cs="Times New Roman"/>
          <w:sz w:val="24"/>
          <w:szCs w:val="24"/>
        </w:rPr>
        <w:t xml:space="preserve"> to comply with a request for its documents, but such an expectation alone is sufficient to amount to control over those documents:</w:t>
      </w:r>
      <w:r w:rsidR="00643A24">
        <w:rPr>
          <w:rFonts w:ascii="Times New Roman" w:hAnsi="Times New Roman" w:cs="Times New Roman"/>
          <w:sz w:val="24"/>
          <w:szCs w:val="24"/>
        </w:rPr>
        <w:t xml:space="preserve"> </w:t>
      </w:r>
      <w:r w:rsidR="00643A24" w:rsidRPr="00947546">
        <w:rPr>
          <w:rFonts w:ascii="Times New Roman" w:hAnsi="Times New Roman" w:cs="Times New Roman"/>
          <w:i/>
          <w:iCs/>
          <w:sz w:val="24"/>
          <w:szCs w:val="24"/>
        </w:rPr>
        <w:t>Lonr</w:t>
      </w:r>
      <w:r w:rsidR="00947546" w:rsidRPr="00947546">
        <w:rPr>
          <w:rFonts w:ascii="Times New Roman" w:hAnsi="Times New Roman" w:cs="Times New Roman"/>
          <w:i/>
          <w:iCs/>
          <w:sz w:val="24"/>
          <w:szCs w:val="24"/>
        </w:rPr>
        <w:t>ho</w:t>
      </w:r>
      <w:r w:rsidR="00643A24">
        <w:rPr>
          <w:rFonts w:ascii="Times New Roman" w:hAnsi="Times New Roman" w:cs="Times New Roman"/>
          <w:sz w:val="24"/>
          <w:szCs w:val="24"/>
        </w:rPr>
        <w:t xml:space="preserve"> </w:t>
      </w:r>
      <w:r w:rsidR="00930C18">
        <w:rPr>
          <w:rFonts w:ascii="Times New Roman" w:hAnsi="Times New Roman" w:cs="Times New Roman"/>
          <w:sz w:val="24"/>
          <w:szCs w:val="24"/>
        </w:rPr>
        <w:t>(CA) at 372 D-E</w:t>
      </w:r>
      <w:r w:rsidR="00947546">
        <w:rPr>
          <w:rFonts w:ascii="Times New Roman" w:hAnsi="Times New Roman" w:cs="Times New Roman"/>
          <w:sz w:val="24"/>
          <w:szCs w:val="24"/>
        </w:rPr>
        <w:t xml:space="preserve">; </w:t>
      </w:r>
      <w:r w:rsidR="00947546" w:rsidRPr="00930C18">
        <w:rPr>
          <w:rFonts w:ascii="Times New Roman" w:hAnsi="Times New Roman" w:cs="Times New Roman"/>
          <w:i/>
          <w:iCs/>
          <w:sz w:val="24"/>
          <w:szCs w:val="24"/>
        </w:rPr>
        <w:t>Ardila</w:t>
      </w:r>
      <w:r w:rsidR="00643A24">
        <w:rPr>
          <w:rFonts w:ascii="Times New Roman" w:hAnsi="Times New Roman" w:cs="Times New Roman"/>
          <w:sz w:val="24"/>
          <w:szCs w:val="24"/>
        </w:rPr>
        <w:t xml:space="preserve"> at [21]</w:t>
      </w:r>
      <w:r w:rsidR="00952DAC">
        <w:rPr>
          <w:rFonts w:ascii="Times New Roman" w:hAnsi="Times New Roman" w:cs="Times New Roman"/>
          <w:sz w:val="24"/>
          <w:szCs w:val="24"/>
        </w:rPr>
        <w:t xml:space="preserve">; and </w:t>
      </w:r>
      <w:r w:rsidR="00952DAC" w:rsidRPr="00947546">
        <w:rPr>
          <w:rFonts w:ascii="Times New Roman" w:hAnsi="Times New Roman" w:cs="Times New Roman"/>
          <w:i/>
          <w:iCs/>
          <w:sz w:val="24"/>
          <w:szCs w:val="24"/>
        </w:rPr>
        <w:t xml:space="preserve">Abudawood </w:t>
      </w:r>
      <w:r w:rsidR="00952DAC">
        <w:rPr>
          <w:rFonts w:ascii="Times New Roman" w:hAnsi="Times New Roman" w:cs="Times New Roman"/>
          <w:sz w:val="24"/>
          <w:szCs w:val="24"/>
        </w:rPr>
        <w:t>at [39].</w:t>
      </w:r>
    </w:p>
    <w:p w14:paraId="0E9D4D0E" w14:textId="77777777" w:rsidR="00EE20C7" w:rsidRDefault="00EE20C7" w:rsidP="004C7755">
      <w:pPr>
        <w:pStyle w:val="ListParagraph"/>
        <w:spacing w:before="120" w:line="360" w:lineRule="auto"/>
        <w:rPr>
          <w:rFonts w:ascii="Times New Roman" w:hAnsi="Times New Roman" w:cs="Times New Roman"/>
          <w:sz w:val="24"/>
          <w:szCs w:val="24"/>
        </w:rPr>
      </w:pPr>
    </w:p>
    <w:p w14:paraId="553000F4" w14:textId="6E4A8388" w:rsidR="00F761C6" w:rsidRDefault="002744C4" w:rsidP="00FF2CBE">
      <w:pPr>
        <w:pStyle w:val="ListParagraph"/>
        <w:numPr>
          <w:ilvl w:val="0"/>
          <w:numId w:val="7"/>
        </w:numPr>
        <w:spacing w:before="120" w:line="360" w:lineRule="auto"/>
        <w:rPr>
          <w:rFonts w:ascii="Times New Roman" w:hAnsi="Times New Roman" w:cs="Times New Roman"/>
          <w:sz w:val="24"/>
          <w:szCs w:val="24"/>
        </w:rPr>
      </w:pPr>
      <w:r>
        <w:rPr>
          <w:rFonts w:ascii="Times New Roman" w:hAnsi="Times New Roman" w:cs="Times New Roman"/>
          <w:sz w:val="24"/>
          <w:szCs w:val="24"/>
        </w:rPr>
        <w:t>In an exceptional case</w:t>
      </w:r>
      <w:r w:rsidR="00F12A79">
        <w:rPr>
          <w:rFonts w:ascii="Times New Roman" w:hAnsi="Times New Roman" w:cs="Times New Roman"/>
          <w:sz w:val="24"/>
          <w:szCs w:val="24"/>
        </w:rPr>
        <w:t>, documents of third parties</w:t>
      </w:r>
      <w:r w:rsidR="00EA76E6">
        <w:rPr>
          <w:rFonts w:ascii="Times New Roman" w:hAnsi="Times New Roman" w:cs="Times New Roman"/>
          <w:sz w:val="24"/>
          <w:szCs w:val="24"/>
        </w:rPr>
        <w:t xml:space="preserve"> may be within the “</w:t>
      </w:r>
      <w:r w:rsidR="00EA76E6" w:rsidRPr="005B0AFB">
        <w:rPr>
          <w:rFonts w:ascii="Times New Roman" w:hAnsi="Times New Roman" w:cs="Times New Roman"/>
          <w:i/>
          <w:iCs/>
          <w:sz w:val="24"/>
          <w:szCs w:val="24"/>
        </w:rPr>
        <w:t>practical control</w:t>
      </w:r>
      <w:r w:rsidR="00EA76E6">
        <w:rPr>
          <w:rFonts w:ascii="Times New Roman" w:hAnsi="Times New Roman" w:cs="Times New Roman"/>
          <w:sz w:val="24"/>
          <w:szCs w:val="24"/>
        </w:rPr>
        <w:t>” of the relevant party to the proceedings notwithstanding that they had no presently enforceable</w:t>
      </w:r>
      <w:r w:rsidR="00D3526C">
        <w:rPr>
          <w:rFonts w:ascii="Times New Roman" w:hAnsi="Times New Roman" w:cs="Times New Roman"/>
          <w:sz w:val="24"/>
          <w:szCs w:val="24"/>
        </w:rPr>
        <w:t xml:space="preserve"> right to obtain such documents</w:t>
      </w:r>
      <w:r w:rsidR="007432CD">
        <w:rPr>
          <w:rFonts w:ascii="Times New Roman" w:hAnsi="Times New Roman" w:cs="Times New Roman"/>
          <w:sz w:val="24"/>
          <w:szCs w:val="24"/>
        </w:rPr>
        <w:t>.</w:t>
      </w:r>
      <w:r w:rsidR="00B72AF9">
        <w:rPr>
          <w:rFonts w:ascii="Times New Roman" w:hAnsi="Times New Roman" w:cs="Times New Roman"/>
          <w:sz w:val="24"/>
          <w:szCs w:val="24"/>
        </w:rPr>
        <w:t xml:space="preserve"> A </w:t>
      </w:r>
      <w:r w:rsidR="003B3D6B">
        <w:rPr>
          <w:rFonts w:ascii="Times New Roman" w:hAnsi="Times New Roman" w:cs="Times New Roman"/>
          <w:sz w:val="24"/>
          <w:szCs w:val="24"/>
        </w:rPr>
        <w:t xml:space="preserve">litigant, including a parent </w:t>
      </w:r>
      <w:r w:rsidR="0050582D">
        <w:rPr>
          <w:rFonts w:ascii="Times New Roman" w:hAnsi="Times New Roman" w:cs="Times New Roman"/>
          <w:sz w:val="24"/>
          <w:szCs w:val="24"/>
        </w:rPr>
        <w:t>c</w:t>
      </w:r>
      <w:r w:rsidR="00645F7F">
        <w:rPr>
          <w:rFonts w:ascii="Times New Roman" w:hAnsi="Times New Roman" w:cs="Times New Roman"/>
          <w:sz w:val="24"/>
          <w:szCs w:val="24"/>
        </w:rPr>
        <w:t>ompany</w:t>
      </w:r>
      <w:r w:rsidR="003B3D6B">
        <w:rPr>
          <w:rFonts w:ascii="Times New Roman" w:hAnsi="Times New Roman" w:cs="Times New Roman"/>
          <w:sz w:val="24"/>
          <w:szCs w:val="24"/>
        </w:rPr>
        <w:t>, may have “</w:t>
      </w:r>
      <w:r w:rsidR="003B3D6B" w:rsidRPr="006B74AE">
        <w:rPr>
          <w:rFonts w:ascii="Times New Roman" w:hAnsi="Times New Roman" w:cs="Times New Roman"/>
          <w:i/>
          <w:iCs/>
          <w:sz w:val="24"/>
          <w:szCs w:val="24"/>
        </w:rPr>
        <w:t>control</w:t>
      </w:r>
      <w:r w:rsidR="003B3D6B">
        <w:rPr>
          <w:rFonts w:ascii="Times New Roman" w:hAnsi="Times New Roman" w:cs="Times New Roman"/>
          <w:sz w:val="24"/>
          <w:szCs w:val="24"/>
        </w:rPr>
        <w:t>” over the documents of third party</w:t>
      </w:r>
      <w:r w:rsidR="00C13912">
        <w:rPr>
          <w:rFonts w:ascii="Times New Roman" w:hAnsi="Times New Roman" w:cs="Times New Roman"/>
          <w:sz w:val="24"/>
          <w:szCs w:val="24"/>
        </w:rPr>
        <w:t xml:space="preserve"> where</w:t>
      </w:r>
      <w:r w:rsidR="003E7979">
        <w:rPr>
          <w:rFonts w:ascii="Times New Roman" w:hAnsi="Times New Roman" w:cs="Times New Roman"/>
          <w:sz w:val="24"/>
          <w:szCs w:val="24"/>
        </w:rPr>
        <w:t xml:space="preserve"> there is</w:t>
      </w:r>
      <w:r w:rsidR="00410F8A">
        <w:rPr>
          <w:rFonts w:ascii="Times New Roman" w:hAnsi="Times New Roman" w:cs="Times New Roman"/>
          <w:sz w:val="24"/>
          <w:szCs w:val="24"/>
        </w:rPr>
        <w:t xml:space="preserve"> </w:t>
      </w:r>
      <w:r w:rsidR="00F761C6" w:rsidRPr="00F761C6">
        <w:rPr>
          <w:rFonts w:ascii="Times New Roman" w:hAnsi="Times New Roman" w:cs="Times New Roman"/>
          <w:sz w:val="24"/>
          <w:szCs w:val="24"/>
        </w:rPr>
        <w:t>“</w:t>
      </w:r>
      <w:r w:rsidR="00F761C6" w:rsidRPr="006B74AE">
        <w:rPr>
          <w:rFonts w:ascii="Times New Roman" w:hAnsi="Times New Roman" w:cs="Times New Roman"/>
          <w:i/>
          <w:iCs/>
          <w:sz w:val="24"/>
          <w:szCs w:val="24"/>
        </w:rPr>
        <w:t>an existing arrangement or understanding, the effect of which is that the party to the litigation from whom disclosure is sought has in practice free</w:t>
      </w:r>
      <w:r w:rsidR="007D2E60">
        <w:rPr>
          <w:rFonts w:ascii="Times New Roman" w:hAnsi="Times New Roman" w:cs="Times New Roman"/>
          <w:i/>
          <w:iCs/>
          <w:sz w:val="24"/>
          <w:szCs w:val="24"/>
        </w:rPr>
        <w:t xml:space="preserve"> [or unfettered]</w:t>
      </w:r>
      <w:r w:rsidR="00F761C6" w:rsidRPr="006B74AE">
        <w:rPr>
          <w:rFonts w:ascii="Times New Roman" w:hAnsi="Times New Roman" w:cs="Times New Roman"/>
          <w:i/>
          <w:iCs/>
          <w:sz w:val="24"/>
          <w:szCs w:val="24"/>
        </w:rPr>
        <w:t xml:space="preserve"> access to the documents of the third party</w:t>
      </w:r>
      <w:r w:rsidR="00F761C6" w:rsidRPr="005B0AFB">
        <w:rPr>
          <w:rFonts w:ascii="Times New Roman" w:hAnsi="Times New Roman" w:cs="Times New Roman"/>
          <w:sz w:val="24"/>
          <w:szCs w:val="24"/>
        </w:rPr>
        <w:t xml:space="preserve">”: </w:t>
      </w:r>
      <w:r w:rsidR="00F761C6" w:rsidRPr="002B22B7">
        <w:rPr>
          <w:rFonts w:ascii="Times New Roman" w:hAnsi="Times New Roman" w:cs="Times New Roman"/>
          <w:i/>
          <w:iCs/>
          <w:sz w:val="24"/>
          <w:szCs w:val="24"/>
        </w:rPr>
        <w:t xml:space="preserve">Ardila </w:t>
      </w:r>
      <w:r w:rsidR="00F761C6" w:rsidRPr="005B0AFB">
        <w:rPr>
          <w:rFonts w:ascii="Times New Roman" w:hAnsi="Times New Roman" w:cs="Times New Roman"/>
          <w:sz w:val="24"/>
          <w:szCs w:val="24"/>
        </w:rPr>
        <w:t>at [10]</w:t>
      </w:r>
      <w:r w:rsidR="00146BC7">
        <w:rPr>
          <w:rFonts w:ascii="Times New Roman" w:hAnsi="Times New Roman" w:cs="Times New Roman"/>
          <w:sz w:val="24"/>
          <w:szCs w:val="24"/>
        </w:rPr>
        <w:t xml:space="preserve"> and [14]</w:t>
      </w:r>
      <w:r w:rsidR="00F30872">
        <w:rPr>
          <w:rFonts w:ascii="Times New Roman" w:hAnsi="Times New Roman" w:cs="Times New Roman"/>
          <w:sz w:val="24"/>
          <w:szCs w:val="24"/>
        </w:rPr>
        <w:t xml:space="preserve"> and</w:t>
      </w:r>
      <w:r w:rsidR="00845668">
        <w:rPr>
          <w:rFonts w:ascii="Times New Roman" w:hAnsi="Times New Roman" w:cs="Times New Roman"/>
          <w:sz w:val="24"/>
          <w:szCs w:val="24"/>
        </w:rPr>
        <w:t xml:space="preserve"> </w:t>
      </w:r>
      <w:r w:rsidR="00845668" w:rsidRPr="002B22B7">
        <w:rPr>
          <w:rFonts w:ascii="Times New Roman" w:hAnsi="Times New Roman" w:cs="Times New Roman"/>
          <w:i/>
          <w:iCs/>
          <w:sz w:val="24"/>
          <w:szCs w:val="24"/>
        </w:rPr>
        <w:t>Hollander</w:t>
      </w:r>
      <w:r w:rsidR="00845668">
        <w:rPr>
          <w:rFonts w:ascii="Times New Roman" w:hAnsi="Times New Roman" w:cs="Times New Roman"/>
          <w:sz w:val="24"/>
          <w:szCs w:val="24"/>
        </w:rPr>
        <w:t xml:space="preserve"> at 9-23</w:t>
      </w:r>
      <w:r w:rsidR="00D25C53">
        <w:rPr>
          <w:rFonts w:ascii="Times New Roman" w:hAnsi="Times New Roman" w:cs="Times New Roman"/>
          <w:sz w:val="24"/>
          <w:szCs w:val="24"/>
        </w:rPr>
        <w:t>.</w:t>
      </w:r>
    </w:p>
    <w:p w14:paraId="619E50AB" w14:textId="77777777" w:rsidR="005C0D2F" w:rsidRDefault="005C0D2F" w:rsidP="004C7755">
      <w:pPr>
        <w:pStyle w:val="ListParagraph"/>
        <w:spacing w:before="120" w:line="360" w:lineRule="auto"/>
        <w:rPr>
          <w:rFonts w:ascii="Times New Roman" w:hAnsi="Times New Roman" w:cs="Times New Roman"/>
          <w:sz w:val="24"/>
          <w:szCs w:val="24"/>
        </w:rPr>
      </w:pPr>
    </w:p>
    <w:p w14:paraId="6D4EECAC" w14:textId="355BE7B9" w:rsidR="005C0D2F" w:rsidRDefault="009B7522" w:rsidP="00FF2CBE">
      <w:pPr>
        <w:pStyle w:val="ListParagraph"/>
        <w:numPr>
          <w:ilvl w:val="0"/>
          <w:numId w:val="7"/>
        </w:numPr>
        <w:spacing w:before="120" w:line="360" w:lineRule="auto"/>
        <w:rPr>
          <w:rFonts w:ascii="Times New Roman" w:hAnsi="Times New Roman" w:cs="Times New Roman"/>
          <w:sz w:val="24"/>
          <w:szCs w:val="24"/>
        </w:rPr>
      </w:pPr>
      <w:r>
        <w:rPr>
          <w:rFonts w:ascii="Times New Roman" w:hAnsi="Times New Roman" w:cs="Times New Roman"/>
          <w:sz w:val="24"/>
          <w:szCs w:val="24"/>
        </w:rPr>
        <w:t xml:space="preserve">A </w:t>
      </w:r>
      <w:r w:rsidR="005C0D2F">
        <w:rPr>
          <w:rFonts w:ascii="Times New Roman" w:hAnsi="Times New Roman" w:cs="Times New Roman"/>
          <w:sz w:val="24"/>
          <w:szCs w:val="24"/>
        </w:rPr>
        <w:t>party to the litigation</w:t>
      </w:r>
      <w:r w:rsidR="000275C9">
        <w:rPr>
          <w:rFonts w:ascii="Times New Roman" w:hAnsi="Times New Roman" w:cs="Times New Roman"/>
          <w:sz w:val="24"/>
          <w:szCs w:val="24"/>
        </w:rPr>
        <w:t xml:space="preserve"> from whom disclosure is sought may not have </w:t>
      </w:r>
      <w:r w:rsidR="000275C9" w:rsidRPr="000B55A4">
        <w:rPr>
          <w:rFonts w:ascii="Times New Roman" w:hAnsi="Times New Roman" w:cs="Times New Roman"/>
          <w:i/>
          <w:iCs/>
          <w:sz w:val="24"/>
          <w:szCs w:val="24"/>
        </w:rPr>
        <w:t>free or unfettered access</w:t>
      </w:r>
      <w:r w:rsidR="000275C9">
        <w:rPr>
          <w:rFonts w:ascii="Times New Roman" w:hAnsi="Times New Roman" w:cs="Times New Roman"/>
          <w:sz w:val="24"/>
          <w:szCs w:val="24"/>
        </w:rPr>
        <w:t xml:space="preserve"> to the documents of the third party, if the third party has provided the access</w:t>
      </w:r>
      <w:r w:rsidR="000B55A4">
        <w:rPr>
          <w:rFonts w:ascii="Times New Roman" w:hAnsi="Times New Roman" w:cs="Times New Roman"/>
          <w:sz w:val="24"/>
          <w:szCs w:val="24"/>
        </w:rPr>
        <w:t xml:space="preserve"> to the documents</w:t>
      </w:r>
      <w:r w:rsidR="000275C9">
        <w:rPr>
          <w:rFonts w:ascii="Times New Roman" w:hAnsi="Times New Roman" w:cs="Times New Roman"/>
          <w:sz w:val="24"/>
          <w:szCs w:val="24"/>
        </w:rPr>
        <w:t xml:space="preserve"> for a particular limited purpose:</w:t>
      </w:r>
      <w:r w:rsidR="00E654BA" w:rsidRPr="00B06A9E">
        <w:rPr>
          <w:rFonts w:ascii="Times New Roman" w:hAnsi="Times New Roman" w:cs="Times New Roman"/>
          <w:i/>
          <w:iCs/>
          <w:sz w:val="24"/>
          <w:szCs w:val="24"/>
        </w:rPr>
        <w:t xml:space="preserve"> Ardila</w:t>
      </w:r>
      <w:r w:rsidR="00E654BA">
        <w:rPr>
          <w:rFonts w:ascii="Times New Roman" w:hAnsi="Times New Roman" w:cs="Times New Roman"/>
          <w:sz w:val="24"/>
          <w:szCs w:val="24"/>
        </w:rPr>
        <w:t xml:space="preserve"> at [16]-[17], </w:t>
      </w:r>
      <w:r w:rsidR="00E654BA" w:rsidRPr="00B06A9E">
        <w:rPr>
          <w:rFonts w:ascii="Times New Roman" w:hAnsi="Times New Roman" w:cs="Times New Roman"/>
          <w:i/>
          <w:iCs/>
          <w:sz w:val="24"/>
          <w:szCs w:val="24"/>
        </w:rPr>
        <w:t>Berkeley Square</w:t>
      </w:r>
      <w:r w:rsidR="003F214B">
        <w:rPr>
          <w:rFonts w:ascii="Times New Roman" w:hAnsi="Times New Roman" w:cs="Times New Roman"/>
          <w:sz w:val="24"/>
          <w:szCs w:val="24"/>
        </w:rPr>
        <w:t xml:space="preserve"> at [46(vi)], </w:t>
      </w:r>
      <w:r w:rsidR="003F214B" w:rsidRPr="00B06A9E">
        <w:rPr>
          <w:rFonts w:ascii="Times New Roman" w:hAnsi="Times New Roman" w:cs="Times New Roman"/>
          <w:i/>
          <w:iCs/>
          <w:sz w:val="24"/>
          <w:szCs w:val="24"/>
        </w:rPr>
        <w:t>Constantin Medien</w:t>
      </w:r>
      <w:r w:rsidR="003F214B">
        <w:rPr>
          <w:rFonts w:ascii="Times New Roman" w:hAnsi="Times New Roman" w:cs="Times New Roman"/>
          <w:sz w:val="24"/>
          <w:szCs w:val="24"/>
        </w:rPr>
        <w:t xml:space="preserve"> at </w:t>
      </w:r>
      <w:r w:rsidR="005F3DEA">
        <w:rPr>
          <w:rFonts w:ascii="Times New Roman" w:hAnsi="Times New Roman" w:cs="Times New Roman"/>
          <w:sz w:val="24"/>
          <w:szCs w:val="24"/>
        </w:rPr>
        <w:t>[61] and [64],</w:t>
      </w:r>
      <w:r w:rsidR="005F3DEA" w:rsidRPr="00B06A9E">
        <w:rPr>
          <w:rFonts w:ascii="Times New Roman" w:hAnsi="Times New Roman" w:cs="Times New Roman"/>
          <w:i/>
          <w:iCs/>
          <w:sz w:val="24"/>
          <w:szCs w:val="24"/>
        </w:rPr>
        <w:t xml:space="preserve"> Pipia </w:t>
      </w:r>
      <w:r w:rsidR="005F3DEA">
        <w:rPr>
          <w:rFonts w:ascii="Times New Roman" w:hAnsi="Times New Roman" w:cs="Times New Roman"/>
          <w:sz w:val="24"/>
          <w:szCs w:val="24"/>
        </w:rPr>
        <w:t>at [21], [35</w:t>
      </w:r>
      <w:r>
        <w:rPr>
          <w:rFonts w:ascii="Times New Roman" w:hAnsi="Times New Roman" w:cs="Times New Roman"/>
          <w:sz w:val="24"/>
          <w:szCs w:val="24"/>
        </w:rPr>
        <w:t>(iii)-(iv)], and [55].</w:t>
      </w:r>
    </w:p>
    <w:p w14:paraId="42D85082" w14:textId="77777777" w:rsidR="00B06A9E" w:rsidRPr="00B06A9E" w:rsidRDefault="00B06A9E" w:rsidP="004C7755">
      <w:pPr>
        <w:pStyle w:val="ListParagraph"/>
        <w:spacing w:line="360" w:lineRule="auto"/>
        <w:rPr>
          <w:rFonts w:ascii="Times New Roman" w:hAnsi="Times New Roman" w:cs="Times New Roman"/>
          <w:sz w:val="24"/>
          <w:szCs w:val="24"/>
        </w:rPr>
      </w:pPr>
    </w:p>
    <w:p w14:paraId="7DEC8186" w14:textId="77777777" w:rsidR="00521443" w:rsidRPr="00521443" w:rsidRDefault="00261D01" w:rsidP="00FF2CBE">
      <w:pPr>
        <w:pStyle w:val="ListParagraph"/>
        <w:numPr>
          <w:ilvl w:val="0"/>
          <w:numId w:val="7"/>
        </w:numPr>
        <w:spacing w:before="120" w:line="360" w:lineRule="auto"/>
        <w:rPr>
          <w:rFonts w:ascii="Times New Roman" w:hAnsi="Times New Roman" w:cs="Times New Roman"/>
          <w:sz w:val="24"/>
          <w:szCs w:val="24"/>
        </w:rPr>
      </w:pPr>
      <w:r w:rsidRPr="00261D01">
        <w:rPr>
          <w:rFonts w:ascii="Times New Roman" w:hAnsi="Times New Roman" w:cs="Times New Roman"/>
          <w:sz w:val="24"/>
          <w:szCs w:val="24"/>
        </w:rPr>
        <w:t xml:space="preserve">Such an arrangement or understanding can be inferred: </w:t>
      </w:r>
      <w:r w:rsidRPr="00DC1E18">
        <w:rPr>
          <w:rFonts w:ascii="Times New Roman" w:hAnsi="Times New Roman" w:cs="Times New Roman"/>
          <w:i/>
          <w:iCs/>
          <w:sz w:val="24"/>
          <w:szCs w:val="24"/>
        </w:rPr>
        <w:t>North Shore</w:t>
      </w:r>
      <w:r w:rsidRPr="00261D01">
        <w:rPr>
          <w:rFonts w:ascii="Times New Roman" w:hAnsi="Times New Roman" w:cs="Times New Roman"/>
          <w:sz w:val="24"/>
          <w:szCs w:val="24"/>
        </w:rPr>
        <w:t xml:space="preserve"> at </w:t>
      </w:r>
      <w:r w:rsidR="006228AD">
        <w:rPr>
          <w:rFonts w:ascii="Times New Roman" w:hAnsi="Times New Roman" w:cs="Times New Roman"/>
          <w:sz w:val="24"/>
          <w:szCs w:val="24"/>
        </w:rPr>
        <w:t>[</w:t>
      </w:r>
      <w:r w:rsidRPr="006228AD">
        <w:rPr>
          <w:rFonts w:ascii="Times New Roman" w:hAnsi="Times New Roman" w:cs="Times New Roman"/>
          <w:sz w:val="24"/>
          <w:szCs w:val="24"/>
        </w:rPr>
        <w:t>38</w:t>
      </w:r>
      <w:r w:rsidR="006228AD">
        <w:rPr>
          <w:rFonts w:ascii="Times New Roman" w:hAnsi="Times New Roman" w:cs="Times New Roman"/>
          <w:sz w:val="24"/>
          <w:szCs w:val="24"/>
        </w:rPr>
        <w:t>]</w:t>
      </w:r>
      <w:r w:rsidRPr="006228AD">
        <w:rPr>
          <w:rFonts w:ascii="Times New Roman" w:hAnsi="Times New Roman" w:cs="Times New Roman"/>
          <w:sz w:val="24"/>
          <w:szCs w:val="24"/>
        </w:rPr>
        <w:t xml:space="preserve">, </w:t>
      </w:r>
      <w:r w:rsidRPr="00DC1E18">
        <w:rPr>
          <w:rFonts w:ascii="Times New Roman" w:hAnsi="Times New Roman" w:cs="Times New Roman"/>
          <w:i/>
          <w:iCs/>
          <w:sz w:val="24"/>
          <w:szCs w:val="24"/>
        </w:rPr>
        <w:t>Ardila</w:t>
      </w:r>
      <w:r w:rsidRPr="006228AD">
        <w:rPr>
          <w:rFonts w:ascii="Times New Roman" w:hAnsi="Times New Roman" w:cs="Times New Roman"/>
          <w:sz w:val="24"/>
          <w:szCs w:val="24"/>
        </w:rPr>
        <w:t xml:space="preserve"> at </w:t>
      </w:r>
      <w:r w:rsidR="00BA1E3E">
        <w:rPr>
          <w:rFonts w:ascii="Times New Roman" w:hAnsi="Times New Roman" w:cs="Times New Roman"/>
          <w:sz w:val="24"/>
          <w:szCs w:val="24"/>
        </w:rPr>
        <w:t>[</w:t>
      </w:r>
      <w:r w:rsidRPr="006228AD">
        <w:rPr>
          <w:rFonts w:ascii="Times New Roman" w:hAnsi="Times New Roman" w:cs="Times New Roman"/>
          <w:sz w:val="24"/>
          <w:szCs w:val="24"/>
        </w:rPr>
        <w:t>14</w:t>
      </w:r>
      <w:r w:rsidR="00BA1E3E">
        <w:rPr>
          <w:rFonts w:ascii="Times New Roman" w:hAnsi="Times New Roman" w:cs="Times New Roman"/>
          <w:sz w:val="24"/>
          <w:szCs w:val="24"/>
        </w:rPr>
        <w:t>]</w:t>
      </w:r>
      <w:r w:rsidRPr="006228AD">
        <w:rPr>
          <w:rFonts w:ascii="Times New Roman" w:hAnsi="Times New Roman" w:cs="Times New Roman"/>
          <w:sz w:val="24"/>
          <w:szCs w:val="24"/>
        </w:rPr>
        <w:t xml:space="preserve">, </w:t>
      </w:r>
      <w:r w:rsidRPr="00DC1E18">
        <w:rPr>
          <w:rFonts w:ascii="Times New Roman" w:hAnsi="Times New Roman" w:cs="Times New Roman"/>
          <w:i/>
          <w:iCs/>
          <w:sz w:val="24"/>
          <w:szCs w:val="24"/>
        </w:rPr>
        <w:t>Pipia</w:t>
      </w:r>
      <w:r w:rsidRPr="006228AD">
        <w:rPr>
          <w:rFonts w:ascii="Times New Roman" w:hAnsi="Times New Roman" w:cs="Times New Roman"/>
          <w:sz w:val="24"/>
          <w:szCs w:val="24"/>
        </w:rPr>
        <w:t xml:space="preserve"> at </w:t>
      </w:r>
      <w:r w:rsidR="00BA1E3E">
        <w:rPr>
          <w:rFonts w:ascii="Times New Roman" w:hAnsi="Times New Roman" w:cs="Times New Roman"/>
          <w:sz w:val="24"/>
          <w:szCs w:val="24"/>
        </w:rPr>
        <w:t>[</w:t>
      </w:r>
      <w:r w:rsidRPr="006228AD">
        <w:rPr>
          <w:rFonts w:ascii="Times New Roman" w:hAnsi="Times New Roman" w:cs="Times New Roman"/>
          <w:sz w:val="24"/>
          <w:szCs w:val="24"/>
        </w:rPr>
        <w:t>54</w:t>
      </w:r>
      <w:r w:rsidR="00BA1E3E">
        <w:rPr>
          <w:rFonts w:ascii="Times New Roman" w:hAnsi="Times New Roman" w:cs="Times New Roman"/>
          <w:sz w:val="24"/>
          <w:szCs w:val="24"/>
        </w:rPr>
        <w:t>]</w:t>
      </w:r>
      <w:r w:rsidRPr="006228AD">
        <w:rPr>
          <w:rFonts w:ascii="Times New Roman" w:hAnsi="Times New Roman" w:cs="Times New Roman"/>
          <w:sz w:val="24"/>
          <w:szCs w:val="24"/>
        </w:rPr>
        <w:t xml:space="preserve"> and </w:t>
      </w:r>
      <w:r w:rsidRPr="00DC1E18">
        <w:rPr>
          <w:rFonts w:ascii="Times New Roman" w:hAnsi="Times New Roman" w:cs="Times New Roman"/>
          <w:i/>
          <w:iCs/>
          <w:sz w:val="24"/>
          <w:szCs w:val="24"/>
        </w:rPr>
        <w:t>Berkeley Square</w:t>
      </w:r>
      <w:r w:rsidRPr="006228AD">
        <w:rPr>
          <w:rFonts w:ascii="Times New Roman" w:hAnsi="Times New Roman" w:cs="Times New Roman"/>
          <w:sz w:val="24"/>
          <w:szCs w:val="24"/>
        </w:rPr>
        <w:t xml:space="preserve"> at </w:t>
      </w:r>
      <w:r w:rsidR="00BA1E3E">
        <w:rPr>
          <w:rFonts w:ascii="Times New Roman" w:hAnsi="Times New Roman" w:cs="Times New Roman"/>
          <w:sz w:val="24"/>
          <w:szCs w:val="24"/>
        </w:rPr>
        <w:t>[</w:t>
      </w:r>
      <w:r w:rsidRPr="00BA1E3E">
        <w:rPr>
          <w:rFonts w:ascii="Times New Roman" w:hAnsi="Times New Roman" w:cs="Times New Roman"/>
          <w:sz w:val="24"/>
          <w:szCs w:val="24"/>
        </w:rPr>
        <w:t>45</w:t>
      </w:r>
      <w:r w:rsidR="00BA1E3E">
        <w:rPr>
          <w:rFonts w:ascii="Times New Roman" w:hAnsi="Times New Roman" w:cs="Times New Roman"/>
          <w:sz w:val="24"/>
          <w:szCs w:val="24"/>
        </w:rPr>
        <w:t>]</w:t>
      </w:r>
      <w:r w:rsidRPr="00BA1E3E">
        <w:rPr>
          <w:rFonts w:ascii="Times New Roman" w:hAnsi="Times New Roman" w:cs="Times New Roman"/>
          <w:sz w:val="24"/>
          <w:szCs w:val="24"/>
        </w:rPr>
        <w:t xml:space="preserve">. Such an inference may be drawn if there is repeat behaviour which </w:t>
      </w:r>
      <w:r w:rsidRPr="00BE1116">
        <w:rPr>
          <w:rFonts w:ascii="Times New Roman" w:hAnsi="Times New Roman" w:cs="Times New Roman"/>
          <w:sz w:val="24"/>
          <w:szCs w:val="24"/>
        </w:rPr>
        <w:t xml:space="preserve">is sufficient to imply a promise to meet future requests: </w:t>
      </w:r>
      <w:r w:rsidRPr="00DC1E18">
        <w:rPr>
          <w:rFonts w:ascii="Times New Roman" w:hAnsi="Times New Roman" w:cs="Times New Roman"/>
          <w:i/>
          <w:iCs/>
          <w:sz w:val="24"/>
          <w:szCs w:val="24"/>
        </w:rPr>
        <w:t xml:space="preserve">Pipia </w:t>
      </w:r>
      <w:r w:rsidRPr="00BE1116">
        <w:rPr>
          <w:rFonts w:ascii="Times New Roman" w:hAnsi="Times New Roman" w:cs="Times New Roman"/>
          <w:sz w:val="24"/>
          <w:szCs w:val="24"/>
        </w:rPr>
        <w:t xml:space="preserve">at </w:t>
      </w:r>
      <w:r w:rsidR="00DC1E18">
        <w:rPr>
          <w:rFonts w:ascii="Times New Roman" w:hAnsi="Times New Roman" w:cs="Times New Roman"/>
          <w:sz w:val="24"/>
          <w:szCs w:val="24"/>
        </w:rPr>
        <w:t>[</w:t>
      </w:r>
      <w:r w:rsidRPr="00BE1116">
        <w:rPr>
          <w:rFonts w:ascii="Times New Roman" w:hAnsi="Times New Roman" w:cs="Times New Roman"/>
          <w:sz w:val="24"/>
          <w:szCs w:val="24"/>
        </w:rPr>
        <w:t>21</w:t>
      </w:r>
      <w:r w:rsidR="00DC1E18">
        <w:rPr>
          <w:rFonts w:ascii="Times New Roman" w:hAnsi="Times New Roman" w:cs="Times New Roman"/>
          <w:sz w:val="24"/>
          <w:szCs w:val="24"/>
        </w:rPr>
        <w:t>]</w:t>
      </w:r>
      <w:r w:rsidRPr="00BE1116">
        <w:rPr>
          <w:rFonts w:ascii="Times New Roman" w:hAnsi="Times New Roman" w:cs="Times New Roman"/>
          <w:sz w:val="24"/>
          <w:szCs w:val="24"/>
        </w:rPr>
        <w:t>.</w:t>
      </w:r>
      <w:r w:rsidR="00521443">
        <w:rPr>
          <w:rFonts w:ascii="Times New Roman" w:hAnsi="Times New Roman" w:cs="Times New Roman"/>
          <w:sz w:val="24"/>
          <w:szCs w:val="24"/>
        </w:rPr>
        <w:t xml:space="preserve"> </w:t>
      </w:r>
      <w:r w:rsidR="00521443" w:rsidRPr="00521443">
        <w:rPr>
          <w:rFonts w:ascii="Times New Roman" w:hAnsi="Times New Roman" w:cs="Times New Roman"/>
          <w:sz w:val="24"/>
          <w:szCs w:val="24"/>
        </w:rPr>
        <w:t xml:space="preserve">Determining whether there is such an arrangement or understanding requires a </w:t>
      </w:r>
    </w:p>
    <w:p w14:paraId="3364F358" w14:textId="4FA8E4DE" w:rsidR="00B06A9E" w:rsidRDefault="00521443" w:rsidP="004C7755">
      <w:pPr>
        <w:pStyle w:val="ListParagraph"/>
        <w:spacing w:before="120" w:line="360" w:lineRule="auto"/>
        <w:rPr>
          <w:rFonts w:ascii="Times New Roman" w:hAnsi="Times New Roman" w:cs="Times New Roman"/>
          <w:sz w:val="24"/>
          <w:szCs w:val="24"/>
        </w:rPr>
      </w:pPr>
      <w:r w:rsidRPr="00521443">
        <w:rPr>
          <w:rFonts w:ascii="Times New Roman" w:hAnsi="Times New Roman" w:cs="Times New Roman"/>
          <w:sz w:val="24"/>
          <w:szCs w:val="24"/>
        </w:rPr>
        <w:t xml:space="preserve">review of all the relevant circumstances: </w:t>
      </w:r>
      <w:r w:rsidRPr="001E3B02">
        <w:rPr>
          <w:rFonts w:ascii="Times New Roman" w:hAnsi="Times New Roman" w:cs="Times New Roman"/>
          <w:i/>
          <w:iCs/>
          <w:sz w:val="24"/>
          <w:szCs w:val="24"/>
        </w:rPr>
        <w:t>Berkeley Square</w:t>
      </w:r>
      <w:r w:rsidRPr="00521443">
        <w:rPr>
          <w:rFonts w:ascii="Times New Roman" w:hAnsi="Times New Roman" w:cs="Times New Roman"/>
          <w:sz w:val="24"/>
          <w:szCs w:val="24"/>
        </w:rPr>
        <w:t xml:space="preserve"> at </w:t>
      </w:r>
      <w:r w:rsidR="001E3B02">
        <w:rPr>
          <w:rFonts w:ascii="Times New Roman" w:hAnsi="Times New Roman" w:cs="Times New Roman"/>
          <w:sz w:val="24"/>
          <w:szCs w:val="24"/>
        </w:rPr>
        <w:t>[</w:t>
      </w:r>
      <w:r w:rsidRPr="001E3B02">
        <w:rPr>
          <w:rFonts w:ascii="Times New Roman" w:hAnsi="Times New Roman" w:cs="Times New Roman"/>
          <w:sz w:val="24"/>
          <w:szCs w:val="24"/>
        </w:rPr>
        <w:t>45</w:t>
      </w:r>
      <w:r w:rsidR="001E3B02">
        <w:rPr>
          <w:rFonts w:ascii="Times New Roman" w:hAnsi="Times New Roman" w:cs="Times New Roman"/>
          <w:sz w:val="24"/>
          <w:szCs w:val="24"/>
        </w:rPr>
        <w:t>]</w:t>
      </w:r>
      <w:r w:rsidRPr="001E3B02">
        <w:rPr>
          <w:rFonts w:ascii="Times New Roman" w:hAnsi="Times New Roman" w:cs="Times New Roman"/>
          <w:sz w:val="24"/>
          <w:szCs w:val="24"/>
        </w:rPr>
        <w:t>.</w:t>
      </w:r>
    </w:p>
    <w:p w14:paraId="2A8B6104" w14:textId="77777777" w:rsidR="004610B1" w:rsidRDefault="004610B1" w:rsidP="004C7755">
      <w:pPr>
        <w:pStyle w:val="ListParagraph"/>
        <w:spacing w:before="120" w:line="360" w:lineRule="auto"/>
        <w:rPr>
          <w:rFonts w:ascii="Times New Roman" w:hAnsi="Times New Roman" w:cs="Times New Roman"/>
          <w:sz w:val="24"/>
          <w:szCs w:val="24"/>
        </w:rPr>
      </w:pPr>
    </w:p>
    <w:p w14:paraId="4C3C36FF" w14:textId="77777777" w:rsidR="00D018C9" w:rsidRPr="00D018C9" w:rsidRDefault="00D018C9" w:rsidP="00FF2CBE">
      <w:pPr>
        <w:pStyle w:val="ListParagraph"/>
        <w:numPr>
          <w:ilvl w:val="0"/>
          <w:numId w:val="7"/>
        </w:numPr>
        <w:spacing w:before="120" w:line="360" w:lineRule="auto"/>
        <w:rPr>
          <w:rFonts w:ascii="Times New Roman" w:hAnsi="Times New Roman" w:cs="Times New Roman"/>
          <w:sz w:val="24"/>
          <w:szCs w:val="24"/>
        </w:rPr>
      </w:pPr>
      <w:r w:rsidRPr="00D018C9">
        <w:rPr>
          <w:rFonts w:ascii="Times New Roman" w:hAnsi="Times New Roman" w:cs="Times New Roman"/>
          <w:sz w:val="24"/>
          <w:szCs w:val="24"/>
        </w:rPr>
        <w:t xml:space="preserve">It is not necessary to show that there is an arrangement or understanding that the </w:t>
      </w:r>
    </w:p>
    <w:p w14:paraId="184A5F41" w14:textId="5653006D" w:rsidR="004610B1" w:rsidRDefault="00D018C9" w:rsidP="004C7755">
      <w:pPr>
        <w:pStyle w:val="ListParagraph"/>
        <w:spacing w:before="120" w:line="360" w:lineRule="auto"/>
        <w:rPr>
          <w:rFonts w:ascii="Times New Roman" w:hAnsi="Times New Roman" w:cs="Times New Roman"/>
          <w:sz w:val="24"/>
          <w:szCs w:val="24"/>
        </w:rPr>
      </w:pPr>
      <w:r w:rsidRPr="00A94E95">
        <w:rPr>
          <w:rFonts w:ascii="Times New Roman" w:hAnsi="Times New Roman" w:cs="Times New Roman"/>
          <w:sz w:val="24"/>
          <w:szCs w:val="24"/>
        </w:rPr>
        <w:t xml:space="preserve">relevant party will have </w:t>
      </w:r>
      <w:r w:rsidR="003D0A85">
        <w:rPr>
          <w:rFonts w:ascii="Times New Roman" w:hAnsi="Times New Roman" w:cs="Times New Roman"/>
          <w:sz w:val="24"/>
          <w:szCs w:val="24"/>
        </w:rPr>
        <w:t xml:space="preserve">free or unfettered </w:t>
      </w:r>
      <w:r w:rsidRPr="00A94E95">
        <w:rPr>
          <w:rFonts w:ascii="Times New Roman" w:hAnsi="Times New Roman" w:cs="Times New Roman"/>
          <w:sz w:val="24"/>
          <w:szCs w:val="24"/>
        </w:rPr>
        <w:t>access to the</w:t>
      </w:r>
      <w:r w:rsidR="00C35F05">
        <w:rPr>
          <w:rFonts w:ascii="Times New Roman" w:hAnsi="Times New Roman" w:cs="Times New Roman"/>
          <w:sz w:val="24"/>
          <w:szCs w:val="24"/>
        </w:rPr>
        <w:t xml:space="preserve"> entirety of the</w:t>
      </w:r>
      <w:r w:rsidRPr="00A94E95">
        <w:rPr>
          <w:rFonts w:ascii="Times New Roman" w:hAnsi="Times New Roman" w:cs="Times New Roman"/>
          <w:sz w:val="24"/>
          <w:szCs w:val="24"/>
        </w:rPr>
        <w:t xml:space="preserve"> documents of the relevant third </w:t>
      </w:r>
      <w:r w:rsidRPr="00C35F05">
        <w:rPr>
          <w:rFonts w:ascii="Times New Roman" w:hAnsi="Times New Roman" w:cs="Times New Roman"/>
          <w:sz w:val="24"/>
          <w:szCs w:val="24"/>
        </w:rPr>
        <w:t>party. It is sufficient if there is an arrangement or understanding</w:t>
      </w:r>
      <w:r w:rsidR="00C2070A">
        <w:rPr>
          <w:rFonts w:ascii="Times New Roman" w:hAnsi="Times New Roman" w:cs="Times New Roman"/>
          <w:sz w:val="24"/>
          <w:szCs w:val="24"/>
        </w:rPr>
        <w:t xml:space="preserve"> for free or unfettered access</w:t>
      </w:r>
      <w:r w:rsidRPr="00C35F05">
        <w:rPr>
          <w:rFonts w:ascii="Times New Roman" w:hAnsi="Times New Roman" w:cs="Times New Roman"/>
          <w:sz w:val="24"/>
          <w:szCs w:val="24"/>
        </w:rPr>
        <w:t xml:space="preserve"> </w:t>
      </w:r>
      <w:r w:rsidR="00A50875">
        <w:rPr>
          <w:rFonts w:ascii="Times New Roman" w:hAnsi="Times New Roman" w:cs="Times New Roman"/>
          <w:sz w:val="24"/>
          <w:szCs w:val="24"/>
        </w:rPr>
        <w:t>to</w:t>
      </w:r>
      <w:r w:rsidRPr="00C35F05">
        <w:rPr>
          <w:rFonts w:ascii="Times New Roman" w:hAnsi="Times New Roman" w:cs="Times New Roman"/>
          <w:sz w:val="24"/>
          <w:szCs w:val="24"/>
        </w:rPr>
        <w:t xml:space="preserve"> </w:t>
      </w:r>
      <w:r w:rsidR="00A50875">
        <w:rPr>
          <w:rFonts w:ascii="Times New Roman" w:hAnsi="Times New Roman" w:cs="Times New Roman"/>
          <w:sz w:val="24"/>
          <w:szCs w:val="24"/>
        </w:rPr>
        <w:t>defined</w:t>
      </w:r>
      <w:r w:rsidRPr="00C35F05">
        <w:rPr>
          <w:rFonts w:ascii="Times New Roman" w:hAnsi="Times New Roman" w:cs="Times New Roman"/>
          <w:sz w:val="24"/>
          <w:szCs w:val="24"/>
        </w:rPr>
        <w:t xml:space="preserve"> </w:t>
      </w:r>
      <w:r w:rsidRPr="00A50875">
        <w:rPr>
          <w:rFonts w:ascii="Times New Roman" w:hAnsi="Times New Roman" w:cs="Times New Roman"/>
          <w:sz w:val="24"/>
          <w:szCs w:val="24"/>
        </w:rPr>
        <w:t>material</w:t>
      </w:r>
      <w:r w:rsidR="00A50875">
        <w:rPr>
          <w:rFonts w:ascii="Times New Roman" w:hAnsi="Times New Roman" w:cs="Times New Roman"/>
          <w:sz w:val="24"/>
          <w:szCs w:val="24"/>
        </w:rPr>
        <w:t xml:space="preserve"> which</w:t>
      </w:r>
      <w:r w:rsidRPr="00A50875">
        <w:rPr>
          <w:rFonts w:ascii="Times New Roman" w:hAnsi="Times New Roman" w:cs="Times New Roman"/>
          <w:sz w:val="24"/>
          <w:szCs w:val="24"/>
        </w:rPr>
        <w:t xml:space="preserve"> </w:t>
      </w:r>
      <w:r w:rsidR="00381FC4">
        <w:rPr>
          <w:rFonts w:ascii="Times New Roman" w:hAnsi="Times New Roman" w:cs="Times New Roman"/>
          <w:sz w:val="24"/>
          <w:szCs w:val="24"/>
        </w:rPr>
        <w:t>would</w:t>
      </w:r>
      <w:r w:rsidRPr="00A50875">
        <w:rPr>
          <w:rFonts w:ascii="Times New Roman" w:hAnsi="Times New Roman" w:cs="Times New Roman"/>
          <w:sz w:val="24"/>
          <w:szCs w:val="24"/>
        </w:rPr>
        <w:t xml:space="preserve"> be provided in response to certain requests: </w:t>
      </w:r>
      <w:r w:rsidRPr="00381FC4">
        <w:rPr>
          <w:rFonts w:ascii="Times New Roman" w:hAnsi="Times New Roman" w:cs="Times New Roman"/>
          <w:i/>
          <w:iCs/>
          <w:sz w:val="24"/>
          <w:szCs w:val="24"/>
        </w:rPr>
        <w:t xml:space="preserve">Pipia </w:t>
      </w:r>
      <w:r w:rsidRPr="00A50875">
        <w:rPr>
          <w:rFonts w:ascii="Times New Roman" w:hAnsi="Times New Roman" w:cs="Times New Roman"/>
          <w:sz w:val="24"/>
          <w:szCs w:val="24"/>
        </w:rPr>
        <w:t xml:space="preserve">at </w:t>
      </w:r>
      <w:r w:rsidR="00737CBD" w:rsidRPr="00A50875">
        <w:rPr>
          <w:rFonts w:ascii="Times New Roman" w:hAnsi="Times New Roman" w:cs="Times New Roman"/>
          <w:sz w:val="24"/>
          <w:szCs w:val="24"/>
        </w:rPr>
        <w:t>[</w:t>
      </w:r>
      <w:r w:rsidRPr="00A50875">
        <w:rPr>
          <w:rFonts w:ascii="Times New Roman" w:hAnsi="Times New Roman" w:cs="Times New Roman"/>
          <w:sz w:val="24"/>
          <w:szCs w:val="24"/>
        </w:rPr>
        <w:t>19</w:t>
      </w:r>
      <w:r w:rsidR="00737CBD" w:rsidRPr="00A50875">
        <w:rPr>
          <w:rFonts w:ascii="Times New Roman" w:hAnsi="Times New Roman" w:cs="Times New Roman"/>
          <w:sz w:val="24"/>
          <w:szCs w:val="24"/>
        </w:rPr>
        <w:t>]</w:t>
      </w:r>
      <w:r w:rsidRPr="00A50875">
        <w:rPr>
          <w:rFonts w:ascii="Times New Roman" w:hAnsi="Times New Roman" w:cs="Times New Roman"/>
          <w:sz w:val="24"/>
          <w:szCs w:val="24"/>
        </w:rPr>
        <w:t xml:space="preserve"> and </w:t>
      </w:r>
      <w:r w:rsidR="00737CBD" w:rsidRPr="00A50875">
        <w:rPr>
          <w:rFonts w:ascii="Times New Roman" w:hAnsi="Times New Roman" w:cs="Times New Roman"/>
          <w:sz w:val="24"/>
          <w:szCs w:val="24"/>
        </w:rPr>
        <w:t>[</w:t>
      </w:r>
      <w:r w:rsidRPr="00A50875">
        <w:rPr>
          <w:rFonts w:ascii="Times New Roman" w:hAnsi="Times New Roman" w:cs="Times New Roman"/>
          <w:sz w:val="24"/>
          <w:szCs w:val="24"/>
        </w:rPr>
        <w:t>48</w:t>
      </w:r>
      <w:r w:rsidR="00737CBD" w:rsidRPr="00A50875">
        <w:rPr>
          <w:rFonts w:ascii="Times New Roman" w:hAnsi="Times New Roman" w:cs="Times New Roman"/>
          <w:sz w:val="24"/>
          <w:szCs w:val="24"/>
        </w:rPr>
        <w:t>]</w:t>
      </w:r>
      <w:r w:rsidRPr="00A50875">
        <w:rPr>
          <w:rFonts w:ascii="Times New Roman" w:hAnsi="Times New Roman" w:cs="Times New Roman"/>
          <w:sz w:val="24"/>
          <w:szCs w:val="24"/>
        </w:rPr>
        <w:t xml:space="preserve"> to </w:t>
      </w:r>
      <w:r w:rsidR="00737CBD" w:rsidRPr="00A50875">
        <w:rPr>
          <w:rFonts w:ascii="Times New Roman" w:hAnsi="Times New Roman" w:cs="Times New Roman"/>
          <w:sz w:val="24"/>
          <w:szCs w:val="24"/>
        </w:rPr>
        <w:t>[</w:t>
      </w:r>
      <w:r w:rsidRPr="00A50875">
        <w:rPr>
          <w:rFonts w:ascii="Times New Roman" w:hAnsi="Times New Roman" w:cs="Times New Roman"/>
          <w:sz w:val="24"/>
          <w:szCs w:val="24"/>
        </w:rPr>
        <w:t>51</w:t>
      </w:r>
      <w:r w:rsidR="00737CBD" w:rsidRPr="00A50875">
        <w:rPr>
          <w:rFonts w:ascii="Times New Roman" w:hAnsi="Times New Roman" w:cs="Times New Roman"/>
          <w:sz w:val="24"/>
          <w:szCs w:val="24"/>
        </w:rPr>
        <w:t>]</w:t>
      </w:r>
      <w:r w:rsidRPr="00A50875">
        <w:rPr>
          <w:rFonts w:ascii="Times New Roman" w:hAnsi="Times New Roman" w:cs="Times New Roman"/>
          <w:sz w:val="24"/>
          <w:szCs w:val="24"/>
        </w:rPr>
        <w:t>.</w:t>
      </w:r>
    </w:p>
    <w:p w14:paraId="4E778FAA" w14:textId="77777777" w:rsidR="00381FC4" w:rsidRDefault="00381FC4" w:rsidP="004C7755">
      <w:pPr>
        <w:pStyle w:val="ListParagraph"/>
        <w:spacing w:before="120" w:line="360" w:lineRule="auto"/>
        <w:rPr>
          <w:rFonts w:ascii="Times New Roman" w:hAnsi="Times New Roman" w:cs="Times New Roman"/>
          <w:sz w:val="24"/>
          <w:szCs w:val="24"/>
        </w:rPr>
      </w:pPr>
    </w:p>
    <w:p w14:paraId="5F7ECF53" w14:textId="77777777" w:rsidR="00765EBE" w:rsidRPr="00765EBE" w:rsidRDefault="00765EBE" w:rsidP="00FF2CBE">
      <w:pPr>
        <w:pStyle w:val="ListParagraph"/>
        <w:numPr>
          <w:ilvl w:val="0"/>
          <w:numId w:val="7"/>
        </w:numPr>
        <w:spacing w:before="120" w:line="360" w:lineRule="auto"/>
        <w:rPr>
          <w:rFonts w:ascii="Times New Roman" w:hAnsi="Times New Roman" w:cs="Times New Roman"/>
          <w:sz w:val="24"/>
          <w:szCs w:val="24"/>
        </w:rPr>
      </w:pPr>
      <w:r w:rsidRPr="00765EBE">
        <w:rPr>
          <w:rFonts w:ascii="Times New Roman" w:hAnsi="Times New Roman" w:cs="Times New Roman"/>
          <w:sz w:val="24"/>
          <w:szCs w:val="24"/>
        </w:rPr>
        <w:t xml:space="preserve">There is no material distinction for the purposes of the analysis between the concept </w:t>
      </w:r>
    </w:p>
    <w:p w14:paraId="403F9B10" w14:textId="77777777" w:rsidR="00765EBE" w:rsidRPr="00765EBE" w:rsidRDefault="00765EBE" w:rsidP="004C7755">
      <w:pPr>
        <w:pStyle w:val="ListParagraph"/>
        <w:spacing w:before="120" w:line="360" w:lineRule="auto"/>
        <w:rPr>
          <w:rFonts w:ascii="Times New Roman" w:hAnsi="Times New Roman" w:cs="Times New Roman"/>
          <w:sz w:val="24"/>
          <w:szCs w:val="24"/>
        </w:rPr>
      </w:pPr>
      <w:r w:rsidRPr="00765EBE">
        <w:rPr>
          <w:rFonts w:ascii="Times New Roman" w:hAnsi="Times New Roman" w:cs="Times New Roman"/>
          <w:sz w:val="24"/>
          <w:szCs w:val="24"/>
        </w:rPr>
        <w:t>of “</w:t>
      </w:r>
      <w:r w:rsidRPr="00723D3C">
        <w:rPr>
          <w:rFonts w:ascii="Times New Roman" w:hAnsi="Times New Roman" w:cs="Times New Roman"/>
          <w:i/>
          <w:iCs/>
          <w:sz w:val="24"/>
          <w:szCs w:val="24"/>
        </w:rPr>
        <w:t>power</w:t>
      </w:r>
      <w:r w:rsidRPr="00765EBE">
        <w:rPr>
          <w:rFonts w:ascii="Times New Roman" w:hAnsi="Times New Roman" w:cs="Times New Roman"/>
          <w:sz w:val="24"/>
          <w:szCs w:val="24"/>
        </w:rPr>
        <w:t>” under RSC Order 24 and “</w:t>
      </w:r>
      <w:r w:rsidRPr="00723D3C">
        <w:rPr>
          <w:rFonts w:ascii="Times New Roman" w:hAnsi="Times New Roman" w:cs="Times New Roman"/>
          <w:i/>
          <w:iCs/>
          <w:sz w:val="24"/>
          <w:szCs w:val="24"/>
        </w:rPr>
        <w:t>control</w:t>
      </w:r>
      <w:r w:rsidRPr="00765EBE">
        <w:rPr>
          <w:rFonts w:ascii="Times New Roman" w:hAnsi="Times New Roman" w:cs="Times New Roman"/>
          <w:sz w:val="24"/>
          <w:szCs w:val="24"/>
        </w:rPr>
        <w:t>” under CPR 31.8:</w:t>
      </w:r>
      <w:r w:rsidRPr="00723D3C">
        <w:rPr>
          <w:rFonts w:ascii="Times New Roman" w:hAnsi="Times New Roman" w:cs="Times New Roman"/>
          <w:i/>
          <w:iCs/>
          <w:sz w:val="24"/>
          <w:szCs w:val="24"/>
        </w:rPr>
        <w:t xml:space="preserve"> Schlumberger</w:t>
      </w:r>
      <w:r w:rsidRPr="00765EBE">
        <w:rPr>
          <w:rFonts w:ascii="Times New Roman" w:hAnsi="Times New Roman" w:cs="Times New Roman"/>
          <w:sz w:val="24"/>
          <w:szCs w:val="24"/>
        </w:rPr>
        <w:t xml:space="preserve"> at </w:t>
      </w:r>
    </w:p>
    <w:p w14:paraId="2CAB58A7" w14:textId="0BDA5DDE" w:rsidR="00B631AA" w:rsidRDefault="00723D3C" w:rsidP="004C7755">
      <w:pPr>
        <w:pStyle w:val="ListParagraph"/>
        <w:spacing w:before="120" w:line="360" w:lineRule="auto"/>
        <w:rPr>
          <w:rFonts w:ascii="Times New Roman" w:hAnsi="Times New Roman" w:cs="Times New Roman"/>
          <w:sz w:val="24"/>
          <w:szCs w:val="24"/>
        </w:rPr>
      </w:pPr>
      <w:r>
        <w:rPr>
          <w:rFonts w:ascii="Times New Roman" w:hAnsi="Times New Roman" w:cs="Times New Roman"/>
          <w:sz w:val="24"/>
          <w:szCs w:val="24"/>
        </w:rPr>
        <w:t>[</w:t>
      </w:r>
      <w:r w:rsidR="00765EBE" w:rsidRPr="00723D3C">
        <w:rPr>
          <w:rFonts w:ascii="Times New Roman" w:hAnsi="Times New Roman" w:cs="Times New Roman"/>
          <w:sz w:val="24"/>
          <w:szCs w:val="24"/>
        </w:rPr>
        <w:t>16</w:t>
      </w:r>
      <w:r>
        <w:rPr>
          <w:rFonts w:ascii="Times New Roman" w:hAnsi="Times New Roman" w:cs="Times New Roman"/>
          <w:sz w:val="24"/>
          <w:szCs w:val="24"/>
        </w:rPr>
        <w:t>]</w:t>
      </w:r>
      <w:r w:rsidR="00765EBE" w:rsidRPr="00723D3C">
        <w:rPr>
          <w:rFonts w:ascii="Times New Roman" w:hAnsi="Times New Roman" w:cs="Times New Roman"/>
          <w:sz w:val="24"/>
          <w:szCs w:val="24"/>
        </w:rPr>
        <w:t xml:space="preserve">, </w:t>
      </w:r>
      <w:r w:rsidR="00765EBE" w:rsidRPr="00723D3C">
        <w:rPr>
          <w:rFonts w:ascii="Times New Roman" w:hAnsi="Times New Roman" w:cs="Times New Roman"/>
          <w:i/>
          <w:iCs/>
          <w:sz w:val="24"/>
          <w:szCs w:val="24"/>
        </w:rPr>
        <w:t>Ardila</w:t>
      </w:r>
      <w:r w:rsidR="00765EBE" w:rsidRPr="00723D3C">
        <w:rPr>
          <w:rFonts w:ascii="Times New Roman" w:hAnsi="Times New Roman" w:cs="Times New Roman"/>
          <w:sz w:val="24"/>
          <w:szCs w:val="24"/>
        </w:rPr>
        <w:t xml:space="preserve"> at </w:t>
      </w:r>
      <w:r>
        <w:rPr>
          <w:rFonts w:ascii="Times New Roman" w:hAnsi="Times New Roman" w:cs="Times New Roman"/>
          <w:sz w:val="24"/>
          <w:szCs w:val="24"/>
        </w:rPr>
        <w:t>[</w:t>
      </w:r>
      <w:r w:rsidR="00765EBE" w:rsidRPr="00723D3C">
        <w:rPr>
          <w:rFonts w:ascii="Times New Roman" w:hAnsi="Times New Roman" w:cs="Times New Roman"/>
          <w:sz w:val="24"/>
          <w:szCs w:val="24"/>
        </w:rPr>
        <w:t>4</w:t>
      </w:r>
      <w:r w:rsidR="00AF105F">
        <w:rPr>
          <w:rFonts w:ascii="Times New Roman" w:hAnsi="Times New Roman" w:cs="Times New Roman"/>
          <w:sz w:val="24"/>
          <w:szCs w:val="24"/>
        </w:rPr>
        <w:t>]</w:t>
      </w:r>
      <w:r w:rsidR="00765EBE" w:rsidRPr="00723D3C">
        <w:rPr>
          <w:rFonts w:ascii="Times New Roman" w:hAnsi="Times New Roman" w:cs="Times New Roman"/>
          <w:sz w:val="24"/>
          <w:szCs w:val="24"/>
        </w:rPr>
        <w:t xml:space="preserve">, </w:t>
      </w:r>
      <w:r w:rsidR="00765EBE" w:rsidRPr="00AF105F">
        <w:rPr>
          <w:rFonts w:ascii="Times New Roman" w:hAnsi="Times New Roman" w:cs="Times New Roman"/>
          <w:i/>
          <w:iCs/>
          <w:sz w:val="24"/>
          <w:szCs w:val="24"/>
        </w:rPr>
        <w:t>Berkeley Square</w:t>
      </w:r>
      <w:r w:rsidR="00765EBE" w:rsidRPr="00723D3C">
        <w:rPr>
          <w:rFonts w:ascii="Times New Roman" w:hAnsi="Times New Roman" w:cs="Times New Roman"/>
          <w:sz w:val="24"/>
          <w:szCs w:val="24"/>
        </w:rPr>
        <w:t xml:space="preserve"> at </w:t>
      </w:r>
      <w:r w:rsidR="00AF105F">
        <w:rPr>
          <w:rFonts w:ascii="Times New Roman" w:hAnsi="Times New Roman" w:cs="Times New Roman"/>
          <w:sz w:val="24"/>
          <w:szCs w:val="24"/>
        </w:rPr>
        <w:t>[</w:t>
      </w:r>
      <w:r w:rsidR="00765EBE" w:rsidRPr="00723D3C">
        <w:rPr>
          <w:rFonts w:ascii="Times New Roman" w:hAnsi="Times New Roman" w:cs="Times New Roman"/>
          <w:sz w:val="24"/>
          <w:szCs w:val="24"/>
        </w:rPr>
        <w:t>28</w:t>
      </w:r>
      <w:r w:rsidR="00AF105F">
        <w:rPr>
          <w:rFonts w:ascii="Times New Roman" w:hAnsi="Times New Roman" w:cs="Times New Roman"/>
          <w:sz w:val="24"/>
          <w:szCs w:val="24"/>
        </w:rPr>
        <w:t>]</w:t>
      </w:r>
      <w:r w:rsidR="004B7CF3">
        <w:rPr>
          <w:rFonts w:ascii="Times New Roman" w:hAnsi="Times New Roman" w:cs="Times New Roman"/>
          <w:sz w:val="24"/>
          <w:szCs w:val="24"/>
        </w:rPr>
        <w:t xml:space="preserve"> and</w:t>
      </w:r>
      <w:r w:rsidR="00405DCB">
        <w:rPr>
          <w:rFonts w:ascii="Times New Roman" w:hAnsi="Times New Roman" w:cs="Times New Roman"/>
          <w:sz w:val="24"/>
          <w:szCs w:val="24"/>
        </w:rPr>
        <w:t xml:space="preserve"> </w:t>
      </w:r>
      <w:r w:rsidR="00405DCB" w:rsidRPr="00D17B81">
        <w:rPr>
          <w:rFonts w:ascii="Times New Roman" w:hAnsi="Times New Roman" w:cs="Times New Roman"/>
          <w:i/>
          <w:iCs/>
          <w:sz w:val="24"/>
          <w:szCs w:val="24"/>
        </w:rPr>
        <w:t>Abudawood</w:t>
      </w:r>
      <w:r w:rsidR="00D17B81">
        <w:rPr>
          <w:rFonts w:ascii="Times New Roman" w:hAnsi="Times New Roman" w:cs="Times New Roman"/>
          <w:sz w:val="24"/>
          <w:szCs w:val="24"/>
        </w:rPr>
        <w:t xml:space="preserve"> at [4], [14] and [19].</w:t>
      </w:r>
    </w:p>
    <w:p w14:paraId="38CA169B" w14:textId="77777777" w:rsidR="00D17B81" w:rsidRDefault="00D17B81" w:rsidP="004C7755">
      <w:pPr>
        <w:pStyle w:val="ListParagraph"/>
        <w:spacing w:before="120" w:line="360" w:lineRule="auto"/>
        <w:rPr>
          <w:rFonts w:ascii="Times New Roman" w:hAnsi="Times New Roman" w:cs="Times New Roman"/>
          <w:sz w:val="24"/>
          <w:szCs w:val="24"/>
        </w:rPr>
      </w:pPr>
    </w:p>
    <w:p w14:paraId="45F1CABA" w14:textId="104762CD" w:rsidR="002A5626" w:rsidRPr="00D131D2" w:rsidRDefault="002B0D96" w:rsidP="00FF2CBE">
      <w:pPr>
        <w:pStyle w:val="ListParagraph"/>
        <w:numPr>
          <w:ilvl w:val="0"/>
          <w:numId w:val="7"/>
        </w:numPr>
        <w:tabs>
          <w:tab w:val="left" w:pos="810"/>
        </w:tabs>
        <w:spacing w:before="120" w:line="360" w:lineRule="auto"/>
        <w:ind w:left="810" w:hanging="450"/>
        <w:rPr>
          <w:rFonts w:ascii="Times New Roman" w:hAnsi="Times New Roman" w:cs="Times New Roman"/>
          <w:sz w:val="24"/>
          <w:szCs w:val="24"/>
        </w:rPr>
      </w:pPr>
      <w:r w:rsidRPr="00D131D2">
        <w:rPr>
          <w:rFonts w:ascii="Times New Roman" w:hAnsi="Times New Roman" w:cs="Times New Roman"/>
          <w:sz w:val="24"/>
          <w:szCs w:val="24"/>
        </w:rPr>
        <w:t xml:space="preserve">It is for the applicant to establish that the Court should find the existence of the </w:t>
      </w:r>
      <w:r w:rsidR="006F0ECF" w:rsidRPr="00D131D2">
        <w:rPr>
          <w:rFonts w:ascii="Times New Roman" w:hAnsi="Times New Roman" w:cs="Times New Roman"/>
          <w:sz w:val="24"/>
          <w:szCs w:val="24"/>
        </w:rPr>
        <w:t>a</w:t>
      </w:r>
      <w:r w:rsidRPr="00D131D2">
        <w:rPr>
          <w:rFonts w:ascii="Times New Roman" w:hAnsi="Times New Roman" w:cs="Times New Roman"/>
          <w:sz w:val="24"/>
          <w:szCs w:val="24"/>
        </w:rPr>
        <w:t xml:space="preserve">lleged </w:t>
      </w:r>
      <w:r w:rsidR="006F0ECF" w:rsidRPr="00D131D2">
        <w:rPr>
          <w:rFonts w:ascii="Times New Roman" w:hAnsi="Times New Roman" w:cs="Times New Roman"/>
          <w:sz w:val="24"/>
          <w:szCs w:val="24"/>
        </w:rPr>
        <w:t>a</w:t>
      </w:r>
      <w:r w:rsidRPr="00D131D2">
        <w:rPr>
          <w:rFonts w:ascii="Times New Roman" w:hAnsi="Times New Roman" w:cs="Times New Roman"/>
          <w:sz w:val="24"/>
          <w:szCs w:val="24"/>
        </w:rPr>
        <w:t xml:space="preserve">rrangement or </w:t>
      </w:r>
      <w:r w:rsidR="006F0ECF" w:rsidRPr="00D131D2">
        <w:rPr>
          <w:rFonts w:ascii="Times New Roman" w:hAnsi="Times New Roman" w:cs="Times New Roman"/>
          <w:sz w:val="24"/>
          <w:szCs w:val="24"/>
        </w:rPr>
        <w:t>u</w:t>
      </w:r>
      <w:r w:rsidRPr="00D131D2">
        <w:rPr>
          <w:rFonts w:ascii="Times New Roman" w:hAnsi="Times New Roman" w:cs="Times New Roman"/>
          <w:sz w:val="24"/>
          <w:szCs w:val="24"/>
        </w:rPr>
        <w:t>nderstanding on an interlocutory basis by persuading the Court that the relevant findings can be safely made without a full factual inquiry and that the applicant has discharged the evidential and persuasive burden. In evaluating the evidence, it is important to distinguish material which affords grounds for suspicion from material which affords grounds for factual findings, whether as a matter of inference or otherwise:</w:t>
      </w:r>
      <w:r w:rsidRPr="00D131D2">
        <w:rPr>
          <w:rFonts w:ascii="Times New Roman" w:hAnsi="Times New Roman" w:cs="Times New Roman"/>
          <w:i/>
          <w:iCs/>
          <w:sz w:val="24"/>
          <w:szCs w:val="24"/>
        </w:rPr>
        <w:t xml:space="preserve"> Abudawood</w:t>
      </w:r>
      <w:r w:rsidRPr="00D131D2">
        <w:rPr>
          <w:rFonts w:ascii="Times New Roman" w:hAnsi="Times New Roman" w:cs="Times New Roman"/>
          <w:sz w:val="24"/>
          <w:szCs w:val="24"/>
        </w:rPr>
        <w:t xml:space="preserve"> at</w:t>
      </w:r>
      <w:r w:rsidR="006F0ECF" w:rsidRPr="00D131D2">
        <w:rPr>
          <w:rFonts w:ascii="Times New Roman" w:hAnsi="Times New Roman" w:cs="Times New Roman"/>
          <w:sz w:val="24"/>
          <w:szCs w:val="24"/>
        </w:rPr>
        <w:t xml:space="preserve"> [20]</w:t>
      </w:r>
      <w:r w:rsidR="00543D88" w:rsidRPr="00D131D2">
        <w:rPr>
          <w:rFonts w:ascii="Times New Roman" w:hAnsi="Times New Roman" w:cs="Times New Roman"/>
          <w:sz w:val="24"/>
          <w:szCs w:val="24"/>
        </w:rPr>
        <w:t xml:space="preserve"> </w:t>
      </w:r>
      <w:r w:rsidR="002F3EA3" w:rsidRPr="00D131D2">
        <w:rPr>
          <w:rFonts w:ascii="Times New Roman" w:hAnsi="Times New Roman" w:cs="Times New Roman"/>
          <w:sz w:val="24"/>
          <w:szCs w:val="24"/>
        </w:rPr>
        <w:t>and [</w:t>
      </w:r>
      <w:r w:rsidR="00543D88" w:rsidRPr="00D131D2">
        <w:rPr>
          <w:rFonts w:ascii="Times New Roman" w:hAnsi="Times New Roman" w:cs="Times New Roman"/>
          <w:sz w:val="24"/>
          <w:szCs w:val="24"/>
        </w:rPr>
        <w:t>38]</w:t>
      </w:r>
      <w:r w:rsidR="002A5626" w:rsidRPr="00D131D2">
        <w:rPr>
          <w:rFonts w:ascii="Times New Roman" w:hAnsi="Times New Roman" w:cs="Times New Roman"/>
          <w:sz w:val="24"/>
          <w:szCs w:val="24"/>
        </w:rPr>
        <w:t>.</w:t>
      </w:r>
    </w:p>
    <w:p w14:paraId="6C966671" w14:textId="77777777" w:rsidR="00D131D2" w:rsidRDefault="00D131D2" w:rsidP="004C7755">
      <w:pPr>
        <w:spacing w:before="120" w:line="360" w:lineRule="auto"/>
        <w:rPr>
          <w:rFonts w:ascii="Times New Roman" w:hAnsi="Times New Roman" w:cs="Times New Roman"/>
          <w:sz w:val="24"/>
          <w:szCs w:val="24"/>
        </w:rPr>
      </w:pPr>
    </w:p>
    <w:p w14:paraId="653E73A8" w14:textId="5E0213F1" w:rsidR="004E3AC8" w:rsidRPr="004C7755" w:rsidRDefault="004E3AC8" w:rsidP="00FF2CBE">
      <w:pPr>
        <w:pStyle w:val="ListParagraph"/>
        <w:numPr>
          <w:ilvl w:val="0"/>
          <w:numId w:val="7"/>
        </w:numPr>
        <w:tabs>
          <w:tab w:val="left" w:pos="810"/>
        </w:tabs>
        <w:spacing w:before="120" w:line="360" w:lineRule="auto"/>
        <w:rPr>
          <w:rFonts w:ascii="Times New Roman" w:hAnsi="Times New Roman" w:cs="Times New Roman"/>
          <w:sz w:val="24"/>
          <w:szCs w:val="24"/>
        </w:rPr>
      </w:pPr>
      <w:r w:rsidRPr="004C7755">
        <w:rPr>
          <w:rFonts w:ascii="Times New Roman" w:hAnsi="Times New Roman" w:cs="Times New Roman"/>
          <w:sz w:val="24"/>
          <w:szCs w:val="24"/>
        </w:rPr>
        <w:t xml:space="preserve">The Court will reject affidavit evidence which has not been tested in cross- </w:t>
      </w:r>
    </w:p>
    <w:p w14:paraId="27E7EC38" w14:textId="77777777" w:rsidR="004E3AC8" w:rsidRPr="004E3AC8" w:rsidRDefault="004E3AC8" w:rsidP="00380F1E">
      <w:pPr>
        <w:pStyle w:val="ListParagraph"/>
        <w:spacing w:before="120" w:line="360" w:lineRule="auto"/>
        <w:ind w:left="810"/>
        <w:rPr>
          <w:rFonts w:ascii="Times New Roman" w:hAnsi="Times New Roman" w:cs="Times New Roman"/>
          <w:sz w:val="24"/>
          <w:szCs w:val="24"/>
        </w:rPr>
      </w:pPr>
      <w:r w:rsidRPr="004E3AC8">
        <w:rPr>
          <w:rFonts w:ascii="Times New Roman" w:hAnsi="Times New Roman" w:cs="Times New Roman"/>
          <w:sz w:val="24"/>
          <w:szCs w:val="24"/>
        </w:rPr>
        <w:t xml:space="preserve">examination only where it is manifestly incredible, either because it is inherently </w:t>
      </w:r>
    </w:p>
    <w:p w14:paraId="075DE14F" w14:textId="6BC745EE" w:rsidR="004E3AC8" w:rsidRPr="004E3AC8" w:rsidRDefault="00A014B9" w:rsidP="00380F1E">
      <w:pPr>
        <w:pStyle w:val="ListParagraph"/>
        <w:spacing w:before="120" w:line="360" w:lineRule="auto"/>
        <w:ind w:left="810"/>
        <w:rPr>
          <w:rFonts w:ascii="Times New Roman" w:hAnsi="Times New Roman" w:cs="Times New Roman"/>
          <w:sz w:val="24"/>
          <w:szCs w:val="24"/>
        </w:rPr>
      </w:pPr>
      <w:r w:rsidRPr="004E3AC8">
        <w:rPr>
          <w:rFonts w:ascii="Times New Roman" w:hAnsi="Times New Roman" w:cs="Times New Roman"/>
          <w:sz w:val="24"/>
          <w:szCs w:val="24"/>
        </w:rPr>
        <w:t>so,</w:t>
      </w:r>
      <w:r w:rsidR="004E3AC8" w:rsidRPr="004E3AC8">
        <w:rPr>
          <w:rFonts w:ascii="Times New Roman" w:hAnsi="Times New Roman" w:cs="Times New Roman"/>
          <w:sz w:val="24"/>
          <w:szCs w:val="24"/>
        </w:rPr>
        <w:t xml:space="preserve"> or because it is shown to be so by other facts that are admitted or by reliable </w:t>
      </w:r>
    </w:p>
    <w:p w14:paraId="1597EE67" w14:textId="652A1949" w:rsidR="002A5626" w:rsidRDefault="004E3AC8" w:rsidP="00380F1E">
      <w:pPr>
        <w:pStyle w:val="ListParagraph"/>
        <w:spacing w:before="120" w:line="360" w:lineRule="auto"/>
        <w:ind w:left="810"/>
        <w:rPr>
          <w:rFonts w:ascii="Times New Roman" w:hAnsi="Times New Roman" w:cs="Times New Roman"/>
          <w:sz w:val="24"/>
          <w:szCs w:val="24"/>
        </w:rPr>
      </w:pPr>
      <w:r w:rsidRPr="004E3AC8">
        <w:rPr>
          <w:rFonts w:ascii="Times New Roman" w:hAnsi="Times New Roman" w:cs="Times New Roman"/>
          <w:sz w:val="24"/>
          <w:szCs w:val="24"/>
        </w:rPr>
        <w:t>documents</w:t>
      </w:r>
      <w:r w:rsidR="00541508">
        <w:rPr>
          <w:rFonts w:ascii="Times New Roman" w:hAnsi="Times New Roman" w:cs="Times New Roman"/>
          <w:sz w:val="24"/>
          <w:szCs w:val="24"/>
        </w:rPr>
        <w:t xml:space="preserve"> </w:t>
      </w:r>
      <w:r w:rsidR="00541508" w:rsidRPr="00953428">
        <w:rPr>
          <w:rFonts w:ascii="Times New Roman" w:hAnsi="Times New Roman" w:cs="Times New Roman"/>
          <w:i/>
          <w:iCs/>
          <w:sz w:val="24"/>
          <w:szCs w:val="24"/>
        </w:rPr>
        <w:t>Coyne v DRD Distribution</w:t>
      </w:r>
      <w:r w:rsidR="00541508">
        <w:rPr>
          <w:rFonts w:ascii="Times New Roman" w:hAnsi="Times New Roman" w:cs="Times New Roman"/>
          <w:sz w:val="24"/>
          <w:szCs w:val="24"/>
        </w:rPr>
        <w:t xml:space="preserve"> </w:t>
      </w:r>
      <w:r w:rsidR="00953428">
        <w:rPr>
          <w:rFonts w:ascii="Times New Roman" w:hAnsi="Times New Roman" w:cs="Times New Roman"/>
          <w:sz w:val="24"/>
          <w:szCs w:val="24"/>
        </w:rPr>
        <w:t>at [58].</w:t>
      </w:r>
    </w:p>
    <w:p w14:paraId="732D1140" w14:textId="77777777" w:rsidR="00CA098E" w:rsidRDefault="00CA098E" w:rsidP="004E3AC8">
      <w:pPr>
        <w:pStyle w:val="ListParagraph"/>
        <w:spacing w:before="120" w:line="360" w:lineRule="auto"/>
        <w:rPr>
          <w:rFonts w:ascii="Times New Roman" w:hAnsi="Times New Roman" w:cs="Times New Roman"/>
          <w:sz w:val="24"/>
          <w:szCs w:val="24"/>
        </w:rPr>
      </w:pPr>
    </w:p>
    <w:p w14:paraId="60D0C759" w14:textId="77777777" w:rsidR="00380F1E" w:rsidRDefault="00380F1E" w:rsidP="004E3AC8">
      <w:pPr>
        <w:pStyle w:val="ListParagraph"/>
        <w:spacing w:before="120" w:line="360" w:lineRule="auto"/>
        <w:rPr>
          <w:rFonts w:ascii="Times New Roman" w:hAnsi="Times New Roman" w:cs="Times New Roman"/>
          <w:sz w:val="24"/>
          <w:szCs w:val="24"/>
        </w:rPr>
      </w:pPr>
    </w:p>
    <w:p w14:paraId="2F506C07" w14:textId="6A04FB12" w:rsidR="00CA098E" w:rsidRDefault="00F147B7" w:rsidP="00CA098E">
      <w:pPr>
        <w:pStyle w:val="ListParagraph"/>
        <w:spacing w:before="120" w:line="360" w:lineRule="auto"/>
        <w:ind w:left="0"/>
        <w:rPr>
          <w:rFonts w:ascii="Times New Roman" w:hAnsi="Times New Roman" w:cs="Times New Roman"/>
          <w:b/>
          <w:bCs/>
          <w:i/>
          <w:iCs/>
          <w:sz w:val="24"/>
          <w:szCs w:val="24"/>
        </w:rPr>
      </w:pPr>
      <w:r w:rsidRPr="00A5572D">
        <w:rPr>
          <w:rFonts w:ascii="Times New Roman" w:hAnsi="Times New Roman" w:cs="Times New Roman"/>
          <w:b/>
          <w:bCs/>
          <w:i/>
          <w:iCs/>
          <w:sz w:val="24"/>
          <w:szCs w:val="24"/>
        </w:rPr>
        <w:t>Evidence relied upon by the Plaintiffs</w:t>
      </w:r>
      <w:r w:rsidR="00A5572D" w:rsidRPr="00A5572D">
        <w:rPr>
          <w:rFonts w:ascii="Times New Roman" w:hAnsi="Times New Roman" w:cs="Times New Roman"/>
          <w:b/>
          <w:bCs/>
          <w:i/>
          <w:iCs/>
          <w:sz w:val="24"/>
          <w:szCs w:val="24"/>
        </w:rPr>
        <w:t xml:space="preserve"> in support of “practical control” by the </w:t>
      </w:r>
      <w:r w:rsidR="00645F7F">
        <w:rPr>
          <w:rFonts w:ascii="Times New Roman" w:hAnsi="Times New Roman" w:cs="Times New Roman"/>
          <w:b/>
          <w:bCs/>
          <w:i/>
          <w:iCs/>
          <w:sz w:val="24"/>
          <w:szCs w:val="24"/>
        </w:rPr>
        <w:t>Company</w:t>
      </w:r>
    </w:p>
    <w:p w14:paraId="681D493D" w14:textId="77777777" w:rsidR="00A5572D" w:rsidRDefault="00A5572D" w:rsidP="00CA098E">
      <w:pPr>
        <w:pStyle w:val="ListParagraph"/>
        <w:spacing w:before="120" w:line="360" w:lineRule="auto"/>
        <w:ind w:left="0"/>
        <w:rPr>
          <w:rFonts w:ascii="Times New Roman" w:hAnsi="Times New Roman" w:cs="Times New Roman"/>
          <w:b/>
          <w:bCs/>
          <w:i/>
          <w:iCs/>
          <w:sz w:val="24"/>
          <w:szCs w:val="24"/>
        </w:rPr>
      </w:pPr>
    </w:p>
    <w:p w14:paraId="0DE8D14C" w14:textId="564C26D6" w:rsidR="00A5572D" w:rsidRDefault="00AE1FFD" w:rsidP="00FF2CBE">
      <w:pPr>
        <w:pStyle w:val="ListParagraph"/>
        <w:numPr>
          <w:ilvl w:val="0"/>
          <w:numId w:val="12"/>
        </w:numPr>
        <w:spacing w:before="120" w:line="360" w:lineRule="auto"/>
        <w:jc w:val="both"/>
        <w:rPr>
          <w:rFonts w:ascii="Times New Roman" w:hAnsi="Times New Roman" w:cs="Times New Roman"/>
          <w:sz w:val="24"/>
          <w:szCs w:val="24"/>
        </w:rPr>
      </w:pPr>
      <w:r w:rsidRPr="00D62AB0">
        <w:rPr>
          <w:rFonts w:ascii="Times New Roman" w:hAnsi="Times New Roman" w:cs="Times New Roman"/>
          <w:sz w:val="24"/>
          <w:szCs w:val="24"/>
        </w:rPr>
        <w:t>The</w:t>
      </w:r>
      <w:r w:rsidR="00D62AB0" w:rsidRPr="00D62AB0">
        <w:rPr>
          <w:rFonts w:ascii="Times New Roman" w:hAnsi="Times New Roman" w:cs="Times New Roman"/>
          <w:sz w:val="24"/>
          <w:szCs w:val="24"/>
        </w:rPr>
        <w:t xml:space="preserve"> evidence relied upon by the Plaintiffs is set out in Chudleigh 2</w:t>
      </w:r>
      <w:r w:rsidR="00D62AB0">
        <w:rPr>
          <w:rFonts w:ascii="Times New Roman" w:hAnsi="Times New Roman" w:cs="Times New Roman"/>
          <w:sz w:val="24"/>
          <w:szCs w:val="24"/>
        </w:rPr>
        <w:t xml:space="preserve"> and</w:t>
      </w:r>
      <w:r w:rsidR="00185AC2">
        <w:rPr>
          <w:rFonts w:ascii="Times New Roman" w:hAnsi="Times New Roman" w:cs="Times New Roman"/>
          <w:sz w:val="24"/>
          <w:szCs w:val="24"/>
        </w:rPr>
        <w:t xml:space="preserve"> Chudleigh 6 and the evidence relied upon by the </w:t>
      </w:r>
      <w:r w:rsidR="004B09F9">
        <w:rPr>
          <w:rFonts w:ascii="Times New Roman" w:hAnsi="Times New Roman" w:cs="Times New Roman"/>
          <w:sz w:val="24"/>
          <w:szCs w:val="24"/>
        </w:rPr>
        <w:t>Defendants</w:t>
      </w:r>
      <w:r w:rsidR="00185AC2">
        <w:rPr>
          <w:rFonts w:ascii="Times New Roman" w:hAnsi="Times New Roman" w:cs="Times New Roman"/>
          <w:sz w:val="24"/>
          <w:szCs w:val="24"/>
        </w:rPr>
        <w:t xml:space="preserve"> is set out in Krige </w:t>
      </w:r>
      <w:r w:rsidR="00FD7203">
        <w:rPr>
          <w:rFonts w:ascii="Times New Roman" w:hAnsi="Times New Roman" w:cs="Times New Roman"/>
          <w:sz w:val="24"/>
          <w:szCs w:val="24"/>
        </w:rPr>
        <w:t>2,</w:t>
      </w:r>
      <w:r w:rsidR="006F58C5">
        <w:rPr>
          <w:rFonts w:ascii="Times New Roman" w:hAnsi="Times New Roman" w:cs="Times New Roman"/>
          <w:sz w:val="24"/>
          <w:szCs w:val="24"/>
        </w:rPr>
        <w:t xml:space="preserve"> Parr 5 and Parr 6. Briefly, the Plaintiffs rely upon</w:t>
      </w:r>
      <w:r w:rsidR="00CD0011">
        <w:rPr>
          <w:rFonts w:ascii="Times New Roman" w:hAnsi="Times New Roman" w:cs="Times New Roman"/>
          <w:sz w:val="24"/>
          <w:szCs w:val="24"/>
        </w:rPr>
        <w:t xml:space="preserve"> (i)</w:t>
      </w:r>
      <w:r w:rsidR="004E5A76">
        <w:rPr>
          <w:rFonts w:ascii="Times New Roman" w:hAnsi="Times New Roman" w:cs="Times New Roman"/>
          <w:sz w:val="24"/>
          <w:szCs w:val="24"/>
        </w:rPr>
        <w:t xml:space="preserve"> Board documents; (ii) Audit materials; (iii)</w:t>
      </w:r>
      <w:r w:rsidR="00A05313">
        <w:rPr>
          <w:rFonts w:ascii="Times New Roman" w:hAnsi="Times New Roman" w:cs="Times New Roman"/>
          <w:sz w:val="24"/>
          <w:szCs w:val="24"/>
        </w:rPr>
        <w:t xml:space="preserve"> The financial database; (iv)</w:t>
      </w:r>
      <w:r w:rsidR="005F6CF2">
        <w:rPr>
          <w:rFonts w:ascii="Times New Roman" w:hAnsi="Times New Roman" w:cs="Times New Roman"/>
          <w:sz w:val="24"/>
          <w:szCs w:val="24"/>
        </w:rPr>
        <w:t xml:space="preserve"> Agreements entered into by the </w:t>
      </w:r>
      <w:r w:rsidR="00645F7F">
        <w:rPr>
          <w:rFonts w:ascii="Times New Roman" w:hAnsi="Times New Roman" w:cs="Times New Roman"/>
          <w:sz w:val="24"/>
          <w:szCs w:val="24"/>
        </w:rPr>
        <w:t>Company</w:t>
      </w:r>
      <w:r w:rsidR="005F6CF2">
        <w:rPr>
          <w:rFonts w:ascii="Times New Roman" w:hAnsi="Times New Roman" w:cs="Times New Roman"/>
          <w:sz w:val="24"/>
          <w:szCs w:val="24"/>
        </w:rPr>
        <w:t xml:space="preserve">; (v) The </w:t>
      </w:r>
      <w:r w:rsidR="00E1752A">
        <w:rPr>
          <w:rFonts w:ascii="Times New Roman" w:hAnsi="Times New Roman" w:cs="Times New Roman"/>
          <w:sz w:val="24"/>
          <w:szCs w:val="24"/>
        </w:rPr>
        <w:t>Defendants’</w:t>
      </w:r>
      <w:r w:rsidR="005F6CF2">
        <w:rPr>
          <w:rFonts w:ascii="Times New Roman" w:hAnsi="Times New Roman" w:cs="Times New Roman"/>
          <w:sz w:val="24"/>
          <w:szCs w:val="24"/>
        </w:rPr>
        <w:t xml:space="preserve"> position at the</w:t>
      </w:r>
      <w:r w:rsidR="00650144">
        <w:rPr>
          <w:rFonts w:ascii="Times New Roman" w:hAnsi="Times New Roman" w:cs="Times New Roman"/>
          <w:sz w:val="24"/>
          <w:szCs w:val="24"/>
        </w:rPr>
        <w:t xml:space="preserve"> directions hearing; and (vi) Requests made of</w:t>
      </w:r>
      <w:r w:rsidR="00472F7E">
        <w:rPr>
          <w:rFonts w:ascii="Times New Roman" w:hAnsi="Times New Roman" w:cs="Times New Roman"/>
          <w:sz w:val="24"/>
          <w:szCs w:val="24"/>
        </w:rPr>
        <w:t xml:space="preserve"> the Group for the purposes of this litigation.</w:t>
      </w:r>
    </w:p>
    <w:p w14:paraId="2430BC89" w14:textId="77777777" w:rsidR="00FD7203" w:rsidRDefault="00FD7203" w:rsidP="00CA098E">
      <w:pPr>
        <w:pStyle w:val="ListParagraph"/>
        <w:spacing w:before="120" w:line="360" w:lineRule="auto"/>
        <w:ind w:left="0"/>
        <w:rPr>
          <w:rFonts w:ascii="Times New Roman" w:hAnsi="Times New Roman" w:cs="Times New Roman"/>
          <w:sz w:val="24"/>
          <w:szCs w:val="24"/>
        </w:rPr>
      </w:pPr>
    </w:p>
    <w:p w14:paraId="110B0A41" w14:textId="1927D948" w:rsidR="00FD7203" w:rsidRDefault="00E333C6" w:rsidP="00FF2CBE">
      <w:pPr>
        <w:pStyle w:val="ListParagraph"/>
        <w:numPr>
          <w:ilvl w:val="0"/>
          <w:numId w:val="12"/>
        </w:numPr>
        <w:spacing w:before="120" w:line="360" w:lineRule="auto"/>
        <w:jc w:val="both"/>
        <w:rPr>
          <w:rFonts w:ascii="Times New Roman" w:hAnsi="Times New Roman" w:cs="Times New Roman"/>
          <w:sz w:val="24"/>
          <w:szCs w:val="24"/>
        </w:rPr>
      </w:pPr>
      <w:r>
        <w:rPr>
          <w:rFonts w:ascii="Times New Roman" w:hAnsi="Times New Roman" w:cs="Times New Roman"/>
          <w:sz w:val="24"/>
          <w:szCs w:val="24"/>
        </w:rPr>
        <w:t xml:space="preserve">Before considering this </w:t>
      </w:r>
      <w:r w:rsidR="007A1860">
        <w:rPr>
          <w:rFonts w:ascii="Times New Roman" w:hAnsi="Times New Roman" w:cs="Times New Roman"/>
          <w:sz w:val="24"/>
          <w:szCs w:val="24"/>
        </w:rPr>
        <w:t>evidence,</w:t>
      </w:r>
      <w:r>
        <w:rPr>
          <w:rFonts w:ascii="Times New Roman" w:hAnsi="Times New Roman" w:cs="Times New Roman"/>
          <w:sz w:val="24"/>
          <w:szCs w:val="24"/>
        </w:rPr>
        <w:t xml:space="preserve"> it is convenient to deal with a preliminary point taken by the </w:t>
      </w:r>
      <w:r w:rsidR="00E1752A">
        <w:rPr>
          <w:rFonts w:ascii="Times New Roman" w:hAnsi="Times New Roman" w:cs="Times New Roman"/>
          <w:sz w:val="24"/>
          <w:szCs w:val="24"/>
        </w:rPr>
        <w:t>Defendants</w:t>
      </w:r>
      <w:r>
        <w:rPr>
          <w:rFonts w:ascii="Times New Roman" w:hAnsi="Times New Roman" w:cs="Times New Roman"/>
          <w:sz w:val="24"/>
          <w:szCs w:val="24"/>
        </w:rPr>
        <w:t>.</w:t>
      </w:r>
      <w:r w:rsidR="00E05C9F">
        <w:rPr>
          <w:rFonts w:ascii="Times New Roman" w:hAnsi="Times New Roman" w:cs="Times New Roman"/>
          <w:sz w:val="24"/>
          <w:szCs w:val="24"/>
        </w:rPr>
        <w:t xml:space="preserve"> The </w:t>
      </w:r>
      <w:r w:rsidR="00BB4FF2">
        <w:rPr>
          <w:rFonts w:ascii="Times New Roman" w:hAnsi="Times New Roman" w:cs="Times New Roman"/>
          <w:sz w:val="24"/>
          <w:szCs w:val="24"/>
        </w:rPr>
        <w:t>Defendants</w:t>
      </w:r>
      <w:r w:rsidR="00E05C9F">
        <w:rPr>
          <w:rFonts w:ascii="Times New Roman" w:hAnsi="Times New Roman" w:cs="Times New Roman"/>
          <w:sz w:val="24"/>
          <w:szCs w:val="24"/>
        </w:rPr>
        <w:t xml:space="preserve"> contend</w:t>
      </w:r>
      <w:r w:rsidR="008C245F">
        <w:rPr>
          <w:rFonts w:ascii="Times New Roman" w:hAnsi="Times New Roman" w:cs="Times New Roman"/>
          <w:sz w:val="24"/>
          <w:szCs w:val="24"/>
        </w:rPr>
        <w:t xml:space="preserve"> that pursuant to paragraph 5 of the Order dated 23 March 2022, the</w:t>
      </w:r>
      <w:r w:rsidR="008F635C">
        <w:rPr>
          <w:rFonts w:ascii="Times New Roman" w:hAnsi="Times New Roman" w:cs="Times New Roman"/>
          <w:sz w:val="24"/>
          <w:szCs w:val="24"/>
        </w:rPr>
        <w:t xml:space="preserve"> Plaintiffs’ application was required to be made by 8 April 2022. The </w:t>
      </w:r>
      <w:r w:rsidR="00BB4FF2">
        <w:rPr>
          <w:rFonts w:ascii="Times New Roman" w:hAnsi="Times New Roman" w:cs="Times New Roman"/>
          <w:sz w:val="24"/>
          <w:szCs w:val="24"/>
        </w:rPr>
        <w:t>Defendants</w:t>
      </w:r>
      <w:r w:rsidR="008F635C">
        <w:rPr>
          <w:rFonts w:ascii="Times New Roman" w:hAnsi="Times New Roman" w:cs="Times New Roman"/>
          <w:sz w:val="24"/>
          <w:szCs w:val="24"/>
        </w:rPr>
        <w:t xml:space="preserve"> drew that</w:t>
      </w:r>
      <w:r w:rsidR="009452DC">
        <w:rPr>
          <w:rFonts w:ascii="Times New Roman" w:hAnsi="Times New Roman" w:cs="Times New Roman"/>
          <w:sz w:val="24"/>
          <w:szCs w:val="24"/>
        </w:rPr>
        <w:t xml:space="preserve"> fact to the Plaintiffs’ attention</w:t>
      </w:r>
      <w:r w:rsidR="00164F65">
        <w:rPr>
          <w:rFonts w:ascii="Times New Roman" w:hAnsi="Times New Roman" w:cs="Times New Roman"/>
          <w:sz w:val="24"/>
          <w:szCs w:val="24"/>
        </w:rPr>
        <w:t xml:space="preserve"> both before and after the passage of the deadline. The Plaintiff</w:t>
      </w:r>
      <w:r w:rsidR="00775A59">
        <w:rPr>
          <w:rFonts w:ascii="Times New Roman" w:hAnsi="Times New Roman" w:cs="Times New Roman"/>
          <w:sz w:val="24"/>
          <w:szCs w:val="24"/>
        </w:rPr>
        <w:t xml:space="preserve">s </w:t>
      </w:r>
      <w:r w:rsidR="00164F65">
        <w:rPr>
          <w:rFonts w:ascii="Times New Roman" w:hAnsi="Times New Roman" w:cs="Times New Roman"/>
          <w:sz w:val="24"/>
          <w:szCs w:val="24"/>
        </w:rPr>
        <w:t>did not issue any application within that period. Nor have they sought an extension or to explain the eventual five-month delay in issuing their application.</w:t>
      </w:r>
    </w:p>
    <w:p w14:paraId="2565FB2E" w14:textId="77777777" w:rsidR="00164F65" w:rsidRDefault="00164F65" w:rsidP="00CA098E">
      <w:pPr>
        <w:pStyle w:val="ListParagraph"/>
        <w:spacing w:before="120" w:line="360" w:lineRule="auto"/>
        <w:ind w:left="0"/>
        <w:rPr>
          <w:rFonts w:ascii="Times New Roman" w:hAnsi="Times New Roman" w:cs="Times New Roman"/>
          <w:sz w:val="24"/>
          <w:szCs w:val="24"/>
        </w:rPr>
      </w:pPr>
    </w:p>
    <w:p w14:paraId="4995C668" w14:textId="6235807A" w:rsidR="00164F65" w:rsidRDefault="007546A3" w:rsidP="00FF2CBE">
      <w:pPr>
        <w:pStyle w:val="ListParagraph"/>
        <w:numPr>
          <w:ilvl w:val="0"/>
          <w:numId w:val="12"/>
        </w:numPr>
        <w:spacing w:before="120" w:line="360" w:lineRule="auto"/>
        <w:jc w:val="both"/>
        <w:rPr>
          <w:rFonts w:ascii="Times New Roman" w:hAnsi="Times New Roman" w:cs="Times New Roman"/>
          <w:sz w:val="24"/>
          <w:szCs w:val="24"/>
        </w:rPr>
      </w:pPr>
      <w:r>
        <w:rPr>
          <w:rFonts w:ascii="Times New Roman" w:hAnsi="Times New Roman" w:cs="Times New Roman"/>
          <w:sz w:val="24"/>
          <w:szCs w:val="24"/>
        </w:rPr>
        <w:t xml:space="preserve">Mr Moore KC readily accepted that the Plaintiffs </w:t>
      </w:r>
      <w:r w:rsidR="0055663C">
        <w:rPr>
          <w:rFonts w:ascii="Times New Roman" w:hAnsi="Times New Roman" w:cs="Times New Roman"/>
          <w:sz w:val="24"/>
          <w:szCs w:val="24"/>
        </w:rPr>
        <w:t xml:space="preserve">are able to issue another summons </w:t>
      </w:r>
      <w:r w:rsidR="00B92AF9">
        <w:rPr>
          <w:rFonts w:ascii="Times New Roman" w:hAnsi="Times New Roman" w:cs="Times New Roman"/>
          <w:sz w:val="24"/>
          <w:szCs w:val="24"/>
        </w:rPr>
        <w:t>to deal with the P</w:t>
      </w:r>
      <w:r w:rsidR="00324C6A">
        <w:rPr>
          <w:rFonts w:ascii="Times New Roman" w:hAnsi="Times New Roman" w:cs="Times New Roman"/>
          <w:sz w:val="24"/>
          <w:szCs w:val="24"/>
        </w:rPr>
        <w:t xml:space="preserve">CP issue. In all the </w:t>
      </w:r>
      <w:r w:rsidR="00770CBA">
        <w:rPr>
          <w:rFonts w:ascii="Times New Roman" w:hAnsi="Times New Roman" w:cs="Times New Roman"/>
          <w:sz w:val="24"/>
          <w:szCs w:val="24"/>
        </w:rPr>
        <w:t>circumstances the Court is satisfied that since the issue has been fully argued before the Court, the appropriate course to take</w:t>
      </w:r>
      <w:r w:rsidR="00A21233">
        <w:rPr>
          <w:rFonts w:ascii="Times New Roman" w:hAnsi="Times New Roman" w:cs="Times New Roman"/>
          <w:sz w:val="24"/>
          <w:szCs w:val="24"/>
        </w:rPr>
        <w:t xml:space="preserve"> is to deal with the issue on its merits.</w:t>
      </w:r>
    </w:p>
    <w:p w14:paraId="5D64491C" w14:textId="77777777" w:rsidR="000B27F1" w:rsidRPr="001462E2" w:rsidRDefault="000B27F1" w:rsidP="00CA098E">
      <w:pPr>
        <w:pStyle w:val="ListParagraph"/>
        <w:spacing w:before="120" w:line="360" w:lineRule="auto"/>
        <w:ind w:left="0"/>
        <w:rPr>
          <w:rFonts w:ascii="Times New Roman" w:hAnsi="Times New Roman" w:cs="Times New Roman"/>
          <w:sz w:val="24"/>
          <w:szCs w:val="24"/>
        </w:rPr>
      </w:pPr>
    </w:p>
    <w:p w14:paraId="4DF662C2" w14:textId="575DD442" w:rsidR="000B27F1" w:rsidRDefault="00CA1175" w:rsidP="00FF2CBE">
      <w:pPr>
        <w:pStyle w:val="ListParagraph"/>
        <w:numPr>
          <w:ilvl w:val="0"/>
          <w:numId w:val="12"/>
        </w:numPr>
        <w:spacing w:before="120" w:line="360" w:lineRule="auto"/>
        <w:jc w:val="both"/>
        <w:rPr>
          <w:rFonts w:ascii="Times New Roman" w:hAnsi="Times New Roman" w:cs="Times New Roman"/>
          <w:sz w:val="24"/>
          <w:szCs w:val="24"/>
        </w:rPr>
      </w:pPr>
      <w:r w:rsidRPr="001462E2">
        <w:rPr>
          <w:rFonts w:ascii="Times New Roman" w:hAnsi="Times New Roman" w:cs="Times New Roman"/>
          <w:sz w:val="24"/>
          <w:szCs w:val="24"/>
        </w:rPr>
        <w:t>In opening this application</w:t>
      </w:r>
      <w:r w:rsidR="00A2399C" w:rsidRPr="001462E2">
        <w:rPr>
          <w:rFonts w:ascii="Times New Roman" w:hAnsi="Times New Roman" w:cs="Times New Roman"/>
          <w:sz w:val="24"/>
          <w:szCs w:val="24"/>
        </w:rPr>
        <w:t xml:space="preserve"> Mr Adkins KC invited the Court to consider the structure of the Group</w:t>
      </w:r>
      <w:r w:rsidR="000255D5" w:rsidRPr="001462E2">
        <w:rPr>
          <w:rFonts w:ascii="Times New Roman" w:hAnsi="Times New Roman" w:cs="Times New Roman"/>
          <w:sz w:val="24"/>
          <w:szCs w:val="24"/>
        </w:rPr>
        <w:t>,</w:t>
      </w:r>
      <w:r w:rsidR="00577D64" w:rsidRPr="001462E2">
        <w:rPr>
          <w:rFonts w:ascii="Times New Roman" w:hAnsi="Times New Roman" w:cs="Times New Roman"/>
          <w:sz w:val="24"/>
          <w:szCs w:val="24"/>
        </w:rPr>
        <w:t xml:space="preserve"> pointing out that there are two companies at the top of the group structure: the </w:t>
      </w:r>
      <w:r w:rsidR="00487D63">
        <w:rPr>
          <w:rFonts w:ascii="Times New Roman" w:hAnsi="Times New Roman" w:cs="Times New Roman"/>
          <w:sz w:val="24"/>
          <w:szCs w:val="24"/>
        </w:rPr>
        <w:t>Company</w:t>
      </w:r>
      <w:r w:rsidR="00577D64" w:rsidRPr="001462E2">
        <w:rPr>
          <w:rFonts w:ascii="Times New Roman" w:hAnsi="Times New Roman" w:cs="Times New Roman"/>
          <w:sz w:val="24"/>
          <w:szCs w:val="24"/>
        </w:rPr>
        <w:t xml:space="preserve"> and Jardine Matheson who at all times hel</w:t>
      </w:r>
      <w:r w:rsidR="00615079">
        <w:rPr>
          <w:rFonts w:ascii="Times New Roman" w:hAnsi="Times New Roman" w:cs="Times New Roman"/>
          <w:sz w:val="24"/>
          <w:szCs w:val="24"/>
        </w:rPr>
        <w:t>d</w:t>
      </w:r>
      <w:r w:rsidR="00577D64" w:rsidRPr="001462E2">
        <w:rPr>
          <w:rFonts w:ascii="Times New Roman" w:hAnsi="Times New Roman" w:cs="Times New Roman"/>
          <w:sz w:val="24"/>
          <w:szCs w:val="24"/>
        </w:rPr>
        <w:t xml:space="preserve"> majority cross-shareholdings in each other.</w:t>
      </w:r>
      <w:r w:rsidR="00280309" w:rsidRPr="001462E2">
        <w:rPr>
          <w:rFonts w:ascii="Times New Roman" w:hAnsi="Times New Roman" w:cs="Times New Roman"/>
          <w:sz w:val="24"/>
          <w:szCs w:val="24"/>
        </w:rPr>
        <w:t xml:space="preserve"> Mr Adkins KC</w:t>
      </w:r>
      <w:r w:rsidR="00E76D16" w:rsidRPr="001462E2">
        <w:rPr>
          <w:rFonts w:ascii="Times New Roman" w:hAnsi="Times New Roman" w:cs="Times New Roman"/>
          <w:sz w:val="24"/>
          <w:szCs w:val="24"/>
        </w:rPr>
        <w:t xml:space="preserve"> contended that it was not entirely accurate to refer to the </w:t>
      </w:r>
      <w:r w:rsidR="00487D63">
        <w:rPr>
          <w:rFonts w:ascii="Times New Roman" w:hAnsi="Times New Roman" w:cs="Times New Roman"/>
          <w:sz w:val="24"/>
          <w:szCs w:val="24"/>
        </w:rPr>
        <w:t>Company</w:t>
      </w:r>
      <w:r w:rsidR="00E76D16" w:rsidRPr="001462E2">
        <w:rPr>
          <w:rFonts w:ascii="Times New Roman" w:hAnsi="Times New Roman" w:cs="Times New Roman"/>
          <w:sz w:val="24"/>
          <w:szCs w:val="24"/>
        </w:rPr>
        <w:t xml:space="preserve"> as an “</w:t>
      </w:r>
      <w:r w:rsidR="001462E2" w:rsidRPr="00615079">
        <w:rPr>
          <w:rFonts w:ascii="Times New Roman" w:hAnsi="Times New Roman" w:cs="Times New Roman"/>
          <w:i/>
          <w:iCs/>
          <w:sz w:val="24"/>
          <w:szCs w:val="24"/>
        </w:rPr>
        <w:t xml:space="preserve">intermediate holding </w:t>
      </w:r>
      <w:r w:rsidR="00C14012">
        <w:rPr>
          <w:rFonts w:ascii="Times New Roman" w:hAnsi="Times New Roman" w:cs="Times New Roman"/>
          <w:i/>
          <w:iCs/>
          <w:sz w:val="24"/>
          <w:szCs w:val="24"/>
        </w:rPr>
        <w:t>Company</w:t>
      </w:r>
      <w:r w:rsidR="001462E2" w:rsidRPr="001462E2">
        <w:rPr>
          <w:rFonts w:ascii="Times New Roman" w:hAnsi="Times New Roman" w:cs="Times New Roman"/>
          <w:sz w:val="24"/>
          <w:szCs w:val="24"/>
        </w:rPr>
        <w:t>”</w:t>
      </w:r>
      <w:r w:rsidR="00AA496C">
        <w:rPr>
          <w:rFonts w:ascii="Times New Roman" w:hAnsi="Times New Roman" w:cs="Times New Roman"/>
          <w:sz w:val="24"/>
          <w:szCs w:val="24"/>
        </w:rPr>
        <w:t xml:space="preserve"> given that</w:t>
      </w:r>
      <w:r w:rsidR="00673473">
        <w:rPr>
          <w:rFonts w:ascii="Times New Roman" w:hAnsi="Times New Roman" w:cs="Times New Roman"/>
          <w:sz w:val="24"/>
          <w:szCs w:val="24"/>
        </w:rPr>
        <w:t xml:space="preserve"> the </w:t>
      </w:r>
      <w:r w:rsidR="00C14012">
        <w:rPr>
          <w:rFonts w:ascii="Times New Roman" w:hAnsi="Times New Roman" w:cs="Times New Roman"/>
          <w:sz w:val="24"/>
          <w:szCs w:val="24"/>
        </w:rPr>
        <w:t>Company</w:t>
      </w:r>
      <w:r w:rsidR="00673473">
        <w:rPr>
          <w:rFonts w:ascii="Times New Roman" w:hAnsi="Times New Roman" w:cs="Times New Roman"/>
          <w:sz w:val="24"/>
          <w:szCs w:val="24"/>
        </w:rPr>
        <w:t xml:space="preserve"> and Jardine Matheson each had a majority shareholding in the other</w:t>
      </w:r>
      <w:r w:rsidR="00815F2A">
        <w:rPr>
          <w:rFonts w:ascii="Times New Roman" w:hAnsi="Times New Roman" w:cs="Times New Roman"/>
          <w:sz w:val="24"/>
          <w:szCs w:val="24"/>
        </w:rPr>
        <w:t xml:space="preserve">. </w:t>
      </w:r>
      <w:r w:rsidR="000B63F2">
        <w:rPr>
          <w:rFonts w:ascii="Times New Roman" w:hAnsi="Times New Roman" w:cs="Times New Roman"/>
          <w:sz w:val="24"/>
          <w:szCs w:val="24"/>
        </w:rPr>
        <w:t>Moreover,</w:t>
      </w:r>
      <w:r w:rsidR="00815F2A">
        <w:rPr>
          <w:rFonts w:ascii="Times New Roman" w:hAnsi="Times New Roman" w:cs="Times New Roman"/>
          <w:sz w:val="24"/>
          <w:szCs w:val="24"/>
        </w:rPr>
        <w:t xml:space="preserve"> the vast bulk of the Principal Group Companies sit and sat under the </w:t>
      </w:r>
      <w:r w:rsidR="00C14012">
        <w:rPr>
          <w:rFonts w:ascii="Times New Roman" w:hAnsi="Times New Roman" w:cs="Times New Roman"/>
          <w:sz w:val="24"/>
          <w:szCs w:val="24"/>
        </w:rPr>
        <w:t>Company</w:t>
      </w:r>
      <w:r w:rsidR="00815F2A">
        <w:rPr>
          <w:rFonts w:ascii="Times New Roman" w:hAnsi="Times New Roman" w:cs="Times New Roman"/>
          <w:sz w:val="24"/>
          <w:szCs w:val="24"/>
        </w:rPr>
        <w:t xml:space="preserve"> itself (and contain most of the</w:t>
      </w:r>
      <w:r w:rsidR="00B850FA">
        <w:rPr>
          <w:rFonts w:ascii="Times New Roman" w:hAnsi="Times New Roman" w:cs="Times New Roman"/>
          <w:sz w:val="24"/>
          <w:szCs w:val="24"/>
        </w:rPr>
        <w:t xml:space="preserve"> Group’s value) and not under Jardine Matheson.</w:t>
      </w:r>
    </w:p>
    <w:p w14:paraId="1F0A3330" w14:textId="77777777" w:rsidR="00E72D15" w:rsidRDefault="00E72D15" w:rsidP="00CA098E">
      <w:pPr>
        <w:pStyle w:val="ListParagraph"/>
        <w:spacing w:before="120" w:line="360" w:lineRule="auto"/>
        <w:ind w:left="0"/>
        <w:rPr>
          <w:rFonts w:ascii="Times New Roman" w:hAnsi="Times New Roman" w:cs="Times New Roman"/>
          <w:sz w:val="24"/>
          <w:szCs w:val="24"/>
        </w:rPr>
      </w:pPr>
    </w:p>
    <w:p w14:paraId="58CE02F9" w14:textId="5A0F6265" w:rsidR="00E72D15" w:rsidRPr="00B1466D" w:rsidRDefault="00944450" w:rsidP="00FF2CBE">
      <w:pPr>
        <w:pStyle w:val="ListParagraph"/>
        <w:numPr>
          <w:ilvl w:val="0"/>
          <w:numId w:val="12"/>
        </w:numPr>
        <w:spacing w:before="120" w:line="360" w:lineRule="auto"/>
        <w:jc w:val="both"/>
        <w:rPr>
          <w:rFonts w:ascii="Times New Roman" w:hAnsi="Times New Roman" w:cs="Times New Roman"/>
          <w:sz w:val="24"/>
          <w:szCs w:val="24"/>
        </w:rPr>
      </w:pPr>
      <w:r w:rsidRPr="00B1466D">
        <w:rPr>
          <w:rFonts w:ascii="Times New Roman" w:hAnsi="Times New Roman" w:cs="Times New Roman"/>
          <w:sz w:val="24"/>
          <w:szCs w:val="24"/>
        </w:rPr>
        <w:t>Mr Adkins KC also refer</w:t>
      </w:r>
      <w:r w:rsidR="000F08B9" w:rsidRPr="00B1466D">
        <w:rPr>
          <w:rFonts w:ascii="Times New Roman" w:hAnsi="Times New Roman" w:cs="Times New Roman"/>
          <w:sz w:val="24"/>
          <w:szCs w:val="24"/>
        </w:rPr>
        <w:t>red</w:t>
      </w:r>
      <w:r w:rsidRPr="00B1466D">
        <w:rPr>
          <w:rFonts w:ascii="Times New Roman" w:hAnsi="Times New Roman" w:cs="Times New Roman"/>
          <w:sz w:val="24"/>
          <w:szCs w:val="24"/>
        </w:rPr>
        <w:t xml:space="preserve"> to Article 112</w:t>
      </w:r>
      <w:r w:rsidR="00F82E9C" w:rsidRPr="00B1466D">
        <w:rPr>
          <w:rFonts w:ascii="Times New Roman" w:hAnsi="Times New Roman" w:cs="Times New Roman"/>
          <w:sz w:val="24"/>
          <w:szCs w:val="24"/>
        </w:rPr>
        <w:t xml:space="preserve">(A) of the </w:t>
      </w:r>
      <w:r w:rsidR="00CD0F55" w:rsidRPr="00B1466D">
        <w:rPr>
          <w:rFonts w:ascii="Times New Roman" w:hAnsi="Times New Roman" w:cs="Times New Roman"/>
          <w:sz w:val="24"/>
          <w:szCs w:val="24"/>
        </w:rPr>
        <w:t>Company’s</w:t>
      </w:r>
      <w:r w:rsidR="00F82E9C" w:rsidRPr="00B1466D">
        <w:rPr>
          <w:rFonts w:ascii="Times New Roman" w:hAnsi="Times New Roman" w:cs="Times New Roman"/>
          <w:sz w:val="24"/>
          <w:szCs w:val="24"/>
        </w:rPr>
        <w:t xml:space="preserve"> Articles</w:t>
      </w:r>
      <w:r w:rsidR="00C308B4" w:rsidRPr="00B1466D">
        <w:rPr>
          <w:rFonts w:ascii="Times New Roman" w:hAnsi="Times New Roman" w:cs="Times New Roman"/>
          <w:sz w:val="24"/>
          <w:szCs w:val="24"/>
        </w:rPr>
        <w:t xml:space="preserve"> </w:t>
      </w:r>
      <w:r w:rsidR="009F73A9" w:rsidRPr="00B1466D">
        <w:rPr>
          <w:rFonts w:ascii="Times New Roman" w:hAnsi="Times New Roman" w:cs="Times New Roman"/>
          <w:sz w:val="24"/>
          <w:szCs w:val="24"/>
        </w:rPr>
        <w:t>requiring</w:t>
      </w:r>
      <w:r w:rsidR="00C308B4" w:rsidRPr="00B1466D">
        <w:rPr>
          <w:rFonts w:ascii="Times New Roman" w:hAnsi="Times New Roman" w:cs="Times New Roman"/>
          <w:sz w:val="24"/>
          <w:szCs w:val="24"/>
        </w:rPr>
        <w:t xml:space="preserve"> that</w:t>
      </w:r>
      <w:r w:rsidR="00F82E9C" w:rsidRPr="00B1466D">
        <w:rPr>
          <w:rFonts w:ascii="Times New Roman" w:hAnsi="Times New Roman" w:cs="Times New Roman"/>
          <w:sz w:val="24"/>
          <w:szCs w:val="24"/>
        </w:rPr>
        <w:t xml:space="preserve"> </w:t>
      </w:r>
      <w:r w:rsidR="00B52029" w:rsidRPr="00B1466D">
        <w:rPr>
          <w:rFonts w:ascii="Times New Roman" w:hAnsi="Times New Roman" w:cs="Times New Roman"/>
          <w:sz w:val="24"/>
          <w:szCs w:val="24"/>
        </w:rPr>
        <w:t>the appointment of a</w:t>
      </w:r>
      <w:r w:rsidR="00F82E9C" w:rsidRPr="00B1466D">
        <w:rPr>
          <w:rFonts w:ascii="Times New Roman" w:hAnsi="Times New Roman" w:cs="Times New Roman"/>
          <w:sz w:val="24"/>
          <w:szCs w:val="24"/>
        </w:rPr>
        <w:t xml:space="preserve"> General Manager of the </w:t>
      </w:r>
      <w:r w:rsidR="00CD0F55" w:rsidRPr="00B1466D">
        <w:rPr>
          <w:rFonts w:ascii="Times New Roman" w:hAnsi="Times New Roman" w:cs="Times New Roman"/>
          <w:sz w:val="24"/>
          <w:szCs w:val="24"/>
        </w:rPr>
        <w:t>Company</w:t>
      </w:r>
      <w:r w:rsidR="00F82E9C" w:rsidRPr="00B1466D">
        <w:rPr>
          <w:rFonts w:ascii="Times New Roman" w:hAnsi="Times New Roman" w:cs="Times New Roman"/>
          <w:sz w:val="24"/>
          <w:szCs w:val="24"/>
        </w:rPr>
        <w:t xml:space="preserve"> </w:t>
      </w:r>
      <w:r w:rsidR="00B52029" w:rsidRPr="00B1466D">
        <w:rPr>
          <w:rFonts w:ascii="Times New Roman" w:hAnsi="Times New Roman" w:cs="Times New Roman"/>
          <w:sz w:val="24"/>
          <w:szCs w:val="24"/>
        </w:rPr>
        <w:t>had to be</w:t>
      </w:r>
      <w:r w:rsidR="00F82E9C" w:rsidRPr="00B1466D">
        <w:rPr>
          <w:rFonts w:ascii="Times New Roman" w:hAnsi="Times New Roman" w:cs="Times New Roman"/>
          <w:sz w:val="24"/>
          <w:szCs w:val="24"/>
        </w:rPr>
        <w:t xml:space="preserve"> </w:t>
      </w:r>
      <w:r w:rsidR="00C91438" w:rsidRPr="00B1466D">
        <w:rPr>
          <w:rFonts w:ascii="Times New Roman" w:hAnsi="Times New Roman" w:cs="Times New Roman"/>
          <w:sz w:val="24"/>
          <w:szCs w:val="24"/>
        </w:rPr>
        <w:t>either</w:t>
      </w:r>
      <w:r w:rsidR="0056410A" w:rsidRPr="00B1466D">
        <w:rPr>
          <w:rFonts w:ascii="Times New Roman" w:hAnsi="Times New Roman" w:cs="Times New Roman"/>
          <w:sz w:val="24"/>
          <w:szCs w:val="24"/>
        </w:rPr>
        <w:t xml:space="preserve"> </w:t>
      </w:r>
      <w:r w:rsidR="00C91438" w:rsidRPr="00B1466D">
        <w:rPr>
          <w:rFonts w:ascii="Times New Roman" w:hAnsi="Times New Roman" w:cs="Times New Roman"/>
          <w:sz w:val="24"/>
          <w:szCs w:val="24"/>
        </w:rPr>
        <w:t>Jardine Matheson or a wholly owned subsidiary of Jardine Matheson appointed by</w:t>
      </w:r>
      <w:r w:rsidR="00DC7D38" w:rsidRPr="00B1466D">
        <w:rPr>
          <w:rFonts w:ascii="Times New Roman" w:hAnsi="Times New Roman" w:cs="Times New Roman"/>
          <w:sz w:val="24"/>
          <w:szCs w:val="24"/>
        </w:rPr>
        <w:t xml:space="preserve"> it</w:t>
      </w:r>
      <w:r w:rsidR="00C91438" w:rsidRPr="00B1466D">
        <w:rPr>
          <w:rFonts w:ascii="Times New Roman" w:hAnsi="Times New Roman" w:cs="Times New Roman"/>
          <w:sz w:val="24"/>
          <w:szCs w:val="24"/>
        </w:rPr>
        <w:t xml:space="preserve">. </w:t>
      </w:r>
      <w:r w:rsidR="00DC7D38" w:rsidRPr="00B1466D">
        <w:rPr>
          <w:rFonts w:ascii="Times New Roman" w:hAnsi="Times New Roman" w:cs="Times New Roman"/>
          <w:sz w:val="24"/>
          <w:szCs w:val="24"/>
        </w:rPr>
        <w:t xml:space="preserve">In the event, Jardine Matheson </w:t>
      </w:r>
      <w:r w:rsidR="00F04893" w:rsidRPr="00B1466D">
        <w:rPr>
          <w:rFonts w:ascii="Times New Roman" w:hAnsi="Times New Roman" w:cs="Times New Roman"/>
          <w:sz w:val="24"/>
          <w:szCs w:val="24"/>
        </w:rPr>
        <w:t>Limited</w:t>
      </w:r>
      <w:r w:rsidR="002F7003" w:rsidRPr="00B1466D">
        <w:rPr>
          <w:rFonts w:ascii="Times New Roman" w:hAnsi="Times New Roman" w:cs="Times New Roman"/>
          <w:sz w:val="24"/>
          <w:szCs w:val="24"/>
        </w:rPr>
        <w:t xml:space="preserve"> “</w:t>
      </w:r>
      <w:r w:rsidR="002F7003" w:rsidRPr="00B1466D">
        <w:rPr>
          <w:rFonts w:ascii="Times New Roman" w:hAnsi="Times New Roman" w:cs="Times New Roman"/>
          <w:b/>
          <w:bCs/>
          <w:sz w:val="24"/>
          <w:szCs w:val="24"/>
        </w:rPr>
        <w:t>JML</w:t>
      </w:r>
      <w:r w:rsidR="002F7003" w:rsidRPr="00B1466D">
        <w:rPr>
          <w:rFonts w:ascii="Times New Roman" w:hAnsi="Times New Roman" w:cs="Times New Roman"/>
          <w:sz w:val="24"/>
          <w:szCs w:val="24"/>
        </w:rPr>
        <w:t>”)</w:t>
      </w:r>
      <w:r w:rsidR="00F04893" w:rsidRPr="00B1466D">
        <w:rPr>
          <w:rFonts w:ascii="Times New Roman" w:hAnsi="Times New Roman" w:cs="Times New Roman"/>
          <w:sz w:val="24"/>
          <w:szCs w:val="24"/>
        </w:rPr>
        <w:t xml:space="preserve">, a Hong Kong-based management </w:t>
      </w:r>
      <w:r w:rsidR="00CD0F55" w:rsidRPr="00B1466D">
        <w:rPr>
          <w:rFonts w:ascii="Times New Roman" w:hAnsi="Times New Roman" w:cs="Times New Roman"/>
          <w:sz w:val="24"/>
          <w:szCs w:val="24"/>
        </w:rPr>
        <w:t>company</w:t>
      </w:r>
      <w:r w:rsidR="00F04893" w:rsidRPr="00B1466D">
        <w:rPr>
          <w:rFonts w:ascii="Times New Roman" w:hAnsi="Times New Roman" w:cs="Times New Roman"/>
          <w:sz w:val="24"/>
          <w:szCs w:val="24"/>
        </w:rPr>
        <w:t>,</w:t>
      </w:r>
      <w:r w:rsidR="002F7003" w:rsidRPr="00B1466D">
        <w:rPr>
          <w:rFonts w:ascii="Times New Roman" w:hAnsi="Times New Roman" w:cs="Times New Roman"/>
          <w:sz w:val="24"/>
          <w:szCs w:val="24"/>
        </w:rPr>
        <w:t xml:space="preserve"> was appointed the General Manager of the </w:t>
      </w:r>
      <w:r w:rsidR="00757F8D" w:rsidRPr="00B1466D">
        <w:rPr>
          <w:rFonts w:ascii="Times New Roman" w:hAnsi="Times New Roman" w:cs="Times New Roman"/>
          <w:sz w:val="24"/>
          <w:szCs w:val="24"/>
        </w:rPr>
        <w:t>Company</w:t>
      </w:r>
      <w:r w:rsidR="003A27B9" w:rsidRPr="00B1466D">
        <w:rPr>
          <w:rFonts w:ascii="Times New Roman" w:hAnsi="Times New Roman" w:cs="Times New Roman"/>
          <w:sz w:val="24"/>
          <w:szCs w:val="24"/>
        </w:rPr>
        <w:t xml:space="preserve"> </w:t>
      </w:r>
      <w:r w:rsidR="0056410A" w:rsidRPr="00B1466D">
        <w:rPr>
          <w:rFonts w:ascii="Times New Roman" w:hAnsi="Times New Roman" w:cs="Times New Roman"/>
          <w:sz w:val="24"/>
          <w:szCs w:val="24"/>
        </w:rPr>
        <w:t xml:space="preserve">and </w:t>
      </w:r>
      <w:r w:rsidR="00727BCA" w:rsidRPr="00B1466D">
        <w:rPr>
          <w:rFonts w:ascii="Times New Roman" w:hAnsi="Times New Roman" w:cs="Times New Roman"/>
          <w:sz w:val="24"/>
          <w:szCs w:val="24"/>
        </w:rPr>
        <w:t xml:space="preserve">was paid </w:t>
      </w:r>
      <w:r w:rsidR="003A27B9" w:rsidRPr="00B1466D">
        <w:rPr>
          <w:rFonts w:ascii="Times New Roman" w:hAnsi="Times New Roman" w:cs="Times New Roman"/>
          <w:sz w:val="24"/>
          <w:szCs w:val="24"/>
        </w:rPr>
        <w:t>management fees in the sum of US$141 million</w:t>
      </w:r>
      <w:r w:rsidR="00AC3001" w:rsidRPr="00B1466D">
        <w:rPr>
          <w:rFonts w:ascii="Times New Roman" w:hAnsi="Times New Roman" w:cs="Times New Roman"/>
          <w:sz w:val="24"/>
          <w:szCs w:val="24"/>
        </w:rPr>
        <w:t xml:space="preserve"> in 2018, US$130 in 2019</w:t>
      </w:r>
      <w:r w:rsidR="00F3717D" w:rsidRPr="00B1466D">
        <w:rPr>
          <w:rFonts w:ascii="Times New Roman" w:hAnsi="Times New Roman" w:cs="Times New Roman"/>
          <w:sz w:val="24"/>
          <w:szCs w:val="24"/>
        </w:rPr>
        <w:t xml:space="preserve"> and US$102 in 2020. </w:t>
      </w:r>
      <w:r w:rsidR="00684D5B" w:rsidRPr="00B1466D">
        <w:rPr>
          <w:rFonts w:ascii="Times New Roman" w:hAnsi="Times New Roman" w:cs="Times New Roman"/>
          <w:sz w:val="24"/>
          <w:szCs w:val="24"/>
        </w:rPr>
        <w:t xml:space="preserve">Mr Adkins KC contends that the existence of these fees undermines the </w:t>
      </w:r>
      <w:r w:rsidR="00757F8D" w:rsidRPr="00B1466D">
        <w:rPr>
          <w:rFonts w:ascii="Times New Roman" w:hAnsi="Times New Roman" w:cs="Times New Roman"/>
          <w:sz w:val="24"/>
          <w:szCs w:val="24"/>
        </w:rPr>
        <w:t>Company’s</w:t>
      </w:r>
      <w:r w:rsidR="00684D5B" w:rsidRPr="00B1466D">
        <w:rPr>
          <w:rFonts w:ascii="Times New Roman" w:hAnsi="Times New Roman" w:cs="Times New Roman"/>
          <w:sz w:val="24"/>
          <w:szCs w:val="24"/>
        </w:rPr>
        <w:t xml:space="preserve"> attempts to distance itself from JML and relegate its role in the Group to a mere “</w:t>
      </w:r>
      <w:r w:rsidR="00684D5B" w:rsidRPr="00B1466D">
        <w:rPr>
          <w:rFonts w:ascii="Times New Roman" w:hAnsi="Times New Roman" w:cs="Times New Roman"/>
          <w:i/>
          <w:iCs/>
          <w:sz w:val="24"/>
          <w:szCs w:val="24"/>
        </w:rPr>
        <w:t>intermediate</w:t>
      </w:r>
      <w:r w:rsidR="00293509" w:rsidRPr="00B1466D">
        <w:rPr>
          <w:rFonts w:ascii="Times New Roman" w:hAnsi="Times New Roman" w:cs="Times New Roman"/>
          <w:i/>
          <w:iCs/>
          <w:sz w:val="24"/>
          <w:szCs w:val="24"/>
        </w:rPr>
        <w:t xml:space="preserve"> holding </w:t>
      </w:r>
      <w:r w:rsidR="00757F8D" w:rsidRPr="00B1466D">
        <w:rPr>
          <w:rFonts w:ascii="Times New Roman" w:hAnsi="Times New Roman" w:cs="Times New Roman"/>
          <w:i/>
          <w:iCs/>
          <w:sz w:val="24"/>
          <w:szCs w:val="24"/>
        </w:rPr>
        <w:t>Company</w:t>
      </w:r>
      <w:r w:rsidR="00293509" w:rsidRPr="00B1466D">
        <w:rPr>
          <w:rFonts w:ascii="Times New Roman" w:hAnsi="Times New Roman" w:cs="Times New Roman"/>
          <w:sz w:val="24"/>
          <w:szCs w:val="24"/>
        </w:rPr>
        <w:t>.”</w:t>
      </w:r>
      <w:r w:rsidR="00E67D59" w:rsidRPr="00B1466D">
        <w:rPr>
          <w:rFonts w:ascii="Times New Roman" w:hAnsi="Times New Roman" w:cs="Times New Roman"/>
          <w:sz w:val="24"/>
          <w:szCs w:val="24"/>
        </w:rPr>
        <w:t xml:space="preserve"> He contends that</w:t>
      </w:r>
      <w:r w:rsidR="005C6380" w:rsidRPr="00B1466D">
        <w:rPr>
          <w:rFonts w:ascii="Times New Roman" w:hAnsi="Times New Roman" w:cs="Times New Roman"/>
          <w:sz w:val="24"/>
          <w:szCs w:val="24"/>
        </w:rPr>
        <w:t xml:space="preserve"> these very substantial payments plainly cannot have been simply for the provision of management services to the </w:t>
      </w:r>
      <w:r w:rsidR="000D07E3" w:rsidRPr="00B1466D">
        <w:rPr>
          <w:rFonts w:ascii="Times New Roman" w:hAnsi="Times New Roman" w:cs="Times New Roman"/>
          <w:sz w:val="24"/>
          <w:szCs w:val="24"/>
        </w:rPr>
        <w:t>Company</w:t>
      </w:r>
      <w:r w:rsidR="005C6380" w:rsidRPr="00B1466D">
        <w:rPr>
          <w:rFonts w:ascii="Times New Roman" w:hAnsi="Times New Roman" w:cs="Times New Roman"/>
          <w:sz w:val="24"/>
          <w:szCs w:val="24"/>
        </w:rPr>
        <w:t xml:space="preserve"> alone (which had no employees no separate business and no operational life apart from the rest of the Group</w:t>
      </w:r>
      <w:r w:rsidR="00AA291B" w:rsidRPr="00B1466D">
        <w:rPr>
          <w:rFonts w:ascii="Times New Roman" w:hAnsi="Times New Roman" w:cs="Times New Roman"/>
          <w:sz w:val="24"/>
          <w:szCs w:val="24"/>
        </w:rPr>
        <w:t>) and</w:t>
      </w:r>
      <w:r w:rsidR="005C6380" w:rsidRPr="00B1466D">
        <w:rPr>
          <w:rFonts w:ascii="Times New Roman" w:hAnsi="Times New Roman" w:cs="Times New Roman"/>
          <w:sz w:val="24"/>
          <w:szCs w:val="24"/>
        </w:rPr>
        <w:t xml:space="preserve"> must therefore have been made by the </w:t>
      </w:r>
      <w:r w:rsidR="000D07E3" w:rsidRPr="00B1466D">
        <w:rPr>
          <w:rFonts w:ascii="Times New Roman" w:hAnsi="Times New Roman" w:cs="Times New Roman"/>
          <w:sz w:val="24"/>
          <w:szCs w:val="24"/>
        </w:rPr>
        <w:t>Company</w:t>
      </w:r>
      <w:r w:rsidR="005C6380" w:rsidRPr="00B1466D">
        <w:rPr>
          <w:rFonts w:ascii="Times New Roman" w:hAnsi="Times New Roman" w:cs="Times New Roman"/>
          <w:sz w:val="24"/>
          <w:szCs w:val="24"/>
        </w:rPr>
        <w:t xml:space="preserve"> in respect of the management services provided by JML (and its sub-delegees) across the Group.</w:t>
      </w:r>
    </w:p>
    <w:p w14:paraId="0261423E" w14:textId="77777777" w:rsidR="00B47233" w:rsidRDefault="00B47233" w:rsidP="00CA098E">
      <w:pPr>
        <w:pStyle w:val="ListParagraph"/>
        <w:spacing w:before="120" w:line="360" w:lineRule="auto"/>
        <w:ind w:left="0"/>
        <w:rPr>
          <w:rFonts w:ascii="Times New Roman" w:hAnsi="Times New Roman" w:cs="Times New Roman"/>
          <w:sz w:val="24"/>
          <w:szCs w:val="24"/>
        </w:rPr>
      </w:pPr>
    </w:p>
    <w:p w14:paraId="1F481003" w14:textId="14B7428E" w:rsidR="00B47233" w:rsidRPr="00B1466D" w:rsidRDefault="00512949" w:rsidP="00FF2CBE">
      <w:pPr>
        <w:pStyle w:val="ListParagraph"/>
        <w:numPr>
          <w:ilvl w:val="0"/>
          <w:numId w:val="12"/>
        </w:numPr>
        <w:spacing w:before="120" w:line="360" w:lineRule="auto"/>
        <w:jc w:val="both"/>
        <w:rPr>
          <w:rFonts w:ascii="Times New Roman" w:hAnsi="Times New Roman" w:cs="Times New Roman"/>
          <w:sz w:val="24"/>
          <w:szCs w:val="24"/>
        </w:rPr>
      </w:pPr>
      <w:r w:rsidRPr="00B1466D">
        <w:rPr>
          <w:rFonts w:ascii="Times New Roman" w:hAnsi="Times New Roman" w:cs="Times New Roman"/>
          <w:sz w:val="24"/>
          <w:szCs w:val="24"/>
        </w:rPr>
        <w:t>The Plaintiffs contend that</w:t>
      </w:r>
      <w:r w:rsidR="006240F0" w:rsidRPr="00B1466D">
        <w:rPr>
          <w:rFonts w:ascii="Times New Roman" w:hAnsi="Times New Roman" w:cs="Times New Roman"/>
          <w:sz w:val="24"/>
          <w:szCs w:val="24"/>
        </w:rPr>
        <w:t xml:space="preserve"> at the head of the Group, it is clear that the boards of the </w:t>
      </w:r>
      <w:r w:rsidR="00832C6E" w:rsidRPr="00B1466D">
        <w:rPr>
          <w:rFonts w:ascii="Times New Roman" w:hAnsi="Times New Roman" w:cs="Times New Roman"/>
          <w:sz w:val="24"/>
          <w:szCs w:val="24"/>
        </w:rPr>
        <w:t>Company</w:t>
      </w:r>
      <w:r w:rsidR="006240F0" w:rsidRPr="00B1466D">
        <w:rPr>
          <w:rFonts w:ascii="Times New Roman" w:hAnsi="Times New Roman" w:cs="Times New Roman"/>
          <w:sz w:val="24"/>
          <w:szCs w:val="24"/>
        </w:rPr>
        <w:t xml:space="preserve"> and </w:t>
      </w:r>
      <w:r w:rsidR="00832C6E" w:rsidRPr="00B1466D">
        <w:rPr>
          <w:rFonts w:ascii="Times New Roman" w:hAnsi="Times New Roman" w:cs="Times New Roman"/>
          <w:sz w:val="24"/>
          <w:szCs w:val="24"/>
        </w:rPr>
        <w:t>Jardine Matheson</w:t>
      </w:r>
      <w:r w:rsidR="006240F0" w:rsidRPr="00B1466D">
        <w:rPr>
          <w:rFonts w:ascii="Times New Roman" w:hAnsi="Times New Roman" w:cs="Times New Roman"/>
          <w:sz w:val="24"/>
          <w:szCs w:val="24"/>
        </w:rPr>
        <w:t xml:space="preserve"> operated in tandem. From December 2018</w:t>
      </w:r>
      <w:r w:rsidR="007442F7" w:rsidRPr="00B1466D">
        <w:rPr>
          <w:rFonts w:ascii="Times New Roman" w:hAnsi="Times New Roman" w:cs="Times New Roman"/>
          <w:sz w:val="24"/>
          <w:szCs w:val="24"/>
        </w:rPr>
        <w:t>,</w:t>
      </w:r>
      <w:r w:rsidR="007B4461" w:rsidRPr="00B1466D">
        <w:rPr>
          <w:rFonts w:ascii="Times New Roman" w:hAnsi="Times New Roman" w:cs="Times New Roman"/>
          <w:sz w:val="24"/>
          <w:szCs w:val="24"/>
        </w:rPr>
        <w:t xml:space="preserve"> the Plaintiffs contend,</w:t>
      </w:r>
      <w:r w:rsidR="006240F0" w:rsidRPr="00B1466D">
        <w:rPr>
          <w:rFonts w:ascii="Times New Roman" w:hAnsi="Times New Roman" w:cs="Times New Roman"/>
          <w:sz w:val="24"/>
          <w:szCs w:val="24"/>
        </w:rPr>
        <w:t xml:space="preserve"> it is apparent that the board members of the </w:t>
      </w:r>
      <w:r w:rsidR="00DB58D8" w:rsidRPr="00B1466D">
        <w:rPr>
          <w:rFonts w:ascii="Times New Roman" w:hAnsi="Times New Roman" w:cs="Times New Roman"/>
          <w:sz w:val="24"/>
          <w:szCs w:val="24"/>
        </w:rPr>
        <w:t>Company</w:t>
      </w:r>
      <w:r w:rsidR="006240F0" w:rsidRPr="00B1466D">
        <w:rPr>
          <w:rFonts w:ascii="Times New Roman" w:hAnsi="Times New Roman" w:cs="Times New Roman"/>
          <w:sz w:val="24"/>
          <w:szCs w:val="24"/>
        </w:rPr>
        <w:t xml:space="preserve"> attended the quarterly board meetings of </w:t>
      </w:r>
      <w:r w:rsidR="00A50314" w:rsidRPr="00B1466D">
        <w:rPr>
          <w:rFonts w:ascii="Times New Roman" w:hAnsi="Times New Roman" w:cs="Times New Roman"/>
          <w:sz w:val="24"/>
          <w:szCs w:val="24"/>
        </w:rPr>
        <w:t>Jardine Matheson</w:t>
      </w:r>
      <w:r w:rsidR="006240F0" w:rsidRPr="00B1466D">
        <w:rPr>
          <w:rFonts w:ascii="Times New Roman" w:hAnsi="Times New Roman" w:cs="Times New Roman"/>
          <w:sz w:val="24"/>
          <w:szCs w:val="24"/>
        </w:rPr>
        <w:t xml:space="preserve"> (with which there was in any event a considerable overlap in membership) and that detailed discussion of the Group’s affairs simply took place as part of the </w:t>
      </w:r>
      <w:r w:rsidR="00A50314" w:rsidRPr="00B1466D">
        <w:rPr>
          <w:rFonts w:ascii="Times New Roman" w:hAnsi="Times New Roman" w:cs="Times New Roman"/>
          <w:sz w:val="24"/>
          <w:szCs w:val="24"/>
        </w:rPr>
        <w:t>Jardine Matheson</w:t>
      </w:r>
      <w:r w:rsidR="006240F0" w:rsidRPr="00B1466D">
        <w:rPr>
          <w:rFonts w:ascii="Times New Roman" w:hAnsi="Times New Roman" w:cs="Times New Roman"/>
          <w:sz w:val="24"/>
          <w:szCs w:val="24"/>
        </w:rPr>
        <w:t xml:space="preserve"> board meeting. This included detailed consideration of the Principal Group Companies, which were treated as “</w:t>
      </w:r>
      <w:r w:rsidR="006240F0" w:rsidRPr="00B1466D">
        <w:rPr>
          <w:rFonts w:ascii="Times New Roman" w:hAnsi="Times New Roman" w:cs="Times New Roman"/>
          <w:i/>
          <w:iCs/>
          <w:sz w:val="24"/>
          <w:szCs w:val="24"/>
        </w:rPr>
        <w:t>major business units</w:t>
      </w:r>
      <w:r w:rsidR="006240F0" w:rsidRPr="00B1466D">
        <w:rPr>
          <w:rFonts w:ascii="Times New Roman" w:hAnsi="Times New Roman" w:cs="Times New Roman"/>
          <w:sz w:val="24"/>
          <w:szCs w:val="24"/>
        </w:rPr>
        <w:t xml:space="preserve">”, regardless of whether the interest in question was held under the </w:t>
      </w:r>
      <w:r w:rsidR="00A50314" w:rsidRPr="00B1466D">
        <w:rPr>
          <w:rFonts w:ascii="Times New Roman" w:hAnsi="Times New Roman" w:cs="Times New Roman"/>
          <w:sz w:val="24"/>
          <w:szCs w:val="24"/>
        </w:rPr>
        <w:t>Company</w:t>
      </w:r>
      <w:r w:rsidR="006240F0" w:rsidRPr="00B1466D">
        <w:rPr>
          <w:rFonts w:ascii="Times New Roman" w:hAnsi="Times New Roman" w:cs="Times New Roman"/>
          <w:sz w:val="24"/>
          <w:szCs w:val="24"/>
        </w:rPr>
        <w:t xml:space="preserve"> or </w:t>
      </w:r>
      <w:r w:rsidR="00A50314" w:rsidRPr="00B1466D">
        <w:rPr>
          <w:rFonts w:ascii="Times New Roman" w:hAnsi="Times New Roman" w:cs="Times New Roman"/>
          <w:sz w:val="24"/>
          <w:szCs w:val="24"/>
        </w:rPr>
        <w:t>Jardine Matheson</w:t>
      </w:r>
      <w:r w:rsidR="006240F0" w:rsidRPr="00B1466D">
        <w:rPr>
          <w:rFonts w:ascii="Times New Roman" w:hAnsi="Times New Roman" w:cs="Times New Roman"/>
          <w:sz w:val="24"/>
          <w:szCs w:val="24"/>
        </w:rPr>
        <w:t xml:space="preserve">. The </w:t>
      </w:r>
      <w:r w:rsidR="00EA3190" w:rsidRPr="00B1466D">
        <w:rPr>
          <w:rFonts w:ascii="Times New Roman" w:hAnsi="Times New Roman" w:cs="Times New Roman"/>
          <w:sz w:val="24"/>
          <w:szCs w:val="24"/>
        </w:rPr>
        <w:t>Company’s</w:t>
      </w:r>
      <w:r w:rsidR="006240F0" w:rsidRPr="00B1466D">
        <w:rPr>
          <w:rFonts w:ascii="Times New Roman" w:hAnsi="Times New Roman" w:cs="Times New Roman"/>
          <w:sz w:val="24"/>
          <w:szCs w:val="24"/>
        </w:rPr>
        <w:t xml:space="preserve"> board meetings were then held immediately afterwards in the same location.</w:t>
      </w:r>
    </w:p>
    <w:p w14:paraId="67534507" w14:textId="77777777" w:rsidR="00AA291B" w:rsidRDefault="00AA291B" w:rsidP="006240F0">
      <w:pPr>
        <w:spacing w:before="120" w:line="360" w:lineRule="auto"/>
        <w:rPr>
          <w:rFonts w:ascii="Times New Roman" w:hAnsi="Times New Roman" w:cs="Times New Roman"/>
          <w:sz w:val="24"/>
          <w:szCs w:val="24"/>
        </w:rPr>
      </w:pPr>
    </w:p>
    <w:p w14:paraId="1A3E5B7C" w14:textId="2A0411D7" w:rsidR="00AA291B" w:rsidRPr="00B1466D" w:rsidRDefault="00EE67CC" w:rsidP="00FF2CBE">
      <w:pPr>
        <w:pStyle w:val="ListParagraph"/>
        <w:numPr>
          <w:ilvl w:val="0"/>
          <w:numId w:val="12"/>
        </w:numPr>
        <w:spacing w:before="120" w:line="360" w:lineRule="auto"/>
        <w:jc w:val="both"/>
        <w:rPr>
          <w:rFonts w:ascii="Times New Roman" w:hAnsi="Times New Roman" w:cs="Times New Roman"/>
          <w:sz w:val="24"/>
          <w:szCs w:val="24"/>
        </w:rPr>
      </w:pPr>
      <w:r w:rsidRPr="00B1466D">
        <w:rPr>
          <w:rFonts w:ascii="Times New Roman" w:hAnsi="Times New Roman" w:cs="Times New Roman"/>
          <w:sz w:val="24"/>
          <w:szCs w:val="24"/>
        </w:rPr>
        <w:t>The</w:t>
      </w:r>
      <w:r w:rsidR="009238EC" w:rsidRPr="00B1466D">
        <w:rPr>
          <w:rFonts w:ascii="Times New Roman" w:hAnsi="Times New Roman" w:cs="Times New Roman"/>
          <w:sz w:val="24"/>
          <w:szCs w:val="24"/>
        </w:rPr>
        <w:t xml:space="preserve"> Court is satisfied</w:t>
      </w:r>
      <w:r w:rsidR="00EA4079" w:rsidRPr="00B1466D">
        <w:rPr>
          <w:rFonts w:ascii="Times New Roman" w:hAnsi="Times New Roman" w:cs="Times New Roman"/>
          <w:sz w:val="24"/>
          <w:szCs w:val="24"/>
        </w:rPr>
        <w:t xml:space="preserve"> that prior to the Amalgamation of the </w:t>
      </w:r>
      <w:r w:rsidR="00EA3190" w:rsidRPr="00B1466D">
        <w:rPr>
          <w:rFonts w:ascii="Times New Roman" w:hAnsi="Times New Roman" w:cs="Times New Roman"/>
          <w:sz w:val="24"/>
          <w:szCs w:val="24"/>
        </w:rPr>
        <w:t>Company</w:t>
      </w:r>
      <w:r w:rsidR="00407688" w:rsidRPr="00B1466D">
        <w:rPr>
          <w:rFonts w:ascii="Times New Roman" w:hAnsi="Times New Roman" w:cs="Times New Roman"/>
          <w:sz w:val="24"/>
          <w:szCs w:val="24"/>
        </w:rPr>
        <w:t xml:space="preserve">, the </w:t>
      </w:r>
      <w:r w:rsidR="00EA3190" w:rsidRPr="00B1466D">
        <w:rPr>
          <w:rFonts w:ascii="Times New Roman" w:hAnsi="Times New Roman" w:cs="Times New Roman"/>
          <w:sz w:val="24"/>
          <w:szCs w:val="24"/>
        </w:rPr>
        <w:t>Company</w:t>
      </w:r>
      <w:r w:rsidR="00407688" w:rsidRPr="00B1466D">
        <w:rPr>
          <w:rFonts w:ascii="Times New Roman" w:hAnsi="Times New Roman" w:cs="Times New Roman"/>
          <w:sz w:val="24"/>
          <w:szCs w:val="24"/>
        </w:rPr>
        <w:t xml:space="preserve"> was a subsidiary of Jardine Matheson and an intermediate holding </w:t>
      </w:r>
      <w:r w:rsidR="00EA3190" w:rsidRPr="00B1466D">
        <w:rPr>
          <w:rFonts w:ascii="Times New Roman" w:hAnsi="Times New Roman" w:cs="Times New Roman"/>
          <w:sz w:val="24"/>
          <w:szCs w:val="24"/>
        </w:rPr>
        <w:t>company</w:t>
      </w:r>
      <w:r w:rsidR="00407688" w:rsidRPr="00B1466D">
        <w:rPr>
          <w:rFonts w:ascii="Times New Roman" w:hAnsi="Times New Roman" w:cs="Times New Roman"/>
          <w:sz w:val="24"/>
          <w:szCs w:val="24"/>
        </w:rPr>
        <w:t xml:space="preserve"> within the Group. In this regard the Court</w:t>
      </w:r>
      <w:r w:rsidR="00514727" w:rsidRPr="00B1466D">
        <w:rPr>
          <w:rFonts w:ascii="Times New Roman" w:hAnsi="Times New Roman" w:cs="Times New Roman"/>
          <w:sz w:val="24"/>
          <w:szCs w:val="24"/>
        </w:rPr>
        <w:t xml:space="preserve"> accepts the evidence of Mr Parr that Jardine Matheson operated as a fully functioning stand-alone controlling parent </w:t>
      </w:r>
      <w:r w:rsidR="009029CE" w:rsidRPr="00B1466D">
        <w:rPr>
          <w:rFonts w:ascii="Times New Roman" w:hAnsi="Times New Roman" w:cs="Times New Roman"/>
          <w:sz w:val="24"/>
          <w:szCs w:val="24"/>
        </w:rPr>
        <w:t>company</w:t>
      </w:r>
      <w:r w:rsidR="00514727" w:rsidRPr="00B1466D">
        <w:rPr>
          <w:rFonts w:ascii="Times New Roman" w:hAnsi="Times New Roman" w:cs="Times New Roman"/>
          <w:sz w:val="24"/>
          <w:szCs w:val="24"/>
        </w:rPr>
        <w:t xml:space="preserve"> of </w:t>
      </w:r>
      <w:r w:rsidR="00366E9D" w:rsidRPr="00B1466D">
        <w:rPr>
          <w:rFonts w:ascii="Times New Roman" w:hAnsi="Times New Roman" w:cs="Times New Roman"/>
          <w:sz w:val="24"/>
          <w:szCs w:val="24"/>
        </w:rPr>
        <w:t xml:space="preserve">the </w:t>
      </w:r>
      <w:r w:rsidR="009029CE" w:rsidRPr="00B1466D">
        <w:rPr>
          <w:rFonts w:ascii="Times New Roman" w:hAnsi="Times New Roman" w:cs="Times New Roman"/>
          <w:sz w:val="24"/>
          <w:szCs w:val="24"/>
        </w:rPr>
        <w:t>Company</w:t>
      </w:r>
      <w:r w:rsidR="005C16D5" w:rsidRPr="00B1466D">
        <w:rPr>
          <w:rFonts w:ascii="Times New Roman" w:hAnsi="Times New Roman" w:cs="Times New Roman"/>
          <w:sz w:val="24"/>
          <w:szCs w:val="24"/>
        </w:rPr>
        <w:t xml:space="preserve"> and was at all relevant times and remains the principal holding </w:t>
      </w:r>
      <w:r w:rsidR="009029CE" w:rsidRPr="00B1466D">
        <w:rPr>
          <w:rFonts w:ascii="Times New Roman" w:hAnsi="Times New Roman" w:cs="Times New Roman"/>
          <w:sz w:val="24"/>
          <w:szCs w:val="24"/>
        </w:rPr>
        <w:t>company</w:t>
      </w:r>
      <w:r w:rsidR="005C16D5" w:rsidRPr="00B1466D">
        <w:rPr>
          <w:rFonts w:ascii="Times New Roman" w:hAnsi="Times New Roman" w:cs="Times New Roman"/>
          <w:sz w:val="24"/>
          <w:szCs w:val="24"/>
        </w:rPr>
        <w:t xml:space="preserve"> for the Group. In this regard the Court notes</w:t>
      </w:r>
      <w:r w:rsidR="00E13DB5" w:rsidRPr="00B1466D">
        <w:rPr>
          <w:rFonts w:ascii="Times New Roman" w:hAnsi="Times New Roman" w:cs="Times New Roman"/>
          <w:sz w:val="24"/>
          <w:szCs w:val="24"/>
        </w:rPr>
        <w:t xml:space="preserve"> that the subordination of the </w:t>
      </w:r>
      <w:r w:rsidR="00B939D4" w:rsidRPr="00B1466D">
        <w:rPr>
          <w:rFonts w:ascii="Times New Roman" w:hAnsi="Times New Roman" w:cs="Times New Roman"/>
          <w:sz w:val="24"/>
          <w:szCs w:val="24"/>
        </w:rPr>
        <w:t>Company</w:t>
      </w:r>
      <w:r w:rsidR="00E13DB5" w:rsidRPr="00B1466D">
        <w:rPr>
          <w:rFonts w:ascii="Times New Roman" w:hAnsi="Times New Roman" w:cs="Times New Roman"/>
          <w:sz w:val="24"/>
          <w:szCs w:val="24"/>
        </w:rPr>
        <w:t xml:space="preserve"> to Jardine Matheson reflects the history of the group. Jardine Matheson was formed in 1984 as the Group’s main holding </w:t>
      </w:r>
      <w:r w:rsidR="00B939D4" w:rsidRPr="00B1466D">
        <w:rPr>
          <w:rFonts w:ascii="Times New Roman" w:hAnsi="Times New Roman" w:cs="Times New Roman"/>
          <w:sz w:val="24"/>
          <w:szCs w:val="24"/>
        </w:rPr>
        <w:t>company</w:t>
      </w:r>
      <w:r w:rsidR="00E13DB5" w:rsidRPr="00B1466D">
        <w:rPr>
          <w:rFonts w:ascii="Times New Roman" w:hAnsi="Times New Roman" w:cs="Times New Roman"/>
          <w:sz w:val="24"/>
          <w:szCs w:val="24"/>
        </w:rPr>
        <w:t>.</w:t>
      </w:r>
      <w:r w:rsidR="00FC26D7" w:rsidRPr="00B1466D">
        <w:rPr>
          <w:rFonts w:ascii="Times New Roman" w:hAnsi="Times New Roman" w:cs="Times New Roman"/>
          <w:sz w:val="24"/>
          <w:szCs w:val="24"/>
        </w:rPr>
        <w:t xml:space="preserve"> The </w:t>
      </w:r>
      <w:r w:rsidR="00B939D4" w:rsidRPr="00B1466D">
        <w:rPr>
          <w:rFonts w:ascii="Times New Roman" w:hAnsi="Times New Roman" w:cs="Times New Roman"/>
          <w:sz w:val="24"/>
          <w:szCs w:val="24"/>
        </w:rPr>
        <w:t>Company</w:t>
      </w:r>
      <w:r w:rsidR="00FC26D7" w:rsidRPr="00B1466D">
        <w:rPr>
          <w:rFonts w:ascii="Times New Roman" w:hAnsi="Times New Roman" w:cs="Times New Roman"/>
          <w:sz w:val="24"/>
          <w:szCs w:val="24"/>
        </w:rPr>
        <w:t xml:space="preserve"> was formed subsequently in 1986 as part of the initiative to restructure some of the Group’s shareholding.</w:t>
      </w:r>
    </w:p>
    <w:p w14:paraId="1E7CDFF2" w14:textId="77777777" w:rsidR="00D563B0" w:rsidRDefault="00D563B0" w:rsidP="006240F0">
      <w:pPr>
        <w:spacing w:before="120" w:line="360" w:lineRule="auto"/>
        <w:rPr>
          <w:rFonts w:ascii="Times New Roman" w:hAnsi="Times New Roman" w:cs="Times New Roman"/>
          <w:sz w:val="24"/>
          <w:szCs w:val="24"/>
        </w:rPr>
      </w:pPr>
    </w:p>
    <w:p w14:paraId="434BD3D8" w14:textId="31334E61" w:rsidR="00D563B0" w:rsidRPr="00B1466D" w:rsidRDefault="00E65E84" w:rsidP="00FF2CBE">
      <w:pPr>
        <w:pStyle w:val="ListParagraph"/>
        <w:numPr>
          <w:ilvl w:val="0"/>
          <w:numId w:val="12"/>
        </w:numPr>
        <w:spacing w:before="120" w:line="360" w:lineRule="auto"/>
        <w:jc w:val="both"/>
        <w:rPr>
          <w:rFonts w:ascii="Times New Roman" w:hAnsi="Times New Roman" w:cs="Times New Roman"/>
          <w:sz w:val="24"/>
          <w:szCs w:val="24"/>
        </w:rPr>
      </w:pPr>
      <w:r w:rsidRPr="00B1466D">
        <w:rPr>
          <w:rFonts w:ascii="Times New Roman" w:hAnsi="Times New Roman" w:cs="Times New Roman"/>
          <w:sz w:val="24"/>
          <w:szCs w:val="24"/>
        </w:rPr>
        <w:t xml:space="preserve">As Mr Parr explains, </w:t>
      </w:r>
      <w:r w:rsidR="00472EA2" w:rsidRPr="00B1466D">
        <w:rPr>
          <w:rFonts w:ascii="Times New Roman" w:hAnsi="Times New Roman" w:cs="Times New Roman"/>
          <w:sz w:val="24"/>
          <w:szCs w:val="24"/>
        </w:rPr>
        <w:t xml:space="preserve">the </w:t>
      </w:r>
      <w:r w:rsidR="00B939D4" w:rsidRPr="00B1466D">
        <w:rPr>
          <w:rFonts w:ascii="Times New Roman" w:hAnsi="Times New Roman" w:cs="Times New Roman"/>
          <w:sz w:val="24"/>
          <w:szCs w:val="24"/>
        </w:rPr>
        <w:t>Company</w:t>
      </w:r>
      <w:r w:rsidR="00D67E5B" w:rsidRPr="00B1466D">
        <w:rPr>
          <w:rFonts w:ascii="Times New Roman" w:hAnsi="Times New Roman" w:cs="Times New Roman"/>
          <w:sz w:val="24"/>
          <w:szCs w:val="24"/>
        </w:rPr>
        <w:t>’s</w:t>
      </w:r>
      <w:r w:rsidR="0042352B" w:rsidRPr="00B1466D">
        <w:rPr>
          <w:rFonts w:ascii="Times New Roman" w:hAnsi="Times New Roman" w:cs="Times New Roman"/>
          <w:sz w:val="24"/>
          <w:szCs w:val="24"/>
        </w:rPr>
        <w:t xml:space="preserve"> subordination to Jardine Matheson can also be seen from the fact that: (i) the memorandum of association of </w:t>
      </w:r>
      <w:r w:rsidR="00472EA2" w:rsidRPr="00B1466D">
        <w:rPr>
          <w:rFonts w:ascii="Times New Roman" w:hAnsi="Times New Roman" w:cs="Times New Roman"/>
          <w:sz w:val="24"/>
          <w:szCs w:val="24"/>
        </w:rPr>
        <w:t xml:space="preserve">the </w:t>
      </w:r>
      <w:r w:rsidR="00D67E5B" w:rsidRPr="00B1466D">
        <w:rPr>
          <w:rFonts w:ascii="Times New Roman" w:hAnsi="Times New Roman" w:cs="Times New Roman"/>
          <w:sz w:val="24"/>
          <w:szCs w:val="24"/>
        </w:rPr>
        <w:t>Company</w:t>
      </w:r>
      <w:r w:rsidR="0042352B" w:rsidRPr="00B1466D">
        <w:rPr>
          <w:rFonts w:ascii="Times New Roman" w:hAnsi="Times New Roman" w:cs="Times New Roman"/>
          <w:sz w:val="24"/>
          <w:szCs w:val="24"/>
        </w:rPr>
        <w:t xml:space="preserve"> provided for the Chairman of Jardine Matheson to be, or to appoint, the permanent and managing director of </w:t>
      </w:r>
      <w:r w:rsidR="00EF2884" w:rsidRPr="00B1466D">
        <w:rPr>
          <w:rFonts w:ascii="Times New Roman" w:hAnsi="Times New Roman" w:cs="Times New Roman"/>
          <w:sz w:val="24"/>
          <w:szCs w:val="24"/>
        </w:rPr>
        <w:t xml:space="preserve">the </w:t>
      </w:r>
      <w:r w:rsidR="00D67E5B" w:rsidRPr="00B1466D">
        <w:rPr>
          <w:rFonts w:ascii="Times New Roman" w:hAnsi="Times New Roman" w:cs="Times New Roman"/>
          <w:sz w:val="24"/>
          <w:szCs w:val="24"/>
        </w:rPr>
        <w:t>Company</w:t>
      </w:r>
      <w:r w:rsidR="0042352B" w:rsidRPr="00B1466D">
        <w:rPr>
          <w:rFonts w:ascii="Times New Roman" w:hAnsi="Times New Roman" w:cs="Times New Roman"/>
          <w:sz w:val="24"/>
          <w:szCs w:val="24"/>
        </w:rPr>
        <w:t xml:space="preserve">; and (ii) the bye-laws of </w:t>
      </w:r>
      <w:r w:rsidR="00625746" w:rsidRPr="00B1466D">
        <w:rPr>
          <w:rFonts w:ascii="Times New Roman" w:hAnsi="Times New Roman" w:cs="Times New Roman"/>
          <w:sz w:val="24"/>
          <w:szCs w:val="24"/>
        </w:rPr>
        <w:t>Company</w:t>
      </w:r>
      <w:r w:rsidR="0042352B" w:rsidRPr="00B1466D">
        <w:rPr>
          <w:rFonts w:ascii="Times New Roman" w:hAnsi="Times New Roman" w:cs="Times New Roman"/>
          <w:sz w:val="24"/>
          <w:szCs w:val="24"/>
        </w:rPr>
        <w:t xml:space="preserve"> provided for Jardine </w:t>
      </w:r>
      <w:r w:rsidR="00EF2884" w:rsidRPr="00B1466D">
        <w:rPr>
          <w:rFonts w:ascii="Times New Roman" w:hAnsi="Times New Roman" w:cs="Times New Roman"/>
          <w:sz w:val="24"/>
          <w:szCs w:val="24"/>
        </w:rPr>
        <w:t xml:space="preserve">Matheson </w:t>
      </w:r>
      <w:r w:rsidR="006452B9" w:rsidRPr="00B1466D">
        <w:rPr>
          <w:rFonts w:ascii="Times New Roman" w:hAnsi="Times New Roman" w:cs="Times New Roman"/>
          <w:sz w:val="24"/>
          <w:szCs w:val="24"/>
        </w:rPr>
        <w:t>or its</w:t>
      </w:r>
      <w:r w:rsidR="0042352B" w:rsidRPr="00B1466D">
        <w:rPr>
          <w:rFonts w:ascii="Times New Roman" w:hAnsi="Times New Roman" w:cs="Times New Roman"/>
          <w:sz w:val="24"/>
          <w:szCs w:val="24"/>
        </w:rPr>
        <w:t xml:space="preserve"> wholly-owned subsidiary as </w:t>
      </w:r>
      <w:r w:rsidR="006452B9" w:rsidRPr="00B1466D">
        <w:rPr>
          <w:rFonts w:ascii="Times New Roman" w:hAnsi="Times New Roman" w:cs="Times New Roman"/>
          <w:sz w:val="24"/>
          <w:szCs w:val="24"/>
        </w:rPr>
        <w:t>i</w:t>
      </w:r>
      <w:r w:rsidR="0042352B" w:rsidRPr="00B1466D">
        <w:rPr>
          <w:rFonts w:ascii="Times New Roman" w:hAnsi="Times New Roman" w:cs="Times New Roman"/>
          <w:sz w:val="24"/>
          <w:szCs w:val="24"/>
        </w:rPr>
        <w:t xml:space="preserve">t should nominate, to be the general manager of </w:t>
      </w:r>
      <w:r w:rsidR="006452B9" w:rsidRPr="00B1466D">
        <w:rPr>
          <w:rFonts w:ascii="Times New Roman" w:hAnsi="Times New Roman" w:cs="Times New Roman"/>
          <w:sz w:val="24"/>
          <w:szCs w:val="24"/>
        </w:rPr>
        <w:t xml:space="preserve">the </w:t>
      </w:r>
      <w:r w:rsidR="00625746" w:rsidRPr="00B1466D">
        <w:rPr>
          <w:rFonts w:ascii="Times New Roman" w:hAnsi="Times New Roman" w:cs="Times New Roman"/>
          <w:sz w:val="24"/>
          <w:szCs w:val="24"/>
        </w:rPr>
        <w:t>Company</w:t>
      </w:r>
      <w:r w:rsidR="0042352B" w:rsidRPr="00B1466D">
        <w:rPr>
          <w:rFonts w:ascii="Times New Roman" w:hAnsi="Times New Roman" w:cs="Times New Roman"/>
          <w:sz w:val="24"/>
          <w:szCs w:val="24"/>
        </w:rPr>
        <w:t xml:space="preserve">. In addition, the bye-laws of </w:t>
      </w:r>
      <w:r w:rsidR="00FF76B9" w:rsidRPr="00B1466D">
        <w:rPr>
          <w:rFonts w:ascii="Times New Roman" w:hAnsi="Times New Roman" w:cs="Times New Roman"/>
          <w:sz w:val="24"/>
          <w:szCs w:val="24"/>
        </w:rPr>
        <w:t xml:space="preserve">the </w:t>
      </w:r>
      <w:r w:rsidR="008D03D0" w:rsidRPr="00B1466D">
        <w:rPr>
          <w:rFonts w:ascii="Times New Roman" w:hAnsi="Times New Roman" w:cs="Times New Roman"/>
          <w:sz w:val="24"/>
          <w:szCs w:val="24"/>
        </w:rPr>
        <w:t>Company</w:t>
      </w:r>
      <w:r w:rsidR="0042352B" w:rsidRPr="00B1466D">
        <w:rPr>
          <w:rFonts w:ascii="Times New Roman" w:hAnsi="Times New Roman" w:cs="Times New Roman"/>
          <w:sz w:val="24"/>
          <w:szCs w:val="24"/>
        </w:rPr>
        <w:t xml:space="preserve"> provided for the Chairman of Jardine Matheson to be the Chairman of </w:t>
      </w:r>
      <w:r w:rsidR="00FF76B9" w:rsidRPr="00B1466D">
        <w:rPr>
          <w:rFonts w:ascii="Times New Roman" w:hAnsi="Times New Roman" w:cs="Times New Roman"/>
          <w:sz w:val="24"/>
          <w:szCs w:val="24"/>
        </w:rPr>
        <w:t xml:space="preserve">the </w:t>
      </w:r>
      <w:r w:rsidR="008D03D0" w:rsidRPr="00B1466D">
        <w:rPr>
          <w:rFonts w:ascii="Times New Roman" w:hAnsi="Times New Roman" w:cs="Times New Roman"/>
          <w:sz w:val="24"/>
          <w:szCs w:val="24"/>
        </w:rPr>
        <w:t>Company</w:t>
      </w:r>
      <w:r w:rsidR="0042352B" w:rsidRPr="00B1466D">
        <w:rPr>
          <w:rFonts w:ascii="Times New Roman" w:hAnsi="Times New Roman" w:cs="Times New Roman"/>
          <w:sz w:val="24"/>
          <w:szCs w:val="24"/>
        </w:rPr>
        <w:t>.</w:t>
      </w:r>
    </w:p>
    <w:p w14:paraId="50B0EFC6" w14:textId="77777777" w:rsidR="006E38DC" w:rsidRDefault="006E38DC" w:rsidP="0042352B">
      <w:pPr>
        <w:spacing w:before="120" w:line="360" w:lineRule="auto"/>
        <w:rPr>
          <w:rFonts w:ascii="Times New Roman" w:hAnsi="Times New Roman" w:cs="Times New Roman"/>
          <w:sz w:val="24"/>
          <w:szCs w:val="24"/>
        </w:rPr>
      </w:pPr>
    </w:p>
    <w:p w14:paraId="163D894B" w14:textId="20C1DB17" w:rsidR="006E38DC" w:rsidRPr="00B1466D" w:rsidRDefault="007C2844" w:rsidP="00FF2CBE">
      <w:pPr>
        <w:pStyle w:val="ListParagraph"/>
        <w:numPr>
          <w:ilvl w:val="0"/>
          <w:numId w:val="12"/>
        </w:numPr>
        <w:spacing w:before="120" w:line="360" w:lineRule="auto"/>
        <w:jc w:val="both"/>
        <w:rPr>
          <w:rFonts w:ascii="Times New Roman" w:hAnsi="Times New Roman" w:cs="Times New Roman"/>
          <w:sz w:val="24"/>
          <w:szCs w:val="24"/>
        </w:rPr>
      </w:pPr>
      <w:r w:rsidRPr="00B1466D">
        <w:rPr>
          <w:rFonts w:ascii="Times New Roman" w:hAnsi="Times New Roman" w:cs="Times New Roman"/>
          <w:sz w:val="24"/>
          <w:szCs w:val="24"/>
        </w:rPr>
        <w:t xml:space="preserve">The Court accepts Mr Parr’s evidence that Jardine Matheson and the </w:t>
      </w:r>
      <w:r w:rsidR="008D03D0" w:rsidRPr="00B1466D">
        <w:rPr>
          <w:rFonts w:ascii="Times New Roman" w:hAnsi="Times New Roman" w:cs="Times New Roman"/>
          <w:sz w:val="24"/>
          <w:szCs w:val="24"/>
        </w:rPr>
        <w:t>Company</w:t>
      </w:r>
      <w:r w:rsidRPr="00B1466D">
        <w:rPr>
          <w:rFonts w:ascii="Times New Roman" w:hAnsi="Times New Roman" w:cs="Times New Roman"/>
          <w:sz w:val="24"/>
          <w:szCs w:val="24"/>
        </w:rPr>
        <w:t xml:space="preserve"> did not operate in tandem.</w:t>
      </w:r>
      <w:r w:rsidR="00AA4610" w:rsidRPr="00B1466D">
        <w:rPr>
          <w:rFonts w:ascii="Times New Roman" w:hAnsi="Times New Roman" w:cs="Times New Roman"/>
          <w:sz w:val="24"/>
          <w:szCs w:val="24"/>
        </w:rPr>
        <w:t xml:space="preserve"> The two companies have always operated separately and held separate board meetings with separate and different board packs. The only exception to the strict separation is the Audit Committee, which was a joint committee of the two companies.</w:t>
      </w:r>
      <w:r w:rsidR="00753EA2" w:rsidRPr="00B1466D">
        <w:rPr>
          <w:rFonts w:ascii="Times New Roman" w:hAnsi="Times New Roman" w:cs="Times New Roman"/>
          <w:sz w:val="24"/>
          <w:szCs w:val="24"/>
        </w:rPr>
        <w:t xml:space="preserve"> It is the evidence of Mr Parr, which the Court accepts, that for reasons of efficiency, from December 2018 onwards, directors of the </w:t>
      </w:r>
      <w:r w:rsidR="00BB4549" w:rsidRPr="00B1466D">
        <w:rPr>
          <w:rFonts w:ascii="Times New Roman" w:hAnsi="Times New Roman" w:cs="Times New Roman"/>
          <w:sz w:val="24"/>
          <w:szCs w:val="24"/>
        </w:rPr>
        <w:t>Company</w:t>
      </w:r>
      <w:r w:rsidR="002D0D28" w:rsidRPr="00B1466D">
        <w:rPr>
          <w:rFonts w:ascii="Times New Roman" w:hAnsi="Times New Roman" w:cs="Times New Roman"/>
          <w:sz w:val="24"/>
          <w:szCs w:val="24"/>
        </w:rPr>
        <w:t xml:space="preserve"> who are not also directors of Jardine Matheson were invited to attend Jardine Matheson board meetings as observers in order to avoid duplication of certain content and to achieve greater efficiency. </w:t>
      </w:r>
      <w:r w:rsidR="00D12716" w:rsidRPr="00B1466D">
        <w:rPr>
          <w:rFonts w:ascii="Times New Roman" w:hAnsi="Times New Roman" w:cs="Times New Roman"/>
          <w:sz w:val="24"/>
          <w:szCs w:val="24"/>
        </w:rPr>
        <w:t>Separate board meetings continued to be held.</w:t>
      </w:r>
    </w:p>
    <w:p w14:paraId="27E52740" w14:textId="77777777" w:rsidR="001573DA" w:rsidRDefault="001573DA" w:rsidP="0042352B">
      <w:pPr>
        <w:spacing w:before="120" w:line="360" w:lineRule="auto"/>
        <w:rPr>
          <w:rFonts w:ascii="Times New Roman" w:hAnsi="Times New Roman" w:cs="Times New Roman"/>
          <w:sz w:val="24"/>
          <w:szCs w:val="24"/>
        </w:rPr>
      </w:pPr>
    </w:p>
    <w:p w14:paraId="5F74DE62" w14:textId="17F165B8" w:rsidR="001573DA" w:rsidRPr="00B1466D" w:rsidRDefault="0022323B" w:rsidP="00FF2CBE">
      <w:pPr>
        <w:pStyle w:val="ListParagraph"/>
        <w:numPr>
          <w:ilvl w:val="0"/>
          <w:numId w:val="12"/>
        </w:numPr>
        <w:spacing w:before="120" w:line="360" w:lineRule="auto"/>
        <w:jc w:val="both"/>
        <w:rPr>
          <w:rFonts w:ascii="Times New Roman" w:hAnsi="Times New Roman" w:cs="Times New Roman"/>
          <w:sz w:val="24"/>
          <w:szCs w:val="24"/>
        </w:rPr>
      </w:pPr>
      <w:r w:rsidRPr="00B1466D">
        <w:rPr>
          <w:rFonts w:ascii="Times New Roman" w:hAnsi="Times New Roman" w:cs="Times New Roman"/>
          <w:sz w:val="24"/>
          <w:szCs w:val="24"/>
        </w:rPr>
        <w:t xml:space="preserve">In relation to the issue of fees the position is that under the General Manager Agreement dated 17 August 1995, the </w:t>
      </w:r>
      <w:r w:rsidR="000F22CF" w:rsidRPr="00B1466D">
        <w:rPr>
          <w:rFonts w:ascii="Times New Roman" w:hAnsi="Times New Roman" w:cs="Times New Roman"/>
          <w:sz w:val="24"/>
          <w:szCs w:val="24"/>
        </w:rPr>
        <w:t>Company</w:t>
      </w:r>
      <w:r w:rsidRPr="00B1466D">
        <w:rPr>
          <w:rFonts w:ascii="Times New Roman" w:hAnsi="Times New Roman" w:cs="Times New Roman"/>
          <w:sz w:val="24"/>
          <w:szCs w:val="24"/>
        </w:rPr>
        <w:t xml:space="preserve"> agreed to pay</w:t>
      </w:r>
      <w:r w:rsidR="00FF2E8B" w:rsidRPr="00B1466D">
        <w:rPr>
          <w:rFonts w:ascii="Times New Roman" w:hAnsi="Times New Roman" w:cs="Times New Roman"/>
          <w:sz w:val="24"/>
          <w:szCs w:val="24"/>
        </w:rPr>
        <w:t xml:space="preserve"> a fee to JML</w:t>
      </w:r>
      <w:r w:rsidR="002D5EA9" w:rsidRPr="00B1466D">
        <w:rPr>
          <w:rFonts w:ascii="Times New Roman" w:hAnsi="Times New Roman" w:cs="Times New Roman"/>
          <w:sz w:val="24"/>
          <w:szCs w:val="24"/>
        </w:rPr>
        <w:t xml:space="preserve"> equal to 0.0625% of the consolidated net asset value of the </w:t>
      </w:r>
      <w:r w:rsidR="000F22CF" w:rsidRPr="00B1466D">
        <w:rPr>
          <w:rFonts w:ascii="Times New Roman" w:hAnsi="Times New Roman" w:cs="Times New Roman"/>
          <w:sz w:val="24"/>
          <w:szCs w:val="24"/>
        </w:rPr>
        <w:t>Company</w:t>
      </w:r>
      <w:r w:rsidR="002D5EA9" w:rsidRPr="00B1466D">
        <w:rPr>
          <w:rFonts w:ascii="Times New Roman" w:hAnsi="Times New Roman" w:cs="Times New Roman"/>
          <w:sz w:val="24"/>
          <w:szCs w:val="24"/>
        </w:rPr>
        <w:t>.</w:t>
      </w:r>
      <w:r w:rsidR="008A663F" w:rsidRPr="00B1466D">
        <w:rPr>
          <w:rFonts w:ascii="Times New Roman" w:hAnsi="Times New Roman" w:cs="Times New Roman"/>
          <w:sz w:val="24"/>
          <w:szCs w:val="24"/>
        </w:rPr>
        <w:t xml:space="preserve"> The Court has no evidence as to</w:t>
      </w:r>
      <w:r w:rsidR="00632C30" w:rsidRPr="00B1466D">
        <w:rPr>
          <w:rFonts w:ascii="Times New Roman" w:hAnsi="Times New Roman" w:cs="Times New Roman"/>
          <w:sz w:val="24"/>
          <w:szCs w:val="24"/>
        </w:rPr>
        <w:t xml:space="preserve"> the amount of the fee which was payable by the </w:t>
      </w:r>
      <w:r w:rsidR="000F22CF" w:rsidRPr="00B1466D">
        <w:rPr>
          <w:rFonts w:ascii="Times New Roman" w:hAnsi="Times New Roman" w:cs="Times New Roman"/>
          <w:sz w:val="24"/>
          <w:szCs w:val="24"/>
        </w:rPr>
        <w:t>Company</w:t>
      </w:r>
      <w:r w:rsidR="00632C30" w:rsidRPr="00B1466D">
        <w:rPr>
          <w:rFonts w:ascii="Times New Roman" w:hAnsi="Times New Roman" w:cs="Times New Roman"/>
          <w:sz w:val="24"/>
          <w:szCs w:val="24"/>
        </w:rPr>
        <w:t xml:space="preserve"> to </w:t>
      </w:r>
      <w:r w:rsidR="00550F51" w:rsidRPr="00B1466D">
        <w:rPr>
          <w:rFonts w:ascii="Times New Roman" w:hAnsi="Times New Roman" w:cs="Times New Roman"/>
          <w:sz w:val="24"/>
          <w:szCs w:val="24"/>
        </w:rPr>
        <w:t>J</w:t>
      </w:r>
      <w:r w:rsidR="00632C30" w:rsidRPr="00B1466D">
        <w:rPr>
          <w:rFonts w:ascii="Times New Roman" w:hAnsi="Times New Roman" w:cs="Times New Roman"/>
          <w:sz w:val="24"/>
          <w:szCs w:val="24"/>
        </w:rPr>
        <w:t>ML in 1995. It appears that the agreed position</w:t>
      </w:r>
      <w:r w:rsidR="00AD6549" w:rsidRPr="00B1466D">
        <w:rPr>
          <w:rFonts w:ascii="Times New Roman" w:hAnsi="Times New Roman" w:cs="Times New Roman"/>
          <w:sz w:val="24"/>
          <w:szCs w:val="24"/>
        </w:rPr>
        <w:t xml:space="preserve"> in 1995</w:t>
      </w:r>
      <w:r w:rsidR="00632C30" w:rsidRPr="00B1466D">
        <w:rPr>
          <w:rFonts w:ascii="Times New Roman" w:hAnsi="Times New Roman" w:cs="Times New Roman"/>
          <w:sz w:val="24"/>
          <w:szCs w:val="24"/>
        </w:rPr>
        <w:t>, as set out in clause 5.1 of the Agreement</w:t>
      </w:r>
      <w:r w:rsidR="00174F78" w:rsidRPr="00B1466D">
        <w:rPr>
          <w:rFonts w:ascii="Times New Roman" w:hAnsi="Times New Roman" w:cs="Times New Roman"/>
          <w:sz w:val="24"/>
          <w:szCs w:val="24"/>
        </w:rPr>
        <w:t>, has not been revised</w:t>
      </w:r>
      <w:r w:rsidR="00AD6549" w:rsidRPr="00B1466D">
        <w:rPr>
          <w:rFonts w:ascii="Times New Roman" w:hAnsi="Times New Roman" w:cs="Times New Roman"/>
          <w:sz w:val="24"/>
          <w:szCs w:val="24"/>
        </w:rPr>
        <w:t xml:space="preserve"> during the intervening period. However, the Court is satisfied that this fee</w:t>
      </w:r>
      <w:r w:rsidR="0021280A" w:rsidRPr="00B1466D">
        <w:rPr>
          <w:rFonts w:ascii="Times New Roman" w:hAnsi="Times New Roman" w:cs="Times New Roman"/>
          <w:sz w:val="24"/>
          <w:szCs w:val="24"/>
        </w:rPr>
        <w:t xml:space="preserve"> was payable for the services which JML</w:t>
      </w:r>
      <w:r w:rsidR="00E34D33" w:rsidRPr="00B1466D">
        <w:rPr>
          <w:rFonts w:ascii="Times New Roman" w:hAnsi="Times New Roman" w:cs="Times New Roman"/>
          <w:sz w:val="24"/>
          <w:szCs w:val="24"/>
        </w:rPr>
        <w:t xml:space="preserve"> render</w:t>
      </w:r>
      <w:r w:rsidR="007B6268" w:rsidRPr="00B1466D">
        <w:rPr>
          <w:rFonts w:ascii="Times New Roman" w:hAnsi="Times New Roman" w:cs="Times New Roman"/>
          <w:sz w:val="24"/>
          <w:szCs w:val="24"/>
        </w:rPr>
        <w:t>ed</w:t>
      </w:r>
      <w:r w:rsidR="00E34D33" w:rsidRPr="00B1466D">
        <w:rPr>
          <w:rFonts w:ascii="Times New Roman" w:hAnsi="Times New Roman" w:cs="Times New Roman"/>
          <w:sz w:val="24"/>
          <w:szCs w:val="24"/>
        </w:rPr>
        <w:t xml:space="preserve"> directly to the </w:t>
      </w:r>
      <w:r w:rsidR="00550F51" w:rsidRPr="00B1466D">
        <w:rPr>
          <w:rFonts w:ascii="Times New Roman" w:hAnsi="Times New Roman" w:cs="Times New Roman"/>
          <w:sz w:val="24"/>
          <w:szCs w:val="24"/>
        </w:rPr>
        <w:t>Company</w:t>
      </w:r>
      <w:r w:rsidR="00E34D33" w:rsidRPr="00B1466D">
        <w:rPr>
          <w:rFonts w:ascii="Times New Roman" w:hAnsi="Times New Roman" w:cs="Times New Roman"/>
          <w:sz w:val="24"/>
          <w:szCs w:val="24"/>
        </w:rPr>
        <w:t>. This is the evidence of Mr Parr which is supported by</w:t>
      </w:r>
      <w:r w:rsidR="00840578" w:rsidRPr="00B1466D">
        <w:rPr>
          <w:rFonts w:ascii="Times New Roman" w:hAnsi="Times New Roman" w:cs="Times New Roman"/>
          <w:sz w:val="24"/>
          <w:szCs w:val="24"/>
        </w:rPr>
        <w:t xml:space="preserve">, for example, page 99 of the 2019 Annual Report for the </w:t>
      </w:r>
      <w:r w:rsidR="00550F51" w:rsidRPr="00B1466D">
        <w:rPr>
          <w:rFonts w:ascii="Times New Roman" w:hAnsi="Times New Roman" w:cs="Times New Roman"/>
          <w:sz w:val="24"/>
          <w:szCs w:val="24"/>
        </w:rPr>
        <w:t>Company</w:t>
      </w:r>
      <w:r w:rsidR="00840578" w:rsidRPr="00B1466D">
        <w:rPr>
          <w:rFonts w:ascii="Times New Roman" w:hAnsi="Times New Roman" w:cs="Times New Roman"/>
          <w:sz w:val="24"/>
          <w:szCs w:val="24"/>
        </w:rPr>
        <w:t xml:space="preserve"> which notes that the fees paid by the </w:t>
      </w:r>
      <w:r w:rsidR="00730CFD" w:rsidRPr="00B1466D">
        <w:rPr>
          <w:rFonts w:ascii="Times New Roman" w:hAnsi="Times New Roman" w:cs="Times New Roman"/>
          <w:sz w:val="24"/>
          <w:szCs w:val="24"/>
        </w:rPr>
        <w:t>Company</w:t>
      </w:r>
      <w:r w:rsidR="00840578" w:rsidRPr="00B1466D">
        <w:rPr>
          <w:rFonts w:ascii="Times New Roman" w:hAnsi="Times New Roman" w:cs="Times New Roman"/>
          <w:sz w:val="24"/>
          <w:szCs w:val="24"/>
        </w:rPr>
        <w:t xml:space="preserve"> to JML of services provided to the </w:t>
      </w:r>
      <w:r w:rsidR="00730CFD" w:rsidRPr="00B1466D">
        <w:rPr>
          <w:rFonts w:ascii="Times New Roman" w:hAnsi="Times New Roman" w:cs="Times New Roman"/>
          <w:sz w:val="24"/>
          <w:szCs w:val="24"/>
        </w:rPr>
        <w:t>Company</w:t>
      </w:r>
      <w:r w:rsidR="007A5519" w:rsidRPr="00B1466D">
        <w:rPr>
          <w:rFonts w:ascii="Times New Roman" w:hAnsi="Times New Roman" w:cs="Times New Roman"/>
          <w:sz w:val="24"/>
          <w:szCs w:val="24"/>
        </w:rPr>
        <w:t>.</w:t>
      </w:r>
    </w:p>
    <w:p w14:paraId="597E0F9A" w14:textId="77777777" w:rsidR="007A5519" w:rsidRPr="0047686E" w:rsidRDefault="007A5519" w:rsidP="0042352B">
      <w:pPr>
        <w:spacing w:before="120" w:line="360" w:lineRule="auto"/>
        <w:rPr>
          <w:rFonts w:ascii="Times New Roman" w:hAnsi="Times New Roman" w:cs="Times New Roman"/>
          <w:sz w:val="24"/>
          <w:szCs w:val="24"/>
        </w:rPr>
      </w:pPr>
    </w:p>
    <w:p w14:paraId="51C65873" w14:textId="28A705A0" w:rsidR="007A5519" w:rsidRPr="00B1466D" w:rsidRDefault="007A5519" w:rsidP="00FF2CBE">
      <w:pPr>
        <w:pStyle w:val="ListParagraph"/>
        <w:numPr>
          <w:ilvl w:val="0"/>
          <w:numId w:val="12"/>
        </w:numPr>
        <w:spacing w:before="120" w:line="360" w:lineRule="auto"/>
        <w:jc w:val="both"/>
        <w:rPr>
          <w:rFonts w:ascii="Times New Roman" w:hAnsi="Times New Roman" w:cs="Times New Roman"/>
          <w:sz w:val="24"/>
          <w:szCs w:val="24"/>
        </w:rPr>
      </w:pPr>
      <w:r w:rsidRPr="00B1466D">
        <w:rPr>
          <w:rFonts w:ascii="Times New Roman" w:hAnsi="Times New Roman" w:cs="Times New Roman"/>
          <w:sz w:val="24"/>
          <w:szCs w:val="24"/>
        </w:rPr>
        <w:t>Furthermore, the Court accepts Mr Parr’s evidence that the Principal Group Companies paid management fees to JML for services provided directly to them by JML.</w:t>
      </w:r>
      <w:r w:rsidR="009E2458" w:rsidRPr="00B1466D">
        <w:rPr>
          <w:rFonts w:ascii="Times New Roman" w:hAnsi="Times New Roman" w:cs="Times New Roman"/>
          <w:sz w:val="24"/>
          <w:szCs w:val="24"/>
        </w:rPr>
        <w:t xml:space="preserve"> Mr Parr’s evidence in this regard is supported by the 2020 Annual Report for Hong Kong Land which states at page 54 that “</w:t>
      </w:r>
      <w:r w:rsidR="00D94B72" w:rsidRPr="00B1466D">
        <w:rPr>
          <w:rFonts w:ascii="Times New Roman" w:hAnsi="Times New Roman" w:cs="Times New Roman"/>
          <w:i/>
          <w:iCs/>
          <w:sz w:val="24"/>
          <w:szCs w:val="24"/>
        </w:rPr>
        <w:t>the management fees payable by [Hong Kong land and its subsidiaries], under an agreement entered into in 1995, to [JML]</w:t>
      </w:r>
      <w:r w:rsidR="00535C86" w:rsidRPr="00B1466D">
        <w:rPr>
          <w:rFonts w:ascii="Times New Roman" w:hAnsi="Times New Roman" w:cs="Times New Roman"/>
          <w:i/>
          <w:iCs/>
          <w:sz w:val="24"/>
          <w:szCs w:val="24"/>
        </w:rPr>
        <w:t xml:space="preserve"> in 2020 was US$4.8 million (2019: </w:t>
      </w:r>
      <w:r w:rsidR="002E3C5B" w:rsidRPr="00B1466D">
        <w:rPr>
          <w:rFonts w:ascii="Times New Roman" w:hAnsi="Times New Roman" w:cs="Times New Roman"/>
          <w:i/>
          <w:iCs/>
          <w:sz w:val="24"/>
          <w:szCs w:val="24"/>
        </w:rPr>
        <w:t>US$5.4 million), being 0.5% per annum of [</w:t>
      </w:r>
      <w:r w:rsidR="007C1BF5" w:rsidRPr="00B1466D">
        <w:rPr>
          <w:rFonts w:ascii="Times New Roman" w:hAnsi="Times New Roman" w:cs="Times New Roman"/>
          <w:i/>
          <w:iCs/>
          <w:sz w:val="24"/>
          <w:szCs w:val="24"/>
        </w:rPr>
        <w:t>Hong Kong Land and its subsidiaries] underlying profit in consideration for management consultancy services provided by JML, a wholly owned subsidiary of [Jardine Matheson</w:t>
      </w:r>
      <w:r w:rsidR="008B3212" w:rsidRPr="00B1466D">
        <w:rPr>
          <w:rFonts w:ascii="Times New Roman" w:hAnsi="Times New Roman" w:cs="Times New Roman"/>
          <w:i/>
          <w:iCs/>
          <w:sz w:val="24"/>
          <w:szCs w:val="24"/>
        </w:rPr>
        <w:t>]</w:t>
      </w:r>
      <w:r w:rsidR="008B3212" w:rsidRPr="00B1466D">
        <w:rPr>
          <w:rFonts w:ascii="Times New Roman" w:hAnsi="Times New Roman" w:cs="Times New Roman"/>
          <w:sz w:val="24"/>
          <w:szCs w:val="24"/>
        </w:rPr>
        <w:t>.”</w:t>
      </w:r>
    </w:p>
    <w:p w14:paraId="173AB925" w14:textId="77777777" w:rsidR="008B1672" w:rsidRPr="0047686E" w:rsidRDefault="008B1672" w:rsidP="0042352B">
      <w:pPr>
        <w:spacing w:before="120" w:line="360" w:lineRule="auto"/>
        <w:rPr>
          <w:rFonts w:ascii="Times New Roman" w:hAnsi="Times New Roman" w:cs="Times New Roman"/>
          <w:sz w:val="24"/>
          <w:szCs w:val="24"/>
        </w:rPr>
      </w:pPr>
    </w:p>
    <w:p w14:paraId="472A53B8" w14:textId="04484E61" w:rsidR="008B1672" w:rsidRDefault="008B1672" w:rsidP="00FF2CBE">
      <w:pPr>
        <w:pStyle w:val="ListParagraph"/>
        <w:numPr>
          <w:ilvl w:val="0"/>
          <w:numId w:val="8"/>
        </w:numPr>
        <w:spacing w:before="120" w:line="360" w:lineRule="auto"/>
        <w:rPr>
          <w:rFonts w:ascii="Times New Roman" w:hAnsi="Times New Roman" w:cs="Times New Roman"/>
          <w:b/>
          <w:bCs/>
          <w:i/>
          <w:iCs/>
          <w:sz w:val="24"/>
          <w:szCs w:val="24"/>
        </w:rPr>
      </w:pPr>
      <w:r w:rsidRPr="0047686E">
        <w:rPr>
          <w:rFonts w:ascii="Times New Roman" w:hAnsi="Times New Roman" w:cs="Times New Roman"/>
          <w:b/>
          <w:bCs/>
          <w:i/>
          <w:iCs/>
          <w:sz w:val="24"/>
          <w:szCs w:val="24"/>
        </w:rPr>
        <w:t>Board Documents</w:t>
      </w:r>
    </w:p>
    <w:p w14:paraId="3C0D382A" w14:textId="77777777" w:rsidR="00B1466D" w:rsidRPr="0047686E" w:rsidRDefault="00B1466D" w:rsidP="00B1466D">
      <w:pPr>
        <w:pStyle w:val="ListParagraph"/>
        <w:spacing w:before="120" w:line="360" w:lineRule="auto"/>
        <w:ind w:left="1080"/>
        <w:rPr>
          <w:rFonts w:ascii="Times New Roman" w:hAnsi="Times New Roman" w:cs="Times New Roman"/>
          <w:b/>
          <w:bCs/>
          <w:i/>
          <w:iCs/>
          <w:sz w:val="24"/>
          <w:szCs w:val="24"/>
        </w:rPr>
      </w:pPr>
    </w:p>
    <w:p w14:paraId="6E05B706" w14:textId="16B47D3D" w:rsidR="008B1672" w:rsidRPr="00B1466D" w:rsidRDefault="0047686E" w:rsidP="00FF2CBE">
      <w:pPr>
        <w:pStyle w:val="ListParagraph"/>
        <w:numPr>
          <w:ilvl w:val="0"/>
          <w:numId w:val="13"/>
        </w:numPr>
        <w:spacing w:before="120" w:line="360" w:lineRule="auto"/>
        <w:jc w:val="both"/>
        <w:rPr>
          <w:rFonts w:ascii="Times New Roman" w:hAnsi="Times New Roman" w:cs="Times New Roman"/>
          <w:sz w:val="24"/>
          <w:szCs w:val="24"/>
        </w:rPr>
      </w:pPr>
      <w:r w:rsidRPr="00B1466D">
        <w:rPr>
          <w:rFonts w:ascii="Times New Roman" w:hAnsi="Times New Roman" w:cs="Times New Roman"/>
          <w:sz w:val="24"/>
          <w:szCs w:val="24"/>
        </w:rPr>
        <w:t>T</w:t>
      </w:r>
      <w:r w:rsidR="00C97D15" w:rsidRPr="00B1466D">
        <w:rPr>
          <w:rFonts w:ascii="Times New Roman" w:hAnsi="Times New Roman" w:cs="Times New Roman"/>
          <w:sz w:val="24"/>
          <w:szCs w:val="24"/>
        </w:rPr>
        <w:t>he Plaintiffs conten</w:t>
      </w:r>
      <w:r w:rsidR="00632FE9" w:rsidRPr="00B1466D">
        <w:rPr>
          <w:rFonts w:ascii="Times New Roman" w:hAnsi="Times New Roman" w:cs="Times New Roman"/>
          <w:sz w:val="24"/>
          <w:szCs w:val="24"/>
        </w:rPr>
        <w:t xml:space="preserve">d </w:t>
      </w:r>
      <w:r w:rsidR="000C0F80" w:rsidRPr="00B1466D">
        <w:rPr>
          <w:rFonts w:ascii="Times New Roman" w:hAnsi="Times New Roman" w:cs="Times New Roman"/>
          <w:sz w:val="24"/>
          <w:szCs w:val="24"/>
        </w:rPr>
        <w:t>that the</w:t>
      </w:r>
      <w:r w:rsidR="00A53176" w:rsidRPr="00B1466D">
        <w:rPr>
          <w:rFonts w:ascii="Times New Roman" w:hAnsi="Times New Roman" w:cs="Times New Roman"/>
          <w:sz w:val="24"/>
          <w:szCs w:val="24"/>
        </w:rPr>
        <w:t xml:space="preserve"> board agendas and board minutes for the quarterly board meetings of the </w:t>
      </w:r>
      <w:r w:rsidR="00670C45" w:rsidRPr="00B1466D">
        <w:rPr>
          <w:rFonts w:ascii="Times New Roman" w:hAnsi="Times New Roman" w:cs="Times New Roman"/>
          <w:sz w:val="24"/>
          <w:szCs w:val="24"/>
        </w:rPr>
        <w:t xml:space="preserve">Company </w:t>
      </w:r>
      <w:r w:rsidR="00A53176" w:rsidRPr="00B1466D">
        <w:rPr>
          <w:rFonts w:ascii="Times New Roman" w:hAnsi="Times New Roman" w:cs="Times New Roman"/>
          <w:sz w:val="24"/>
          <w:szCs w:val="24"/>
        </w:rPr>
        <w:t xml:space="preserve">from 2016 to March 2021 </w:t>
      </w:r>
      <w:r w:rsidR="00C919C9" w:rsidRPr="00B1466D">
        <w:rPr>
          <w:rFonts w:ascii="Times New Roman" w:hAnsi="Times New Roman" w:cs="Times New Roman"/>
          <w:sz w:val="24"/>
          <w:szCs w:val="24"/>
        </w:rPr>
        <w:t>a</w:t>
      </w:r>
      <w:r w:rsidR="00A53176" w:rsidRPr="00B1466D">
        <w:rPr>
          <w:rFonts w:ascii="Times New Roman" w:hAnsi="Times New Roman" w:cs="Times New Roman"/>
          <w:sz w:val="24"/>
          <w:szCs w:val="24"/>
        </w:rPr>
        <w:t>nd for JMHL from March 2018 until March 2021</w:t>
      </w:r>
      <w:r w:rsidR="009D2DE7" w:rsidRPr="00B1466D">
        <w:rPr>
          <w:rFonts w:ascii="Times New Roman" w:hAnsi="Times New Roman" w:cs="Times New Roman"/>
          <w:sz w:val="24"/>
          <w:szCs w:val="24"/>
        </w:rPr>
        <w:t>, exhibited in Chudleigh 6,</w:t>
      </w:r>
      <w:r w:rsidR="006F5D0B" w:rsidRPr="00B1466D">
        <w:rPr>
          <w:rFonts w:ascii="Times New Roman" w:hAnsi="Times New Roman" w:cs="Times New Roman"/>
          <w:sz w:val="24"/>
          <w:szCs w:val="24"/>
        </w:rPr>
        <w:t xml:space="preserve"> show that the performance of the Principal Group Companies was discussed by the boards in detail.</w:t>
      </w:r>
      <w:r w:rsidR="00247874" w:rsidRPr="00B1466D">
        <w:rPr>
          <w:rFonts w:ascii="Times New Roman" w:hAnsi="Times New Roman" w:cs="Times New Roman"/>
          <w:sz w:val="24"/>
          <w:szCs w:val="24"/>
        </w:rPr>
        <w:t xml:space="preserve"> The board papers provided to the </w:t>
      </w:r>
      <w:r w:rsidR="0056355E" w:rsidRPr="00B1466D">
        <w:rPr>
          <w:rFonts w:ascii="Times New Roman" w:hAnsi="Times New Roman" w:cs="Times New Roman"/>
          <w:sz w:val="24"/>
          <w:szCs w:val="24"/>
        </w:rPr>
        <w:t>Company</w:t>
      </w:r>
      <w:r w:rsidR="00247874" w:rsidRPr="00B1466D">
        <w:rPr>
          <w:rFonts w:ascii="Times New Roman" w:hAnsi="Times New Roman" w:cs="Times New Roman"/>
          <w:sz w:val="24"/>
          <w:szCs w:val="24"/>
        </w:rPr>
        <w:t xml:space="preserve"> included detailed financial and other information in relation to the companies in the Group and which</w:t>
      </w:r>
      <w:r w:rsidR="001637F1" w:rsidRPr="00B1466D">
        <w:rPr>
          <w:rFonts w:ascii="Times New Roman" w:hAnsi="Times New Roman" w:cs="Times New Roman"/>
          <w:sz w:val="24"/>
          <w:szCs w:val="24"/>
        </w:rPr>
        <w:t xml:space="preserve">, it is </w:t>
      </w:r>
      <w:r w:rsidR="0056355E" w:rsidRPr="00B1466D">
        <w:rPr>
          <w:rFonts w:ascii="Times New Roman" w:hAnsi="Times New Roman" w:cs="Times New Roman"/>
          <w:sz w:val="24"/>
          <w:szCs w:val="24"/>
        </w:rPr>
        <w:t>said, can</w:t>
      </w:r>
      <w:r w:rsidR="00247874" w:rsidRPr="00B1466D">
        <w:rPr>
          <w:rFonts w:ascii="Times New Roman" w:hAnsi="Times New Roman" w:cs="Times New Roman"/>
          <w:sz w:val="24"/>
          <w:szCs w:val="24"/>
        </w:rPr>
        <w:t xml:space="preserve"> only have been derived from material provided by those companies. </w:t>
      </w:r>
      <w:r w:rsidR="00074D24" w:rsidRPr="00B1466D">
        <w:rPr>
          <w:rFonts w:ascii="Times New Roman" w:hAnsi="Times New Roman" w:cs="Times New Roman"/>
          <w:sz w:val="24"/>
          <w:szCs w:val="24"/>
        </w:rPr>
        <w:t>Mr Chudleigh states that</w:t>
      </w:r>
      <w:r w:rsidR="00247874" w:rsidRPr="00B1466D">
        <w:rPr>
          <w:rFonts w:ascii="Times New Roman" w:hAnsi="Times New Roman" w:cs="Times New Roman"/>
          <w:sz w:val="24"/>
          <w:szCs w:val="24"/>
        </w:rPr>
        <w:t xml:space="preserve"> the board papers provided to </w:t>
      </w:r>
      <w:r w:rsidR="002003E1" w:rsidRPr="00B1466D">
        <w:rPr>
          <w:rFonts w:ascii="Times New Roman" w:hAnsi="Times New Roman" w:cs="Times New Roman"/>
          <w:sz w:val="24"/>
          <w:szCs w:val="24"/>
        </w:rPr>
        <w:t xml:space="preserve">the Company </w:t>
      </w:r>
      <w:r w:rsidRPr="00B1466D">
        <w:rPr>
          <w:rFonts w:ascii="Times New Roman" w:hAnsi="Times New Roman" w:cs="Times New Roman"/>
          <w:sz w:val="24"/>
          <w:szCs w:val="24"/>
        </w:rPr>
        <w:t xml:space="preserve">and Jardine Matheson’s </w:t>
      </w:r>
      <w:r w:rsidR="00247874" w:rsidRPr="00B1466D">
        <w:rPr>
          <w:rFonts w:ascii="Times New Roman" w:hAnsi="Times New Roman" w:cs="Times New Roman"/>
          <w:sz w:val="24"/>
          <w:szCs w:val="24"/>
        </w:rPr>
        <w:t>boards were typically in the nature of papers relating to audit, budgets, financial results and forecasts (including consideration of dividends), treasury reports, plus individual papers on each of the Group businesses.</w:t>
      </w:r>
    </w:p>
    <w:p w14:paraId="01572BED" w14:textId="77777777" w:rsidR="00280FA2" w:rsidRPr="0047686E" w:rsidRDefault="00280FA2" w:rsidP="0042352B">
      <w:pPr>
        <w:spacing w:before="120" w:line="360" w:lineRule="auto"/>
        <w:rPr>
          <w:rFonts w:ascii="Times New Roman" w:hAnsi="Times New Roman" w:cs="Times New Roman"/>
          <w:sz w:val="24"/>
          <w:szCs w:val="24"/>
        </w:rPr>
      </w:pPr>
    </w:p>
    <w:p w14:paraId="20376021" w14:textId="21A66DF2" w:rsidR="00280FA2" w:rsidRPr="00B1466D" w:rsidRDefault="003444C3" w:rsidP="00FF2CBE">
      <w:pPr>
        <w:pStyle w:val="ListParagraph"/>
        <w:numPr>
          <w:ilvl w:val="0"/>
          <w:numId w:val="13"/>
        </w:numPr>
        <w:spacing w:before="120" w:line="360" w:lineRule="auto"/>
        <w:jc w:val="both"/>
        <w:rPr>
          <w:rFonts w:ascii="Times New Roman" w:hAnsi="Times New Roman" w:cs="Times New Roman"/>
          <w:sz w:val="24"/>
          <w:szCs w:val="24"/>
        </w:rPr>
      </w:pPr>
      <w:r w:rsidRPr="00B1466D">
        <w:rPr>
          <w:rFonts w:ascii="Times New Roman" w:hAnsi="Times New Roman" w:cs="Times New Roman"/>
          <w:sz w:val="24"/>
          <w:szCs w:val="24"/>
        </w:rPr>
        <w:t>It is the evidence of Mr Parr,</w:t>
      </w:r>
      <w:r w:rsidR="0010188E" w:rsidRPr="00B1466D">
        <w:rPr>
          <w:rFonts w:ascii="Times New Roman" w:hAnsi="Times New Roman" w:cs="Times New Roman"/>
          <w:sz w:val="24"/>
          <w:szCs w:val="24"/>
        </w:rPr>
        <w:t xml:space="preserve"> which the Court accepts, that the </w:t>
      </w:r>
      <w:r w:rsidR="00EE2EF8" w:rsidRPr="00B1466D">
        <w:rPr>
          <w:rFonts w:ascii="Times New Roman" w:hAnsi="Times New Roman" w:cs="Times New Roman"/>
          <w:sz w:val="24"/>
          <w:szCs w:val="24"/>
        </w:rPr>
        <w:t>Board papers</w:t>
      </w:r>
      <w:r w:rsidR="00B12F5F" w:rsidRPr="00B1466D">
        <w:rPr>
          <w:rFonts w:ascii="Times New Roman" w:hAnsi="Times New Roman" w:cs="Times New Roman"/>
          <w:sz w:val="24"/>
          <w:szCs w:val="24"/>
        </w:rPr>
        <w:t xml:space="preserve"> on individual group businesses were prepared by the Principal Group Companies themselves, based on their own internal books and records, and not by </w:t>
      </w:r>
      <w:r w:rsidR="00920EA3" w:rsidRPr="00B1466D">
        <w:rPr>
          <w:rFonts w:ascii="Times New Roman" w:hAnsi="Times New Roman" w:cs="Times New Roman"/>
          <w:sz w:val="24"/>
          <w:szCs w:val="24"/>
        </w:rPr>
        <w:t xml:space="preserve">the </w:t>
      </w:r>
      <w:r w:rsidR="00827E9E" w:rsidRPr="00B1466D">
        <w:rPr>
          <w:rFonts w:ascii="Times New Roman" w:hAnsi="Times New Roman" w:cs="Times New Roman"/>
          <w:sz w:val="24"/>
          <w:szCs w:val="24"/>
        </w:rPr>
        <w:t>Company</w:t>
      </w:r>
      <w:r w:rsidR="00B12F5F" w:rsidRPr="00B1466D">
        <w:rPr>
          <w:rFonts w:ascii="Times New Roman" w:hAnsi="Times New Roman" w:cs="Times New Roman"/>
          <w:sz w:val="24"/>
          <w:szCs w:val="24"/>
        </w:rPr>
        <w:t>, Jardine Matheson or their agents. These documents were then presented for compilation by the Group Secretariat into</w:t>
      </w:r>
      <w:r w:rsidR="00A60925" w:rsidRPr="00B1466D">
        <w:rPr>
          <w:rFonts w:ascii="Times New Roman" w:hAnsi="Times New Roman" w:cs="Times New Roman"/>
          <w:sz w:val="24"/>
          <w:szCs w:val="24"/>
        </w:rPr>
        <w:t xml:space="preserve"> </w:t>
      </w:r>
      <w:r w:rsidR="00B12F5F" w:rsidRPr="00B1466D">
        <w:rPr>
          <w:rFonts w:ascii="Times New Roman" w:hAnsi="Times New Roman" w:cs="Times New Roman"/>
          <w:sz w:val="24"/>
          <w:szCs w:val="24"/>
        </w:rPr>
        <w:t xml:space="preserve">the board packs of </w:t>
      </w:r>
      <w:r w:rsidR="00920EA3" w:rsidRPr="00B1466D">
        <w:rPr>
          <w:rFonts w:ascii="Times New Roman" w:hAnsi="Times New Roman" w:cs="Times New Roman"/>
          <w:sz w:val="24"/>
          <w:szCs w:val="24"/>
        </w:rPr>
        <w:t xml:space="preserve">the </w:t>
      </w:r>
      <w:r w:rsidR="00827E9E" w:rsidRPr="00B1466D">
        <w:rPr>
          <w:rFonts w:ascii="Times New Roman" w:hAnsi="Times New Roman" w:cs="Times New Roman"/>
          <w:sz w:val="24"/>
          <w:szCs w:val="24"/>
        </w:rPr>
        <w:t>Company</w:t>
      </w:r>
      <w:r w:rsidR="00B12F5F" w:rsidRPr="00B1466D">
        <w:rPr>
          <w:rFonts w:ascii="Times New Roman" w:hAnsi="Times New Roman" w:cs="Times New Roman"/>
          <w:sz w:val="24"/>
          <w:szCs w:val="24"/>
        </w:rPr>
        <w:t xml:space="preserve"> or Jardine Matheson. None of </w:t>
      </w:r>
      <w:r w:rsidR="009B7DFD" w:rsidRPr="00B1466D">
        <w:rPr>
          <w:rFonts w:ascii="Times New Roman" w:hAnsi="Times New Roman" w:cs="Times New Roman"/>
          <w:sz w:val="24"/>
          <w:szCs w:val="24"/>
        </w:rPr>
        <w:t xml:space="preserve">the </w:t>
      </w:r>
      <w:r w:rsidR="00827E9E" w:rsidRPr="00B1466D">
        <w:rPr>
          <w:rFonts w:ascii="Times New Roman" w:hAnsi="Times New Roman" w:cs="Times New Roman"/>
          <w:sz w:val="24"/>
          <w:szCs w:val="24"/>
        </w:rPr>
        <w:t>Company</w:t>
      </w:r>
      <w:r w:rsidR="00B12F5F" w:rsidRPr="00B1466D">
        <w:rPr>
          <w:rFonts w:ascii="Times New Roman" w:hAnsi="Times New Roman" w:cs="Times New Roman"/>
          <w:sz w:val="24"/>
          <w:szCs w:val="24"/>
        </w:rPr>
        <w:t xml:space="preserve">, Jardine Matheson or JML acting on </w:t>
      </w:r>
      <w:r w:rsidR="00CB0BCF" w:rsidRPr="00B1466D">
        <w:rPr>
          <w:rFonts w:ascii="Times New Roman" w:hAnsi="Times New Roman" w:cs="Times New Roman"/>
          <w:sz w:val="24"/>
          <w:szCs w:val="24"/>
        </w:rPr>
        <w:t xml:space="preserve">behalf of </w:t>
      </w:r>
      <w:r w:rsidR="00B12F5F" w:rsidRPr="00B1466D">
        <w:rPr>
          <w:rFonts w:ascii="Times New Roman" w:hAnsi="Times New Roman" w:cs="Times New Roman"/>
          <w:sz w:val="24"/>
          <w:szCs w:val="24"/>
        </w:rPr>
        <w:t xml:space="preserve">either </w:t>
      </w:r>
      <w:r w:rsidR="006B3FC2" w:rsidRPr="00B1466D">
        <w:rPr>
          <w:rFonts w:ascii="Times New Roman" w:hAnsi="Times New Roman" w:cs="Times New Roman"/>
          <w:sz w:val="24"/>
          <w:szCs w:val="24"/>
        </w:rPr>
        <w:t>company</w:t>
      </w:r>
      <w:r w:rsidR="00C10994" w:rsidRPr="00B1466D">
        <w:rPr>
          <w:rFonts w:ascii="Times New Roman" w:hAnsi="Times New Roman" w:cs="Times New Roman"/>
          <w:sz w:val="24"/>
          <w:szCs w:val="24"/>
        </w:rPr>
        <w:t>,</w:t>
      </w:r>
      <w:r w:rsidR="00B12F5F" w:rsidRPr="00B1466D">
        <w:rPr>
          <w:rFonts w:ascii="Times New Roman" w:hAnsi="Times New Roman" w:cs="Times New Roman"/>
          <w:sz w:val="24"/>
          <w:szCs w:val="24"/>
        </w:rPr>
        <w:t xml:space="preserve"> accessed, or could have accessed, any internal documents of the Principal Group Companies to compile these papers. This provision of management information to the boards of </w:t>
      </w:r>
      <w:r w:rsidR="006B3FC2" w:rsidRPr="00B1466D">
        <w:rPr>
          <w:rFonts w:ascii="Times New Roman" w:hAnsi="Times New Roman" w:cs="Times New Roman"/>
          <w:sz w:val="24"/>
          <w:szCs w:val="24"/>
        </w:rPr>
        <w:t>the Company</w:t>
      </w:r>
      <w:r w:rsidR="00B12F5F" w:rsidRPr="00B1466D">
        <w:rPr>
          <w:rFonts w:ascii="Times New Roman" w:hAnsi="Times New Roman" w:cs="Times New Roman"/>
          <w:sz w:val="24"/>
          <w:szCs w:val="24"/>
        </w:rPr>
        <w:t xml:space="preserve"> and Jardine Matheson reflected the ordinary and commonplace flow of information in any corporate group.</w:t>
      </w:r>
    </w:p>
    <w:p w14:paraId="731D3DF9" w14:textId="77777777" w:rsidR="00AC3CB5" w:rsidRDefault="00AC3CB5" w:rsidP="00B12F5F">
      <w:pPr>
        <w:spacing w:before="120" w:line="360" w:lineRule="auto"/>
        <w:rPr>
          <w:rFonts w:ascii="Times New Roman" w:hAnsi="Times New Roman" w:cs="Times New Roman"/>
          <w:sz w:val="24"/>
          <w:szCs w:val="24"/>
        </w:rPr>
      </w:pPr>
    </w:p>
    <w:p w14:paraId="129E5261" w14:textId="0C5518A6" w:rsidR="008F4B37" w:rsidRPr="00B1466D" w:rsidRDefault="007E477F" w:rsidP="00FF2CBE">
      <w:pPr>
        <w:pStyle w:val="ListParagraph"/>
        <w:numPr>
          <w:ilvl w:val="0"/>
          <w:numId w:val="13"/>
        </w:numPr>
        <w:spacing w:before="120" w:line="360" w:lineRule="auto"/>
        <w:jc w:val="both"/>
        <w:rPr>
          <w:rFonts w:ascii="Times New Roman" w:hAnsi="Times New Roman" w:cs="Times New Roman"/>
          <w:sz w:val="24"/>
          <w:szCs w:val="24"/>
        </w:rPr>
      </w:pPr>
      <w:r w:rsidRPr="00B1466D">
        <w:rPr>
          <w:rFonts w:ascii="Times New Roman" w:hAnsi="Times New Roman" w:cs="Times New Roman"/>
          <w:sz w:val="24"/>
          <w:szCs w:val="24"/>
        </w:rPr>
        <w:t xml:space="preserve">In addition to the Board reports, Mr Chudleigh also refers to and exhibits various other documents which were presented to the boards of the </w:t>
      </w:r>
      <w:r w:rsidR="00047BCE" w:rsidRPr="00B1466D">
        <w:rPr>
          <w:rFonts w:ascii="Times New Roman" w:hAnsi="Times New Roman" w:cs="Times New Roman"/>
          <w:sz w:val="24"/>
          <w:szCs w:val="24"/>
        </w:rPr>
        <w:t>Company</w:t>
      </w:r>
      <w:r w:rsidRPr="00B1466D">
        <w:rPr>
          <w:rFonts w:ascii="Times New Roman" w:hAnsi="Times New Roman" w:cs="Times New Roman"/>
          <w:sz w:val="24"/>
          <w:szCs w:val="24"/>
        </w:rPr>
        <w:t xml:space="preserve"> and Jardine Matheson at their board </w:t>
      </w:r>
      <w:r w:rsidR="00563249" w:rsidRPr="00B1466D">
        <w:rPr>
          <w:rFonts w:ascii="Times New Roman" w:hAnsi="Times New Roman" w:cs="Times New Roman"/>
          <w:sz w:val="24"/>
          <w:szCs w:val="24"/>
        </w:rPr>
        <w:t>meetings,</w:t>
      </w:r>
      <w:r w:rsidRPr="00B1466D">
        <w:rPr>
          <w:rFonts w:ascii="Times New Roman" w:hAnsi="Times New Roman" w:cs="Times New Roman"/>
          <w:sz w:val="24"/>
          <w:szCs w:val="24"/>
        </w:rPr>
        <w:t xml:space="preserve"> and which were derived from detailed information supplied by other Group companies, including the Principal Group Companies</w:t>
      </w:r>
      <w:r w:rsidR="00017CCF" w:rsidRPr="00B1466D">
        <w:rPr>
          <w:rFonts w:ascii="Times New Roman" w:hAnsi="Times New Roman" w:cs="Times New Roman"/>
          <w:sz w:val="24"/>
          <w:szCs w:val="24"/>
        </w:rPr>
        <w:t>.</w:t>
      </w:r>
      <w:r w:rsidR="00631F17" w:rsidRPr="00B1466D">
        <w:rPr>
          <w:rFonts w:ascii="Times New Roman" w:hAnsi="Times New Roman" w:cs="Times New Roman"/>
          <w:sz w:val="24"/>
          <w:szCs w:val="24"/>
        </w:rPr>
        <w:t xml:space="preserve"> </w:t>
      </w:r>
      <w:r w:rsidR="00395098" w:rsidRPr="00B1466D">
        <w:rPr>
          <w:rFonts w:ascii="Times New Roman" w:hAnsi="Times New Roman" w:cs="Times New Roman"/>
          <w:sz w:val="24"/>
          <w:szCs w:val="24"/>
        </w:rPr>
        <w:t>In this regard Mr Chudleigh refers to</w:t>
      </w:r>
      <w:r w:rsidR="005B40D6" w:rsidRPr="00B1466D">
        <w:rPr>
          <w:rFonts w:ascii="Times New Roman" w:hAnsi="Times New Roman" w:cs="Times New Roman"/>
          <w:sz w:val="24"/>
          <w:szCs w:val="24"/>
        </w:rPr>
        <w:t xml:space="preserve"> the budgets prepared on a group-wide basis, including information from the Principal Group Companies</w:t>
      </w:r>
      <w:r w:rsidR="000D76F2" w:rsidRPr="00B1466D">
        <w:rPr>
          <w:rFonts w:ascii="Times New Roman" w:hAnsi="Times New Roman" w:cs="Times New Roman"/>
          <w:sz w:val="24"/>
          <w:szCs w:val="24"/>
        </w:rPr>
        <w:t>;</w:t>
      </w:r>
      <w:r w:rsidR="008F4B37" w:rsidRPr="00B1466D">
        <w:rPr>
          <w:rFonts w:ascii="Times New Roman" w:hAnsi="Times New Roman" w:cs="Times New Roman"/>
          <w:sz w:val="24"/>
          <w:szCs w:val="24"/>
        </w:rPr>
        <w:t xml:space="preserve"> and</w:t>
      </w:r>
      <w:r w:rsidR="000D76F2" w:rsidRPr="00B1466D">
        <w:rPr>
          <w:rFonts w:ascii="Times New Roman" w:hAnsi="Times New Roman" w:cs="Times New Roman"/>
          <w:sz w:val="24"/>
          <w:szCs w:val="24"/>
        </w:rPr>
        <w:t xml:space="preserve"> board papers</w:t>
      </w:r>
      <w:r w:rsidR="00A722CE" w:rsidRPr="00B1466D">
        <w:rPr>
          <w:rFonts w:ascii="Times New Roman" w:hAnsi="Times New Roman" w:cs="Times New Roman"/>
          <w:sz w:val="24"/>
          <w:szCs w:val="24"/>
        </w:rPr>
        <w:t xml:space="preserve"> of the </w:t>
      </w:r>
      <w:r w:rsidR="00D70F50" w:rsidRPr="00B1466D">
        <w:rPr>
          <w:rFonts w:ascii="Times New Roman" w:hAnsi="Times New Roman" w:cs="Times New Roman"/>
          <w:sz w:val="24"/>
          <w:szCs w:val="24"/>
        </w:rPr>
        <w:t>Company</w:t>
      </w:r>
      <w:r w:rsidR="00A722CE" w:rsidRPr="00B1466D">
        <w:rPr>
          <w:rFonts w:ascii="Times New Roman" w:hAnsi="Times New Roman" w:cs="Times New Roman"/>
          <w:sz w:val="24"/>
          <w:szCs w:val="24"/>
        </w:rPr>
        <w:t xml:space="preserve"> and Jardine Matheson which set out the results of the Group Companies, and which considered the performance of the Group against forecasts</w:t>
      </w:r>
      <w:r w:rsidR="008F4B37" w:rsidRPr="00B1466D">
        <w:rPr>
          <w:rFonts w:ascii="Times New Roman" w:hAnsi="Times New Roman" w:cs="Times New Roman"/>
          <w:sz w:val="24"/>
          <w:szCs w:val="24"/>
        </w:rPr>
        <w:t>.</w:t>
      </w:r>
      <w:r w:rsidR="00B64DE3" w:rsidRPr="00B1466D">
        <w:rPr>
          <w:rFonts w:ascii="Times New Roman" w:hAnsi="Times New Roman" w:cs="Times New Roman"/>
          <w:sz w:val="24"/>
          <w:szCs w:val="24"/>
        </w:rPr>
        <w:t xml:space="preserve"> Mr Parr states that the budget papers, results and forecasts papers submitted to the board of the </w:t>
      </w:r>
      <w:r w:rsidR="000C271D" w:rsidRPr="00B1466D">
        <w:rPr>
          <w:rFonts w:ascii="Times New Roman" w:hAnsi="Times New Roman" w:cs="Times New Roman"/>
          <w:sz w:val="24"/>
          <w:szCs w:val="24"/>
        </w:rPr>
        <w:t>Company</w:t>
      </w:r>
      <w:r w:rsidR="00B64DE3" w:rsidRPr="00B1466D">
        <w:rPr>
          <w:rFonts w:ascii="Times New Roman" w:hAnsi="Times New Roman" w:cs="Times New Roman"/>
          <w:sz w:val="24"/>
          <w:szCs w:val="24"/>
        </w:rPr>
        <w:t xml:space="preserve"> were prepared by JM</w:t>
      </w:r>
      <w:r w:rsidR="007604D6" w:rsidRPr="00B1466D">
        <w:rPr>
          <w:rFonts w:ascii="Times New Roman" w:hAnsi="Times New Roman" w:cs="Times New Roman"/>
          <w:sz w:val="24"/>
          <w:szCs w:val="24"/>
        </w:rPr>
        <w:t>L,</w:t>
      </w:r>
      <w:r w:rsidR="00BE337F" w:rsidRPr="00B1466D">
        <w:rPr>
          <w:rFonts w:ascii="Times New Roman" w:hAnsi="Times New Roman" w:cs="Times New Roman"/>
          <w:sz w:val="24"/>
          <w:szCs w:val="24"/>
        </w:rPr>
        <w:t xml:space="preserve"> acting on behalf of the</w:t>
      </w:r>
      <w:r w:rsidR="0081597F" w:rsidRPr="00B1466D">
        <w:rPr>
          <w:rFonts w:ascii="Times New Roman" w:hAnsi="Times New Roman" w:cs="Times New Roman"/>
          <w:sz w:val="24"/>
          <w:szCs w:val="24"/>
        </w:rPr>
        <w:t xml:space="preserve"> Company,</w:t>
      </w:r>
      <w:r w:rsidR="00C205DA" w:rsidRPr="00B1466D">
        <w:rPr>
          <w:rFonts w:ascii="Times New Roman" w:hAnsi="Times New Roman" w:cs="Times New Roman"/>
          <w:sz w:val="24"/>
          <w:szCs w:val="24"/>
        </w:rPr>
        <w:t xml:space="preserve"> using the consolidated financial data that was available to the </w:t>
      </w:r>
      <w:r w:rsidR="0081597F" w:rsidRPr="00B1466D">
        <w:rPr>
          <w:rFonts w:ascii="Times New Roman" w:hAnsi="Times New Roman" w:cs="Times New Roman"/>
          <w:sz w:val="24"/>
          <w:szCs w:val="24"/>
        </w:rPr>
        <w:t>Company</w:t>
      </w:r>
      <w:r w:rsidR="00C205DA" w:rsidRPr="00B1466D">
        <w:rPr>
          <w:rFonts w:ascii="Times New Roman" w:hAnsi="Times New Roman" w:cs="Times New Roman"/>
          <w:sz w:val="24"/>
          <w:szCs w:val="24"/>
        </w:rPr>
        <w:t xml:space="preserve"> through</w:t>
      </w:r>
      <w:r w:rsidR="00866E67" w:rsidRPr="00B1466D">
        <w:rPr>
          <w:rFonts w:ascii="Times New Roman" w:hAnsi="Times New Roman" w:cs="Times New Roman"/>
          <w:sz w:val="24"/>
          <w:szCs w:val="24"/>
        </w:rPr>
        <w:t xml:space="preserve"> the Jardines Financial Reporting System</w:t>
      </w:r>
      <w:r w:rsidR="008A6BFD" w:rsidRPr="00B1466D">
        <w:rPr>
          <w:rFonts w:ascii="Times New Roman" w:hAnsi="Times New Roman" w:cs="Times New Roman"/>
          <w:sz w:val="24"/>
          <w:szCs w:val="24"/>
        </w:rPr>
        <w:t xml:space="preserve"> (“</w:t>
      </w:r>
      <w:r w:rsidR="008A6BFD" w:rsidRPr="00B1466D">
        <w:rPr>
          <w:rFonts w:ascii="Times New Roman" w:hAnsi="Times New Roman" w:cs="Times New Roman"/>
          <w:b/>
          <w:bCs/>
          <w:sz w:val="24"/>
          <w:szCs w:val="24"/>
        </w:rPr>
        <w:t>JFRC</w:t>
      </w:r>
      <w:r w:rsidR="008A6BFD" w:rsidRPr="00B1466D">
        <w:rPr>
          <w:rFonts w:ascii="Times New Roman" w:hAnsi="Times New Roman" w:cs="Times New Roman"/>
          <w:sz w:val="24"/>
          <w:szCs w:val="24"/>
        </w:rPr>
        <w:t>”).</w:t>
      </w:r>
      <w:r w:rsidR="00294E77" w:rsidRPr="00B1466D">
        <w:rPr>
          <w:rFonts w:ascii="Times New Roman" w:hAnsi="Times New Roman" w:cs="Times New Roman"/>
          <w:sz w:val="24"/>
          <w:szCs w:val="24"/>
        </w:rPr>
        <w:t xml:space="preserve"> Mr Parr further states that the </w:t>
      </w:r>
      <w:r w:rsidR="00645F7F" w:rsidRPr="00B1466D">
        <w:rPr>
          <w:rFonts w:ascii="Times New Roman" w:hAnsi="Times New Roman" w:cs="Times New Roman"/>
          <w:sz w:val="24"/>
          <w:szCs w:val="24"/>
        </w:rPr>
        <w:t>Company</w:t>
      </w:r>
      <w:r w:rsidR="00294E77" w:rsidRPr="00B1466D">
        <w:rPr>
          <w:rFonts w:ascii="Times New Roman" w:hAnsi="Times New Roman" w:cs="Times New Roman"/>
          <w:sz w:val="24"/>
          <w:szCs w:val="24"/>
        </w:rPr>
        <w:t xml:space="preserve"> could access consolidated </w:t>
      </w:r>
      <w:r w:rsidR="00EB446B" w:rsidRPr="00B1466D">
        <w:rPr>
          <w:rFonts w:ascii="Times New Roman" w:hAnsi="Times New Roman" w:cs="Times New Roman"/>
          <w:sz w:val="24"/>
          <w:szCs w:val="24"/>
        </w:rPr>
        <w:t>financial data provided by the Principal Group Companies in JFRC</w:t>
      </w:r>
      <w:r w:rsidR="00910C52" w:rsidRPr="00B1466D">
        <w:rPr>
          <w:rFonts w:ascii="Times New Roman" w:hAnsi="Times New Roman" w:cs="Times New Roman"/>
          <w:sz w:val="24"/>
          <w:szCs w:val="24"/>
        </w:rPr>
        <w:t>. It is the evidence of Mr Parr that</w:t>
      </w:r>
      <w:r w:rsidR="00C560FD" w:rsidRPr="00B1466D">
        <w:rPr>
          <w:rFonts w:ascii="Times New Roman" w:hAnsi="Times New Roman" w:cs="Times New Roman"/>
          <w:sz w:val="24"/>
          <w:szCs w:val="24"/>
        </w:rPr>
        <w:t xml:space="preserve"> the </w:t>
      </w:r>
      <w:r w:rsidR="00645F7F" w:rsidRPr="00B1466D">
        <w:rPr>
          <w:rFonts w:ascii="Times New Roman" w:hAnsi="Times New Roman" w:cs="Times New Roman"/>
          <w:sz w:val="24"/>
          <w:szCs w:val="24"/>
        </w:rPr>
        <w:t>Company</w:t>
      </w:r>
      <w:r w:rsidR="00C560FD" w:rsidRPr="00B1466D">
        <w:rPr>
          <w:rFonts w:ascii="Times New Roman" w:hAnsi="Times New Roman" w:cs="Times New Roman"/>
          <w:sz w:val="24"/>
          <w:szCs w:val="24"/>
        </w:rPr>
        <w:t xml:space="preserve"> did not have a right to access the underlying documents held by the Principal Group Companies.</w:t>
      </w:r>
    </w:p>
    <w:p w14:paraId="56536E8C" w14:textId="77777777" w:rsidR="00F93359" w:rsidRDefault="00F93359" w:rsidP="007E477F">
      <w:pPr>
        <w:spacing w:before="120" w:line="360" w:lineRule="auto"/>
        <w:rPr>
          <w:rFonts w:ascii="Times New Roman" w:hAnsi="Times New Roman" w:cs="Times New Roman"/>
          <w:sz w:val="24"/>
          <w:szCs w:val="24"/>
        </w:rPr>
      </w:pPr>
    </w:p>
    <w:p w14:paraId="6BB063BA" w14:textId="64979092" w:rsidR="00AC3CB5" w:rsidRPr="00B1466D" w:rsidRDefault="00F93359" w:rsidP="00FF2CBE">
      <w:pPr>
        <w:pStyle w:val="ListParagraph"/>
        <w:numPr>
          <w:ilvl w:val="0"/>
          <w:numId w:val="13"/>
        </w:numPr>
        <w:spacing w:before="120" w:line="360" w:lineRule="auto"/>
        <w:jc w:val="both"/>
        <w:rPr>
          <w:rFonts w:ascii="Times New Roman" w:hAnsi="Times New Roman" w:cs="Times New Roman"/>
          <w:sz w:val="24"/>
          <w:szCs w:val="24"/>
        </w:rPr>
      </w:pPr>
      <w:r w:rsidRPr="00B1466D">
        <w:rPr>
          <w:rFonts w:ascii="Times New Roman" w:hAnsi="Times New Roman" w:cs="Times New Roman"/>
          <w:sz w:val="24"/>
          <w:szCs w:val="24"/>
        </w:rPr>
        <w:t>Mr Chudleigh also refers to the</w:t>
      </w:r>
      <w:r w:rsidR="007E5610" w:rsidRPr="00B1466D">
        <w:rPr>
          <w:rFonts w:ascii="Times New Roman" w:hAnsi="Times New Roman" w:cs="Times New Roman"/>
          <w:sz w:val="24"/>
          <w:szCs w:val="24"/>
        </w:rPr>
        <w:t xml:space="preserve"> </w:t>
      </w:r>
      <w:r w:rsidR="0005695B" w:rsidRPr="00B1466D">
        <w:rPr>
          <w:rFonts w:ascii="Times New Roman" w:hAnsi="Times New Roman" w:cs="Times New Roman"/>
          <w:sz w:val="24"/>
          <w:szCs w:val="24"/>
        </w:rPr>
        <w:t>T</w:t>
      </w:r>
      <w:r w:rsidR="007E5610" w:rsidRPr="00B1466D">
        <w:rPr>
          <w:rFonts w:ascii="Times New Roman" w:hAnsi="Times New Roman" w:cs="Times New Roman"/>
          <w:sz w:val="24"/>
          <w:szCs w:val="24"/>
        </w:rPr>
        <w:t xml:space="preserve">reasury </w:t>
      </w:r>
      <w:r w:rsidR="0005695B" w:rsidRPr="00B1466D">
        <w:rPr>
          <w:rFonts w:ascii="Times New Roman" w:hAnsi="Times New Roman" w:cs="Times New Roman"/>
          <w:sz w:val="24"/>
          <w:szCs w:val="24"/>
        </w:rPr>
        <w:t>r</w:t>
      </w:r>
      <w:r w:rsidR="007E5610" w:rsidRPr="00B1466D">
        <w:rPr>
          <w:rFonts w:ascii="Times New Roman" w:hAnsi="Times New Roman" w:cs="Times New Roman"/>
          <w:sz w:val="24"/>
          <w:szCs w:val="24"/>
        </w:rPr>
        <w:t xml:space="preserve">eports for the </w:t>
      </w:r>
      <w:r w:rsidR="00645F7F" w:rsidRPr="00B1466D">
        <w:rPr>
          <w:rFonts w:ascii="Times New Roman" w:hAnsi="Times New Roman" w:cs="Times New Roman"/>
          <w:sz w:val="24"/>
          <w:szCs w:val="24"/>
        </w:rPr>
        <w:t>Company</w:t>
      </w:r>
      <w:r w:rsidR="007E5610" w:rsidRPr="00B1466D">
        <w:rPr>
          <w:rFonts w:ascii="Times New Roman" w:hAnsi="Times New Roman" w:cs="Times New Roman"/>
          <w:sz w:val="24"/>
          <w:szCs w:val="24"/>
        </w:rPr>
        <w:t xml:space="preserve"> and Jardine Matheson.</w:t>
      </w:r>
      <w:r w:rsidR="00B42A51" w:rsidRPr="00B1466D">
        <w:rPr>
          <w:rFonts w:ascii="Times New Roman" w:hAnsi="Times New Roman" w:cs="Times New Roman"/>
          <w:sz w:val="24"/>
          <w:szCs w:val="24"/>
        </w:rPr>
        <w:t xml:space="preserve"> Mr Parr states that Treasury reports</w:t>
      </w:r>
      <w:r w:rsidR="00402AA4" w:rsidRPr="00B1466D">
        <w:rPr>
          <w:rFonts w:ascii="Times New Roman" w:hAnsi="Times New Roman" w:cs="Times New Roman"/>
          <w:sz w:val="24"/>
          <w:szCs w:val="24"/>
        </w:rPr>
        <w:t xml:space="preserve"> were prepared by JML for Jardine Matheson to fulfil its oversight role in respect of the Group capital, liquidity and cash flow from consolidated data on JFRC</w:t>
      </w:r>
      <w:r w:rsidR="00443188" w:rsidRPr="00B1466D">
        <w:rPr>
          <w:rFonts w:ascii="Times New Roman" w:hAnsi="Times New Roman" w:cs="Times New Roman"/>
          <w:sz w:val="24"/>
          <w:szCs w:val="24"/>
        </w:rPr>
        <w:t xml:space="preserve"> and monthly and quarterly information supplied by the Group companies to Jardine Matheson. The </w:t>
      </w:r>
      <w:r w:rsidR="00645F7F" w:rsidRPr="00B1466D">
        <w:rPr>
          <w:rFonts w:ascii="Times New Roman" w:hAnsi="Times New Roman" w:cs="Times New Roman"/>
          <w:sz w:val="24"/>
          <w:szCs w:val="24"/>
        </w:rPr>
        <w:t>Company</w:t>
      </w:r>
      <w:r w:rsidR="00443188" w:rsidRPr="00B1466D">
        <w:rPr>
          <w:rFonts w:ascii="Times New Roman" w:hAnsi="Times New Roman" w:cs="Times New Roman"/>
          <w:sz w:val="24"/>
          <w:szCs w:val="24"/>
        </w:rPr>
        <w:t xml:space="preserve"> received Treasury </w:t>
      </w:r>
      <w:r w:rsidR="000B0F84" w:rsidRPr="00B1466D">
        <w:rPr>
          <w:rFonts w:ascii="Times New Roman" w:hAnsi="Times New Roman" w:cs="Times New Roman"/>
          <w:sz w:val="24"/>
          <w:szCs w:val="24"/>
        </w:rPr>
        <w:t>r</w:t>
      </w:r>
      <w:r w:rsidR="00443188" w:rsidRPr="00B1466D">
        <w:rPr>
          <w:rFonts w:ascii="Times New Roman" w:hAnsi="Times New Roman" w:cs="Times New Roman"/>
          <w:sz w:val="24"/>
          <w:szCs w:val="24"/>
        </w:rPr>
        <w:t>eports based on a subset of this information (</w:t>
      </w:r>
      <w:r w:rsidR="00420E31" w:rsidRPr="00B1466D">
        <w:rPr>
          <w:rFonts w:ascii="Times New Roman" w:hAnsi="Times New Roman" w:cs="Times New Roman"/>
          <w:sz w:val="24"/>
          <w:szCs w:val="24"/>
        </w:rPr>
        <w:t>reflecting its correspondingly lesser need for management information).</w:t>
      </w:r>
    </w:p>
    <w:p w14:paraId="4466BE82" w14:textId="77777777" w:rsidR="00507F3F" w:rsidRDefault="00507F3F" w:rsidP="00B12F5F">
      <w:pPr>
        <w:spacing w:before="120" w:line="360" w:lineRule="auto"/>
        <w:rPr>
          <w:rFonts w:ascii="Times New Roman" w:hAnsi="Times New Roman" w:cs="Times New Roman"/>
          <w:sz w:val="24"/>
          <w:szCs w:val="24"/>
        </w:rPr>
      </w:pPr>
    </w:p>
    <w:p w14:paraId="155A35F6" w14:textId="29BB58DB" w:rsidR="00507F3F" w:rsidRPr="00B1466D" w:rsidRDefault="00DF3892" w:rsidP="00FF2CBE">
      <w:pPr>
        <w:pStyle w:val="ListParagraph"/>
        <w:numPr>
          <w:ilvl w:val="0"/>
          <w:numId w:val="13"/>
        </w:numPr>
        <w:spacing w:before="120" w:line="360" w:lineRule="auto"/>
        <w:jc w:val="both"/>
        <w:rPr>
          <w:rFonts w:ascii="Times New Roman" w:hAnsi="Times New Roman" w:cs="Times New Roman"/>
          <w:sz w:val="24"/>
          <w:szCs w:val="24"/>
        </w:rPr>
      </w:pPr>
      <w:r w:rsidRPr="00B1466D">
        <w:rPr>
          <w:rFonts w:ascii="Times New Roman" w:hAnsi="Times New Roman" w:cs="Times New Roman"/>
          <w:sz w:val="24"/>
          <w:szCs w:val="24"/>
        </w:rPr>
        <w:t>It is reasonably clear</w:t>
      </w:r>
      <w:r w:rsidR="00F81632" w:rsidRPr="00B1466D">
        <w:rPr>
          <w:rFonts w:ascii="Times New Roman" w:hAnsi="Times New Roman" w:cs="Times New Roman"/>
          <w:sz w:val="24"/>
          <w:szCs w:val="24"/>
        </w:rPr>
        <w:t xml:space="preserve"> that</w:t>
      </w:r>
      <w:r w:rsidR="00EE2EF8" w:rsidRPr="00B1466D">
        <w:rPr>
          <w:rFonts w:ascii="Times New Roman" w:hAnsi="Times New Roman" w:cs="Times New Roman"/>
          <w:sz w:val="24"/>
          <w:szCs w:val="24"/>
        </w:rPr>
        <w:t xml:space="preserve"> in the preparation of Board papers</w:t>
      </w:r>
      <w:r w:rsidR="00734F95" w:rsidRPr="00B1466D">
        <w:rPr>
          <w:rFonts w:ascii="Times New Roman" w:hAnsi="Times New Roman" w:cs="Times New Roman"/>
          <w:sz w:val="24"/>
          <w:szCs w:val="24"/>
        </w:rPr>
        <w:t>, Budget papers, forecast reports and Treasury</w:t>
      </w:r>
      <w:r w:rsidR="00FA1355" w:rsidRPr="00B1466D">
        <w:rPr>
          <w:rFonts w:ascii="Times New Roman" w:hAnsi="Times New Roman" w:cs="Times New Roman"/>
          <w:sz w:val="24"/>
          <w:szCs w:val="24"/>
        </w:rPr>
        <w:t xml:space="preserve"> reports,</w:t>
      </w:r>
      <w:r w:rsidR="00EE2EF8" w:rsidRPr="00B1466D">
        <w:rPr>
          <w:rFonts w:ascii="Times New Roman" w:hAnsi="Times New Roman" w:cs="Times New Roman"/>
          <w:sz w:val="24"/>
          <w:szCs w:val="24"/>
        </w:rPr>
        <w:t xml:space="preserve"> the</w:t>
      </w:r>
      <w:r w:rsidR="00015E16" w:rsidRPr="00B1466D">
        <w:rPr>
          <w:rFonts w:ascii="Times New Roman" w:hAnsi="Times New Roman" w:cs="Times New Roman"/>
          <w:sz w:val="24"/>
          <w:szCs w:val="24"/>
        </w:rPr>
        <w:t xml:space="preserve"> Principal Group Companies were not providing any of their underlying documents</w:t>
      </w:r>
      <w:r w:rsidR="005060D7" w:rsidRPr="00B1466D">
        <w:rPr>
          <w:rFonts w:ascii="Times New Roman" w:hAnsi="Times New Roman" w:cs="Times New Roman"/>
          <w:sz w:val="24"/>
          <w:szCs w:val="24"/>
        </w:rPr>
        <w:t xml:space="preserve"> to the </w:t>
      </w:r>
      <w:r w:rsidR="00645F7F" w:rsidRPr="00B1466D">
        <w:rPr>
          <w:rFonts w:ascii="Times New Roman" w:hAnsi="Times New Roman" w:cs="Times New Roman"/>
          <w:sz w:val="24"/>
          <w:szCs w:val="24"/>
        </w:rPr>
        <w:t>Company</w:t>
      </w:r>
      <w:r w:rsidR="005060D7" w:rsidRPr="00B1466D">
        <w:rPr>
          <w:rFonts w:ascii="Times New Roman" w:hAnsi="Times New Roman" w:cs="Times New Roman"/>
          <w:sz w:val="24"/>
          <w:szCs w:val="24"/>
        </w:rPr>
        <w:t xml:space="preserve"> or Jardine Matheson but merely the provision of information</w:t>
      </w:r>
      <w:r w:rsidR="00641418" w:rsidRPr="00B1466D">
        <w:rPr>
          <w:rFonts w:ascii="Times New Roman" w:hAnsi="Times New Roman" w:cs="Times New Roman"/>
          <w:sz w:val="24"/>
          <w:szCs w:val="24"/>
        </w:rPr>
        <w:t xml:space="preserve"> which</w:t>
      </w:r>
      <w:r w:rsidR="000E53A3" w:rsidRPr="00B1466D">
        <w:rPr>
          <w:rFonts w:ascii="Times New Roman" w:hAnsi="Times New Roman" w:cs="Times New Roman"/>
          <w:sz w:val="24"/>
          <w:szCs w:val="24"/>
        </w:rPr>
        <w:t xml:space="preserve"> the </w:t>
      </w:r>
      <w:r w:rsidR="00645F7F" w:rsidRPr="00B1466D">
        <w:rPr>
          <w:rFonts w:ascii="Times New Roman" w:hAnsi="Times New Roman" w:cs="Times New Roman"/>
          <w:sz w:val="24"/>
          <w:szCs w:val="24"/>
        </w:rPr>
        <w:t>Company</w:t>
      </w:r>
      <w:r w:rsidR="000E53A3" w:rsidRPr="00B1466D">
        <w:rPr>
          <w:rFonts w:ascii="Times New Roman" w:hAnsi="Times New Roman" w:cs="Times New Roman"/>
          <w:sz w:val="24"/>
          <w:szCs w:val="24"/>
        </w:rPr>
        <w:t xml:space="preserve"> and Jardine Matheson requested in order</w:t>
      </w:r>
      <w:r w:rsidR="00D73DFC" w:rsidRPr="00B1466D">
        <w:rPr>
          <w:rFonts w:ascii="Times New Roman" w:hAnsi="Times New Roman" w:cs="Times New Roman"/>
          <w:sz w:val="24"/>
          <w:szCs w:val="24"/>
        </w:rPr>
        <w:t xml:space="preserve"> for the</w:t>
      </w:r>
      <w:r w:rsidR="00C3090A" w:rsidRPr="00B1466D">
        <w:rPr>
          <w:rFonts w:ascii="Times New Roman" w:hAnsi="Times New Roman" w:cs="Times New Roman"/>
          <w:sz w:val="24"/>
          <w:szCs w:val="24"/>
        </w:rPr>
        <w:t>ir</w:t>
      </w:r>
      <w:r w:rsidR="00D73DFC" w:rsidRPr="00B1466D">
        <w:rPr>
          <w:rFonts w:ascii="Times New Roman" w:hAnsi="Times New Roman" w:cs="Times New Roman"/>
          <w:sz w:val="24"/>
          <w:szCs w:val="24"/>
        </w:rPr>
        <w:t xml:space="preserve"> directors to discharge their fiduciary duties</w:t>
      </w:r>
      <w:r w:rsidR="00C3090A" w:rsidRPr="00B1466D">
        <w:rPr>
          <w:rFonts w:ascii="Times New Roman" w:hAnsi="Times New Roman" w:cs="Times New Roman"/>
          <w:sz w:val="24"/>
          <w:szCs w:val="24"/>
        </w:rPr>
        <w:t xml:space="preserve"> as directors of holding companies.</w:t>
      </w:r>
      <w:r w:rsidR="005C2FBE" w:rsidRPr="00B1466D">
        <w:rPr>
          <w:rFonts w:ascii="Times New Roman" w:hAnsi="Times New Roman" w:cs="Times New Roman"/>
          <w:sz w:val="24"/>
          <w:szCs w:val="24"/>
        </w:rPr>
        <w:t xml:space="preserve"> The Court does not accept the submission, advanced on behalf of the Plaintiffs</w:t>
      </w:r>
      <w:r w:rsidR="00004F24" w:rsidRPr="00B1466D">
        <w:rPr>
          <w:rFonts w:ascii="Times New Roman" w:hAnsi="Times New Roman" w:cs="Times New Roman"/>
          <w:sz w:val="24"/>
          <w:szCs w:val="24"/>
        </w:rPr>
        <w:t>, that merely because</w:t>
      </w:r>
      <w:r w:rsidR="00155160" w:rsidRPr="00B1466D">
        <w:rPr>
          <w:rFonts w:ascii="Times New Roman" w:hAnsi="Times New Roman" w:cs="Times New Roman"/>
          <w:sz w:val="24"/>
          <w:szCs w:val="24"/>
        </w:rPr>
        <w:t xml:space="preserve"> the </w:t>
      </w:r>
      <w:r w:rsidR="00645F7F" w:rsidRPr="00B1466D">
        <w:rPr>
          <w:rFonts w:ascii="Times New Roman" w:hAnsi="Times New Roman" w:cs="Times New Roman"/>
          <w:sz w:val="24"/>
          <w:szCs w:val="24"/>
        </w:rPr>
        <w:t>Company</w:t>
      </w:r>
      <w:r w:rsidR="00155160" w:rsidRPr="00B1466D">
        <w:rPr>
          <w:rFonts w:ascii="Times New Roman" w:hAnsi="Times New Roman" w:cs="Times New Roman"/>
          <w:sz w:val="24"/>
          <w:szCs w:val="24"/>
        </w:rPr>
        <w:t xml:space="preserve"> and Jardine Matheson were receiving information in the form of Board</w:t>
      </w:r>
      <w:r w:rsidR="00C63ACD" w:rsidRPr="00B1466D">
        <w:rPr>
          <w:rFonts w:ascii="Times New Roman" w:hAnsi="Times New Roman" w:cs="Times New Roman"/>
          <w:sz w:val="24"/>
          <w:szCs w:val="24"/>
        </w:rPr>
        <w:t xml:space="preserve"> papers</w:t>
      </w:r>
      <w:r w:rsidR="00FA1355" w:rsidRPr="00B1466D">
        <w:rPr>
          <w:rFonts w:ascii="Times New Roman" w:hAnsi="Times New Roman" w:cs="Times New Roman"/>
          <w:sz w:val="24"/>
          <w:szCs w:val="24"/>
        </w:rPr>
        <w:t>,</w:t>
      </w:r>
      <w:r w:rsidR="00B50E5A" w:rsidRPr="00B1466D">
        <w:rPr>
          <w:rFonts w:ascii="Times New Roman" w:hAnsi="Times New Roman" w:cs="Times New Roman"/>
          <w:sz w:val="24"/>
          <w:szCs w:val="24"/>
        </w:rPr>
        <w:t xml:space="preserve"> Budget papers, forecast reports and Treasury </w:t>
      </w:r>
      <w:r w:rsidR="000676BD" w:rsidRPr="00B1466D">
        <w:rPr>
          <w:rFonts w:ascii="Times New Roman" w:hAnsi="Times New Roman" w:cs="Times New Roman"/>
          <w:sz w:val="24"/>
          <w:szCs w:val="24"/>
        </w:rPr>
        <w:t>reports, the</w:t>
      </w:r>
      <w:r w:rsidR="00C63ACD" w:rsidRPr="00B1466D">
        <w:rPr>
          <w:rFonts w:ascii="Times New Roman" w:hAnsi="Times New Roman" w:cs="Times New Roman"/>
          <w:sz w:val="24"/>
          <w:szCs w:val="24"/>
        </w:rPr>
        <w:t xml:space="preserve"> Court can conclude that the </w:t>
      </w:r>
      <w:r w:rsidR="00645F7F" w:rsidRPr="00B1466D">
        <w:rPr>
          <w:rFonts w:ascii="Times New Roman" w:hAnsi="Times New Roman" w:cs="Times New Roman"/>
          <w:sz w:val="24"/>
          <w:szCs w:val="24"/>
        </w:rPr>
        <w:t>Company</w:t>
      </w:r>
      <w:r w:rsidR="00C63ACD" w:rsidRPr="00B1466D">
        <w:rPr>
          <w:rFonts w:ascii="Times New Roman" w:hAnsi="Times New Roman" w:cs="Times New Roman"/>
          <w:sz w:val="24"/>
          <w:szCs w:val="24"/>
        </w:rPr>
        <w:t xml:space="preserve"> and Jardine Matheson</w:t>
      </w:r>
      <w:r w:rsidR="00041471" w:rsidRPr="00B1466D">
        <w:rPr>
          <w:rFonts w:ascii="Times New Roman" w:hAnsi="Times New Roman" w:cs="Times New Roman"/>
          <w:sz w:val="24"/>
          <w:szCs w:val="24"/>
        </w:rPr>
        <w:t xml:space="preserve"> were able to exercise</w:t>
      </w:r>
      <w:r w:rsidR="009152D2" w:rsidRPr="00B1466D">
        <w:rPr>
          <w:rFonts w:ascii="Times New Roman" w:hAnsi="Times New Roman" w:cs="Times New Roman"/>
          <w:sz w:val="24"/>
          <w:szCs w:val="24"/>
        </w:rPr>
        <w:t xml:space="preserve"> free </w:t>
      </w:r>
      <w:r w:rsidR="005A001D" w:rsidRPr="00B1466D">
        <w:rPr>
          <w:rFonts w:ascii="Times New Roman" w:hAnsi="Times New Roman" w:cs="Times New Roman"/>
          <w:sz w:val="24"/>
          <w:szCs w:val="24"/>
        </w:rPr>
        <w:t>or</w:t>
      </w:r>
      <w:r w:rsidR="009152D2" w:rsidRPr="00B1466D">
        <w:rPr>
          <w:rFonts w:ascii="Times New Roman" w:hAnsi="Times New Roman" w:cs="Times New Roman"/>
          <w:sz w:val="24"/>
          <w:szCs w:val="24"/>
        </w:rPr>
        <w:t xml:space="preserve"> unfettered access</w:t>
      </w:r>
      <w:r w:rsidR="00790D8B" w:rsidRPr="00B1466D">
        <w:rPr>
          <w:rFonts w:ascii="Times New Roman" w:hAnsi="Times New Roman" w:cs="Times New Roman"/>
          <w:sz w:val="24"/>
          <w:szCs w:val="24"/>
        </w:rPr>
        <w:t xml:space="preserve"> to the</w:t>
      </w:r>
      <w:r w:rsidR="00B50E5A" w:rsidRPr="00B1466D">
        <w:rPr>
          <w:rFonts w:ascii="Times New Roman" w:hAnsi="Times New Roman" w:cs="Times New Roman"/>
          <w:sz w:val="24"/>
          <w:szCs w:val="24"/>
        </w:rPr>
        <w:t xml:space="preserve"> underlying</w:t>
      </w:r>
      <w:r w:rsidR="00790D8B" w:rsidRPr="00B1466D">
        <w:rPr>
          <w:rFonts w:ascii="Times New Roman" w:hAnsi="Times New Roman" w:cs="Times New Roman"/>
          <w:sz w:val="24"/>
          <w:szCs w:val="24"/>
        </w:rPr>
        <w:t xml:space="preserve"> documents of the</w:t>
      </w:r>
      <w:r w:rsidR="0097465B" w:rsidRPr="00B1466D">
        <w:rPr>
          <w:rFonts w:ascii="Times New Roman" w:hAnsi="Times New Roman" w:cs="Times New Roman"/>
          <w:sz w:val="24"/>
          <w:szCs w:val="24"/>
        </w:rPr>
        <w:t xml:space="preserve"> Principal Group Companies</w:t>
      </w:r>
      <w:r w:rsidR="005E2B53" w:rsidRPr="00B1466D">
        <w:rPr>
          <w:rFonts w:ascii="Times New Roman" w:hAnsi="Times New Roman" w:cs="Times New Roman"/>
          <w:sz w:val="24"/>
          <w:szCs w:val="24"/>
        </w:rPr>
        <w:t>.</w:t>
      </w:r>
      <w:r w:rsidR="00DE76AD" w:rsidRPr="00B1466D">
        <w:rPr>
          <w:rFonts w:ascii="Times New Roman" w:hAnsi="Times New Roman" w:cs="Times New Roman"/>
          <w:sz w:val="24"/>
          <w:szCs w:val="24"/>
        </w:rPr>
        <w:t xml:space="preserve"> </w:t>
      </w:r>
      <w:r w:rsidR="00B52A3B" w:rsidRPr="00B1466D">
        <w:rPr>
          <w:rFonts w:ascii="Times New Roman" w:hAnsi="Times New Roman" w:cs="Times New Roman"/>
          <w:sz w:val="24"/>
          <w:szCs w:val="24"/>
        </w:rPr>
        <w:t>In the circumstances, the Court accepts M</w:t>
      </w:r>
      <w:r w:rsidR="00CF5DCA" w:rsidRPr="00B1466D">
        <w:rPr>
          <w:rFonts w:ascii="Times New Roman" w:hAnsi="Times New Roman" w:cs="Times New Roman"/>
          <w:sz w:val="24"/>
          <w:szCs w:val="24"/>
        </w:rPr>
        <w:t>r Moore KC’s submission that the mere provision of information contained in the Board packs</w:t>
      </w:r>
      <w:r w:rsidR="00D3016E" w:rsidRPr="00B1466D">
        <w:rPr>
          <w:rFonts w:ascii="Times New Roman" w:hAnsi="Times New Roman" w:cs="Times New Roman"/>
          <w:sz w:val="24"/>
          <w:szCs w:val="24"/>
        </w:rPr>
        <w:t xml:space="preserve"> does not establish that the </w:t>
      </w:r>
      <w:r w:rsidR="00645F7F" w:rsidRPr="00B1466D">
        <w:rPr>
          <w:rFonts w:ascii="Times New Roman" w:hAnsi="Times New Roman" w:cs="Times New Roman"/>
          <w:sz w:val="24"/>
          <w:szCs w:val="24"/>
        </w:rPr>
        <w:t>Company</w:t>
      </w:r>
      <w:r w:rsidR="00C568E8" w:rsidRPr="00B1466D">
        <w:rPr>
          <w:rFonts w:ascii="Times New Roman" w:hAnsi="Times New Roman" w:cs="Times New Roman"/>
          <w:sz w:val="24"/>
          <w:szCs w:val="24"/>
        </w:rPr>
        <w:t xml:space="preserve"> enjoyed unfettered rights of access to </w:t>
      </w:r>
      <w:r w:rsidR="00A34817" w:rsidRPr="00B1466D">
        <w:rPr>
          <w:rFonts w:ascii="Times New Roman" w:hAnsi="Times New Roman" w:cs="Times New Roman"/>
          <w:sz w:val="24"/>
          <w:szCs w:val="24"/>
        </w:rPr>
        <w:t xml:space="preserve">the </w:t>
      </w:r>
      <w:r w:rsidR="00FF40FA" w:rsidRPr="00B1466D">
        <w:rPr>
          <w:rFonts w:ascii="Times New Roman" w:hAnsi="Times New Roman" w:cs="Times New Roman"/>
          <w:sz w:val="24"/>
          <w:szCs w:val="24"/>
        </w:rPr>
        <w:t>underlying documents of the Principal Group Companies.</w:t>
      </w:r>
    </w:p>
    <w:p w14:paraId="159FAE2E" w14:textId="77777777" w:rsidR="007C1786" w:rsidRDefault="007C1786" w:rsidP="00B12F5F">
      <w:pPr>
        <w:spacing w:before="120" w:line="360" w:lineRule="auto"/>
        <w:rPr>
          <w:rFonts w:ascii="Times New Roman" w:hAnsi="Times New Roman" w:cs="Times New Roman"/>
          <w:sz w:val="24"/>
          <w:szCs w:val="24"/>
        </w:rPr>
      </w:pPr>
    </w:p>
    <w:p w14:paraId="6AB173BF" w14:textId="41325E9E" w:rsidR="001C2591" w:rsidRPr="00B1466D" w:rsidRDefault="001A0FB1" w:rsidP="00FF2CBE">
      <w:pPr>
        <w:pStyle w:val="ListParagraph"/>
        <w:numPr>
          <w:ilvl w:val="0"/>
          <w:numId w:val="13"/>
        </w:numPr>
        <w:spacing w:before="120" w:line="360" w:lineRule="auto"/>
        <w:jc w:val="both"/>
        <w:rPr>
          <w:rFonts w:ascii="Times New Roman" w:hAnsi="Times New Roman" w:cs="Times New Roman"/>
          <w:sz w:val="24"/>
          <w:szCs w:val="24"/>
        </w:rPr>
      </w:pPr>
      <w:r w:rsidRPr="00B1466D">
        <w:rPr>
          <w:rFonts w:ascii="Times New Roman" w:hAnsi="Times New Roman" w:cs="Times New Roman"/>
          <w:sz w:val="24"/>
          <w:szCs w:val="24"/>
        </w:rPr>
        <w:t>The Court accepts Mr Parr’s evidence that, from his experience, reporting of this kind is commonplace in corporate groups</w:t>
      </w:r>
      <w:r w:rsidR="001C2591" w:rsidRPr="00B1466D">
        <w:rPr>
          <w:rFonts w:ascii="Times New Roman" w:hAnsi="Times New Roman" w:cs="Times New Roman"/>
          <w:sz w:val="24"/>
          <w:szCs w:val="24"/>
        </w:rPr>
        <w:t xml:space="preserve"> and merely reflects evidence of the normal relationship between a parent and subsidiary</w:t>
      </w:r>
      <w:r w:rsidR="00AE2713" w:rsidRPr="00B1466D">
        <w:rPr>
          <w:rFonts w:ascii="Times New Roman" w:hAnsi="Times New Roman" w:cs="Times New Roman"/>
          <w:sz w:val="24"/>
          <w:szCs w:val="24"/>
        </w:rPr>
        <w:t xml:space="preserve"> (</w:t>
      </w:r>
      <w:r w:rsidR="00947E26" w:rsidRPr="00B1466D">
        <w:rPr>
          <w:rFonts w:ascii="Times New Roman" w:hAnsi="Times New Roman" w:cs="Times New Roman"/>
          <w:sz w:val="24"/>
          <w:szCs w:val="24"/>
        </w:rPr>
        <w:t xml:space="preserve">as referred to in </w:t>
      </w:r>
      <w:r w:rsidR="00947E26" w:rsidRPr="00B1466D">
        <w:rPr>
          <w:rFonts w:ascii="Times New Roman" w:hAnsi="Times New Roman" w:cs="Times New Roman"/>
          <w:i/>
          <w:iCs/>
          <w:sz w:val="24"/>
          <w:szCs w:val="24"/>
        </w:rPr>
        <w:t>Lonrho</w:t>
      </w:r>
      <w:r w:rsidR="00947E26" w:rsidRPr="00B1466D">
        <w:rPr>
          <w:rFonts w:ascii="Times New Roman" w:hAnsi="Times New Roman" w:cs="Times New Roman"/>
          <w:sz w:val="24"/>
          <w:szCs w:val="24"/>
        </w:rPr>
        <w:t xml:space="preserve"> </w:t>
      </w:r>
      <w:r w:rsidR="00A15FE1" w:rsidRPr="00B1466D">
        <w:rPr>
          <w:rFonts w:ascii="Times New Roman" w:hAnsi="Times New Roman" w:cs="Times New Roman"/>
          <w:sz w:val="24"/>
          <w:szCs w:val="24"/>
        </w:rPr>
        <w:t>(CA) at 372 D-E</w:t>
      </w:r>
      <w:r w:rsidR="00947E26" w:rsidRPr="00B1466D">
        <w:rPr>
          <w:rFonts w:ascii="Times New Roman" w:hAnsi="Times New Roman" w:cs="Times New Roman"/>
          <w:sz w:val="24"/>
          <w:szCs w:val="24"/>
        </w:rPr>
        <w:t>;</w:t>
      </w:r>
      <w:r w:rsidR="00947E26" w:rsidRPr="00B1466D">
        <w:rPr>
          <w:rFonts w:ascii="Times New Roman" w:hAnsi="Times New Roman" w:cs="Times New Roman"/>
          <w:i/>
          <w:iCs/>
          <w:sz w:val="24"/>
          <w:szCs w:val="24"/>
        </w:rPr>
        <w:t xml:space="preserve"> Ardila </w:t>
      </w:r>
      <w:r w:rsidR="00947E26" w:rsidRPr="00B1466D">
        <w:rPr>
          <w:rFonts w:ascii="Times New Roman" w:hAnsi="Times New Roman" w:cs="Times New Roman"/>
          <w:sz w:val="24"/>
          <w:szCs w:val="24"/>
        </w:rPr>
        <w:t xml:space="preserve">at [21]; and </w:t>
      </w:r>
      <w:r w:rsidR="00947E26" w:rsidRPr="00B1466D">
        <w:rPr>
          <w:rFonts w:ascii="Times New Roman" w:hAnsi="Times New Roman" w:cs="Times New Roman"/>
          <w:i/>
          <w:iCs/>
          <w:sz w:val="24"/>
          <w:szCs w:val="24"/>
        </w:rPr>
        <w:t xml:space="preserve">Abudawood </w:t>
      </w:r>
      <w:r w:rsidR="00947E26" w:rsidRPr="00B1466D">
        <w:rPr>
          <w:rFonts w:ascii="Times New Roman" w:hAnsi="Times New Roman" w:cs="Times New Roman"/>
          <w:sz w:val="24"/>
          <w:szCs w:val="24"/>
        </w:rPr>
        <w:t>at [39]).</w:t>
      </w:r>
      <w:r w:rsidR="001C2591" w:rsidRPr="00B1466D">
        <w:rPr>
          <w:rFonts w:ascii="Times New Roman" w:hAnsi="Times New Roman" w:cs="Times New Roman"/>
          <w:sz w:val="24"/>
          <w:szCs w:val="24"/>
        </w:rPr>
        <w:t xml:space="preserve"> Furthermore, it appears to the Court that the information in the form of Board packs, Budget papers, forecast reports and Treasury reports provided to the </w:t>
      </w:r>
      <w:r w:rsidR="00645F7F" w:rsidRPr="00B1466D">
        <w:rPr>
          <w:rFonts w:ascii="Times New Roman" w:hAnsi="Times New Roman" w:cs="Times New Roman"/>
          <w:sz w:val="24"/>
          <w:szCs w:val="24"/>
        </w:rPr>
        <w:t>Company</w:t>
      </w:r>
      <w:r w:rsidR="001C2591" w:rsidRPr="00B1466D">
        <w:rPr>
          <w:rFonts w:ascii="Times New Roman" w:hAnsi="Times New Roman" w:cs="Times New Roman"/>
          <w:sz w:val="24"/>
          <w:szCs w:val="24"/>
        </w:rPr>
        <w:t xml:space="preserve"> and Jardine Matheson, w</w:t>
      </w:r>
      <w:r w:rsidR="00C61166" w:rsidRPr="00B1466D">
        <w:rPr>
          <w:rFonts w:ascii="Times New Roman" w:hAnsi="Times New Roman" w:cs="Times New Roman"/>
          <w:sz w:val="24"/>
          <w:szCs w:val="24"/>
        </w:rPr>
        <w:t>as</w:t>
      </w:r>
      <w:r w:rsidR="001C2591" w:rsidRPr="00B1466D">
        <w:rPr>
          <w:rFonts w:ascii="Times New Roman" w:hAnsi="Times New Roman" w:cs="Times New Roman"/>
          <w:sz w:val="24"/>
          <w:szCs w:val="24"/>
        </w:rPr>
        <w:t xml:space="preserve"> provided by the Principal Group Companies for a particular purpose, namely, to allow the </w:t>
      </w:r>
      <w:r w:rsidR="00645F7F" w:rsidRPr="00B1466D">
        <w:rPr>
          <w:rFonts w:ascii="Times New Roman" w:hAnsi="Times New Roman" w:cs="Times New Roman"/>
          <w:sz w:val="24"/>
          <w:szCs w:val="24"/>
        </w:rPr>
        <w:t>Company</w:t>
      </w:r>
      <w:r w:rsidR="001C2591" w:rsidRPr="00B1466D">
        <w:rPr>
          <w:rFonts w:ascii="Times New Roman" w:hAnsi="Times New Roman" w:cs="Times New Roman"/>
          <w:sz w:val="24"/>
          <w:szCs w:val="24"/>
        </w:rPr>
        <w:t xml:space="preserve"> and Jardine Matheson to discharge their functions and duties as holding companies. </w:t>
      </w:r>
      <w:r w:rsidR="005B5C75" w:rsidRPr="00B1466D">
        <w:rPr>
          <w:rFonts w:ascii="Times New Roman" w:hAnsi="Times New Roman" w:cs="Times New Roman"/>
          <w:sz w:val="24"/>
          <w:szCs w:val="24"/>
        </w:rPr>
        <w:t>As Mr Moore KC submits</w:t>
      </w:r>
      <w:r w:rsidR="00AC632D" w:rsidRPr="00B1466D">
        <w:rPr>
          <w:rFonts w:ascii="Times New Roman" w:hAnsi="Times New Roman" w:cs="Times New Roman"/>
          <w:sz w:val="24"/>
          <w:szCs w:val="24"/>
        </w:rPr>
        <w:t xml:space="preserve"> it is difficult to see how any director of any holding </w:t>
      </w:r>
      <w:r w:rsidR="00645F7F" w:rsidRPr="00B1466D">
        <w:rPr>
          <w:rFonts w:ascii="Times New Roman" w:hAnsi="Times New Roman" w:cs="Times New Roman"/>
          <w:sz w:val="24"/>
          <w:szCs w:val="24"/>
        </w:rPr>
        <w:t>Company</w:t>
      </w:r>
      <w:r w:rsidR="00AC632D" w:rsidRPr="00B1466D">
        <w:rPr>
          <w:rFonts w:ascii="Times New Roman" w:hAnsi="Times New Roman" w:cs="Times New Roman"/>
          <w:sz w:val="24"/>
          <w:szCs w:val="24"/>
        </w:rPr>
        <w:t xml:space="preserve"> could discharge his or her fiduciary duties without reportage from the subsidiary companies</w:t>
      </w:r>
      <w:r w:rsidR="008A3948" w:rsidRPr="00B1466D">
        <w:rPr>
          <w:rFonts w:ascii="Times New Roman" w:hAnsi="Times New Roman" w:cs="Times New Roman"/>
          <w:sz w:val="24"/>
          <w:szCs w:val="24"/>
        </w:rPr>
        <w:t>. The Court accepts</w:t>
      </w:r>
      <w:r w:rsidR="00197B4D" w:rsidRPr="00B1466D">
        <w:rPr>
          <w:rFonts w:ascii="Times New Roman" w:hAnsi="Times New Roman" w:cs="Times New Roman"/>
          <w:sz w:val="24"/>
          <w:szCs w:val="24"/>
        </w:rPr>
        <w:t xml:space="preserve"> that it is not</w:t>
      </w:r>
      <w:r w:rsidR="00D85A2B" w:rsidRPr="00B1466D">
        <w:rPr>
          <w:rFonts w:ascii="Times New Roman" w:hAnsi="Times New Roman" w:cs="Times New Roman"/>
          <w:sz w:val="24"/>
          <w:szCs w:val="24"/>
        </w:rPr>
        <w:t xml:space="preserve"> possibly </w:t>
      </w:r>
      <w:r w:rsidR="00265AEB" w:rsidRPr="00B1466D">
        <w:rPr>
          <w:rFonts w:ascii="Times New Roman" w:hAnsi="Times New Roman" w:cs="Times New Roman"/>
          <w:sz w:val="24"/>
          <w:szCs w:val="24"/>
        </w:rPr>
        <w:t xml:space="preserve">to </w:t>
      </w:r>
      <w:r w:rsidR="00D85A2B" w:rsidRPr="00B1466D">
        <w:rPr>
          <w:rFonts w:ascii="Times New Roman" w:hAnsi="Times New Roman" w:cs="Times New Roman"/>
          <w:sz w:val="24"/>
          <w:szCs w:val="24"/>
        </w:rPr>
        <w:t xml:space="preserve">infer from the fact that subsidiary companies prepared reports for their principal and intermediate holding companies that the intermediate holding </w:t>
      </w:r>
      <w:r w:rsidR="00645F7F" w:rsidRPr="00B1466D">
        <w:rPr>
          <w:rFonts w:ascii="Times New Roman" w:hAnsi="Times New Roman" w:cs="Times New Roman"/>
          <w:sz w:val="24"/>
          <w:szCs w:val="24"/>
        </w:rPr>
        <w:t>Company</w:t>
      </w:r>
      <w:r w:rsidR="00D85A2B" w:rsidRPr="00B1466D">
        <w:rPr>
          <w:rFonts w:ascii="Times New Roman" w:hAnsi="Times New Roman" w:cs="Times New Roman"/>
          <w:sz w:val="24"/>
          <w:szCs w:val="24"/>
        </w:rPr>
        <w:t xml:space="preserve"> (or indeed the principal holding </w:t>
      </w:r>
      <w:r w:rsidR="00645F7F" w:rsidRPr="00B1466D">
        <w:rPr>
          <w:rFonts w:ascii="Times New Roman" w:hAnsi="Times New Roman" w:cs="Times New Roman"/>
          <w:sz w:val="24"/>
          <w:szCs w:val="24"/>
        </w:rPr>
        <w:t>Company</w:t>
      </w:r>
      <w:r w:rsidR="00D85A2B" w:rsidRPr="00B1466D">
        <w:rPr>
          <w:rFonts w:ascii="Times New Roman" w:hAnsi="Times New Roman" w:cs="Times New Roman"/>
          <w:sz w:val="24"/>
          <w:szCs w:val="24"/>
        </w:rPr>
        <w:t>) had</w:t>
      </w:r>
      <w:r w:rsidR="00EC2D28" w:rsidRPr="00B1466D">
        <w:rPr>
          <w:rFonts w:ascii="Times New Roman" w:hAnsi="Times New Roman" w:cs="Times New Roman"/>
          <w:sz w:val="24"/>
          <w:szCs w:val="24"/>
        </w:rPr>
        <w:t xml:space="preserve"> free </w:t>
      </w:r>
      <w:r w:rsidR="008F749A" w:rsidRPr="00B1466D">
        <w:rPr>
          <w:rFonts w:ascii="Times New Roman" w:hAnsi="Times New Roman" w:cs="Times New Roman"/>
          <w:sz w:val="24"/>
          <w:szCs w:val="24"/>
        </w:rPr>
        <w:t>or</w:t>
      </w:r>
      <w:r w:rsidR="00EC2D28" w:rsidRPr="00B1466D">
        <w:rPr>
          <w:rFonts w:ascii="Times New Roman" w:hAnsi="Times New Roman" w:cs="Times New Roman"/>
          <w:sz w:val="24"/>
          <w:szCs w:val="24"/>
        </w:rPr>
        <w:t xml:space="preserve"> unfettered</w:t>
      </w:r>
      <w:r w:rsidR="00D85A2B" w:rsidRPr="00B1466D">
        <w:rPr>
          <w:rFonts w:ascii="Times New Roman" w:hAnsi="Times New Roman" w:cs="Times New Roman"/>
          <w:sz w:val="24"/>
          <w:szCs w:val="24"/>
        </w:rPr>
        <w:t xml:space="preserve"> access to the subsidiary </w:t>
      </w:r>
      <w:r w:rsidR="00645F7F" w:rsidRPr="00B1466D">
        <w:rPr>
          <w:rFonts w:ascii="Times New Roman" w:hAnsi="Times New Roman" w:cs="Times New Roman"/>
          <w:sz w:val="24"/>
          <w:szCs w:val="24"/>
        </w:rPr>
        <w:t>Company</w:t>
      </w:r>
      <w:r w:rsidR="00D85A2B" w:rsidRPr="00B1466D">
        <w:rPr>
          <w:rFonts w:ascii="Times New Roman" w:hAnsi="Times New Roman" w:cs="Times New Roman"/>
          <w:sz w:val="24"/>
          <w:szCs w:val="24"/>
        </w:rPr>
        <w:t>’s underlying documents.</w:t>
      </w:r>
    </w:p>
    <w:p w14:paraId="6D13F54C" w14:textId="77777777" w:rsidR="009C6031" w:rsidRDefault="009C6031" w:rsidP="00D85A2B">
      <w:pPr>
        <w:spacing w:before="120" w:line="360" w:lineRule="auto"/>
        <w:rPr>
          <w:rFonts w:ascii="Times New Roman" w:hAnsi="Times New Roman" w:cs="Times New Roman"/>
          <w:sz w:val="24"/>
          <w:szCs w:val="24"/>
        </w:rPr>
      </w:pPr>
    </w:p>
    <w:p w14:paraId="3C40C88B" w14:textId="65794D47" w:rsidR="009C6031" w:rsidRPr="00B1466D" w:rsidRDefault="00285E5B" w:rsidP="00FF2CBE">
      <w:pPr>
        <w:pStyle w:val="ListParagraph"/>
        <w:numPr>
          <w:ilvl w:val="0"/>
          <w:numId w:val="13"/>
        </w:numPr>
        <w:spacing w:before="120" w:line="360" w:lineRule="auto"/>
        <w:jc w:val="both"/>
        <w:rPr>
          <w:rFonts w:ascii="Times New Roman" w:hAnsi="Times New Roman" w:cs="Times New Roman"/>
          <w:sz w:val="24"/>
          <w:szCs w:val="24"/>
        </w:rPr>
      </w:pPr>
      <w:r w:rsidRPr="00B1466D">
        <w:rPr>
          <w:rFonts w:ascii="Times New Roman" w:hAnsi="Times New Roman" w:cs="Times New Roman"/>
          <w:sz w:val="24"/>
          <w:szCs w:val="24"/>
        </w:rPr>
        <w:t>I</w:t>
      </w:r>
      <w:r w:rsidR="00E17CD5" w:rsidRPr="00B1466D">
        <w:rPr>
          <w:rFonts w:ascii="Times New Roman" w:hAnsi="Times New Roman" w:cs="Times New Roman"/>
          <w:sz w:val="24"/>
          <w:szCs w:val="24"/>
        </w:rPr>
        <w:t>n relation to the preparation of the budgets the Plaintiffs</w:t>
      </w:r>
      <w:r w:rsidR="00D30BAF" w:rsidRPr="00B1466D">
        <w:rPr>
          <w:rFonts w:ascii="Times New Roman" w:hAnsi="Times New Roman" w:cs="Times New Roman"/>
          <w:sz w:val="24"/>
          <w:szCs w:val="24"/>
        </w:rPr>
        <w:t xml:space="preserve"> </w:t>
      </w:r>
      <w:r w:rsidR="00EC33FA" w:rsidRPr="00B1466D">
        <w:rPr>
          <w:rFonts w:ascii="Times New Roman" w:hAnsi="Times New Roman" w:cs="Times New Roman"/>
          <w:sz w:val="24"/>
          <w:szCs w:val="24"/>
        </w:rPr>
        <w:t xml:space="preserve">also </w:t>
      </w:r>
      <w:r w:rsidR="00D30BAF" w:rsidRPr="00B1466D">
        <w:rPr>
          <w:rFonts w:ascii="Times New Roman" w:hAnsi="Times New Roman" w:cs="Times New Roman"/>
          <w:sz w:val="24"/>
          <w:szCs w:val="24"/>
        </w:rPr>
        <w:t xml:space="preserve">rely on an email </w:t>
      </w:r>
      <w:r w:rsidR="00250E04" w:rsidRPr="00B1466D">
        <w:rPr>
          <w:rFonts w:ascii="Times New Roman" w:hAnsi="Times New Roman" w:cs="Times New Roman"/>
          <w:sz w:val="24"/>
          <w:szCs w:val="24"/>
        </w:rPr>
        <w:t>of Kelly</w:t>
      </w:r>
      <w:r w:rsidR="00085C32" w:rsidRPr="00B1466D">
        <w:rPr>
          <w:rFonts w:ascii="Times New Roman" w:hAnsi="Times New Roman" w:cs="Times New Roman"/>
          <w:sz w:val="24"/>
          <w:szCs w:val="24"/>
        </w:rPr>
        <w:t xml:space="preserve"> Kong in relation to the preparation of the 2021 Budget. The Plaintiffs contend that: (i) responses to the email should have been disclosed; (ii) “</w:t>
      </w:r>
      <w:r w:rsidR="00085C32" w:rsidRPr="00B1466D">
        <w:rPr>
          <w:rFonts w:ascii="Times New Roman" w:hAnsi="Times New Roman" w:cs="Times New Roman"/>
          <w:i/>
          <w:iCs/>
          <w:sz w:val="24"/>
          <w:szCs w:val="24"/>
        </w:rPr>
        <w:t>entities sitting at the top of</w:t>
      </w:r>
      <w:r w:rsidR="00250E04" w:rsidRPr="00B1466D">
        <w:rPr>
          <w:rFonts w:ascii="Times New Roman" w:hAnsi="Times New Roman" w:cs="Times New Roman"/>
          <w:i/>
          <w:iCs/>
          <w:sz w:val="24"/>
          <w:szCs w:val="24"/>
        </w:rPr>
        <w:t xml:space="preserve"> the Group</w:t>
      </w:r>
      <w:r w:rsidR="00250E04" w:rsidRPr="00B1466D">
        <w:rPr>
          <w:rFonts w:ascii="Times New Roman" w:hAnsi="Times New Roman" w:cs="Times New Roman"/>
          <w:sz w:val="24"/>
          <w:szCs w:val="24"/>
        </w:rPr>
        <w:t>” could call for detailed financial information; (iii) Ms Kong’s email “</w:t>
      </w:r>
      <w:r w:rsidR="00250E04" w:rsidRPr="00B1466D">
        <w:rPr>
          <w:rFonts w:ascii="Times New Roman" w:hAnsi="Times New Roman" w:cs="Times New Roman"/>
          <w:i/>
          <w:iCs/>
          <w:sz w:val="24"/>
          <w:szCs w:val="24"/>
        </w:rPr>
        <w:t xml:space="preserve">can only sensibly have been on behalf of the </w:t>
      </w:r>
      <w:r w:rsidR="00645F7F" w:rsidRPr="00B1466D">
        <w:rPr>
          <w:rFonts w:ascii="Times New Roman" w:hAnsi="Times New Roman" w:cs="Times New Roman"/>
          <w:i/>
          <w:iCs/>
          <w:sz w:val="24"/>
          <w:szCs w:val="24"/>
        </w:rPr>
        <w:t>Company</w:t>
      </w:r>
      <w:r w:rsidR="00250E04" w:rsidRPr="00B1466D">
        <w:rPr>
          <w:rFonts w:ascii="Times New Roman" w:hAnsi="Times New Roman" w:cs="Times New Roman"/>
          <w:sz w:val="24"/>
          <w:szCs w:val="24"/>
        </w:rPr>
        <w:t>”; and (iv) Ms Kong felt able to require the recipients of her email to provide information requested in the form she requested it.</w:t>
      </w:r>
    </w:p>
    <w:p w14:paraId="34B5973B" w14:textId="77777777" w:rsidR="00250E04" w:rsidRDefault="00250E04" w:rsidP="00250E04">
      <w:pPr>
        <w:spacing w:before="120" w:line="360" w:lineRule="auto"/>
        <w:rPr>
          <w:rFonts w:ascii="Times New Roman" w:hAnsi="Times New Roman" w:cs="Times New Roman"/>
          <w:sz w:val="24"/>
          <w:szCs w:val="24"/>
        </w:rPr>
      </w:pPr>
    </w:p>
    <w:p w14:paraId="420E9BFD" w14:textId="4545BE18" w:rsidR="00250E04" w:rsidRPr="00B1466D" w:rsidRDefault="00E76D0B" w:rsidP="00FF2CBE">
      <w:pPr>
        <w:pStyle w:val="ListParagraph"/>
        <w:numPr>
          <w:ilvl w:val="0"/>
          <w:numId w:val="13"/>
        </w:numPr>
        <w:spacing w:before="120" w:line="360" w:lineRule="auto"/>
        <w:jc w:val="both"/>
        <w:rPr>
          <w:rFonts w:ascii="Times New Roman" w:hAnsi="Times New Roman" w:cs="Times New Roman"/>
          <w:sz w:val="24"/>
          <w:szCs w:val="24"/>
        </w:rPr>
      </w:pPr>
      <w:r w:rsidRPr="00B1466D">
        <w:rPr>
          <w:rFonts w:ascii="Times New Roman" w:hAnsi="Times New Roman" w:cs="Times New Roman"/>
          <w:sz w:val="24"/>
          <w:szCs w:val="24"/>
        </w:rPr>
        <w:t>The Court accepts Mr Parr’s evidence that</w:t>
      </w:r>
      <w:r w:rsidR="005E6C23" w:rsidRPr="00B1466D">
        <w:rPr>
          <w:rFonts w:ascii="Times New Roman" w:hAnsi="Times New Roman" w:cs="Times New Roman"/>
          <w:sz w:val="24"/>
          <w:szCs w:val="24"/>
        </w:rPr>
        <w:t xml:space="preserve"> the</w:t>
      </w:r>
      <w:r w:rsidR="009F1D69" w:rsidRPr="00B1466D">
        <w:rPr>
          <w:rFonts w:ascii="Times New Roman" w:hAnsi="Times New Roman" w:cs="Times New Roman"/>
          <w:sz w:val="24"/>
          <w:szCs w:val="24"/>
        </w:rPr>
        <w:t xml:space="preserve"> email explains (and attaches) certain broad guidelines and assumptions to be adopted across the Group for the preparation of each entity's budget. </w:t>
      </w:r>
      <w:r w:rsidR="00752D36" w:rsidRPr="00B1466D">
        <w:rPr>
          <w:rFonts w:ascii="Times New Roman" w:hAnsi="Times New Roman" w:cs="Times New Roman"/>
          <w:sz w:val="24"/>
          <w:szCs w:val="24"/>
        </w:rPr>
        <w:t>Mr Parr says that he has</w:t>
      </w:r>
      <w:r w:rsidR="009F1D69" w:rsidRPr="00B1466D">
        <w:rPr>
          <w:rFonts w:ascii="Times New Roman" w:hAnsi="Times New Roman" w:cs="Times New Roman"/>
          <w:sz w:val="24"/>
          <w:szCs w:val="24"/>
        </w:rPr>
        <w:t xml:space="preserve"> verified with Ms Kong, that the email was sent by her, working for JML (Group Finance) on behalf of Jardine Matheson, to enable Jardine Matheson to produce its budget as evidenced by Ms Kong's reference to "</w:t>
      </w:r>
      <w:r w:rsidR="009F1D69" w:rsidRPr="00B1466D">
        <w:rPr>
          <w:rFonts w:ascii="Times New Roman" w:hAnsi="Times New Roman" w:cs="Times New Roman"/>
          <w:i/>
          <w:iCs/>
          <w:sz w:val="24"/>
          <w:szCs w:val="24"/>
        </w:rPr>
        <w:t>the preparation of our Budget</w:t>
      </w:r>
      <w:r w:rsidR="009F1D69" w:rsidRPr="00B1466D">
        <w:rPr>
          <w:rFonts w:ascii="Times New Roman" w:hAnsi="Times New Roman" w:cs="Times New Roman"/>
          <w:sz w:val="24"/>
          <w:szCs w:val="24"/>
        </w:rPr>
        <w:t>" (the use of "</w:t>
      </w:r>
      <w:r w:rsidR="009F1D69" w:rsidRPr="00B1466D">
        <w:rPr>
          <w:rFonts w:ascii="Times New Roman" w:hAnsi="Times New Roman" w:cs="Times New Roman"/>
          <w:i/>
          <w:iCs/>
          <w:sz w:val="24"/>
          <w:szCs w:val="24"/>
        </w:rPr>
        <w:t>our</w:t>
      </w:r>
      <w:r w:rsidR="009F1D69" w:rsidRPr="00B1466D">
        <w:rPr>
          <w:rFonts w:ascii="Times New Roman" w:hAnsi="Times New Roman" w:cs="Times New Roman"/>
          <w:sz w:val="24"/>
          <w:szCs w:val="24"/>
        </w:rPr>
        <w:t xml:space="preserve">" being a reference to Jardine Matheson). The email from Ms Kong was received by </w:t>
      </w:r>
      <w:r w:rsidR="00D1081D" w:rsidRPr="00B1466D">
        <w:rPr>
          <w:rFonts w:ascii="Times New Roman" w:hAnsi="Times New Roman" w:cs="Times New Roman"/>
          <w:sz w:val="24"/>
          <w:szCs w:val="24"/>
        </w:rPr>
        <w:t xml:space="preserve">the </w:t>
      </w:r>
      <w:r w:rsidR="00645F7F" w:rsidRPr="00B1466D">
        <w:rPr>
          <w:rFonts w:ascii="Times New Roman" w:hAnsi="Times New Roman" w:cs="Times New Roman"/>
          <w:sz w:val="24"/>
          <w:szCs w:val="24"/>
        </w:rPr>
        <w:t>Company</w:t>
      </w:r>
      <w:r w:rsidR="009F1D69" w:rsidRPr="00B1466D">
        <w:rPr>
          <w:rFonts w:ascii="Times New Roman" w:hAnsi="Times New Roman" w:cs="Times New Roman"/>
          <w:sz w:val="24"/>
          <w:szCs w:val="24"/>
        </w:rPr>
        <w:t xml:space="preserve"> (and thereby came into </w:t>
      </w:r>
      <w:r w:rsidR="00D1081D" w:rsidRPr="00B1466D">
        <w:rPr>
          <w:rFonts w:ascii="Times New Roman" w:hAnsi="Times New Roman" w:cs="Times New Roman"/>
          <w:sz w:val="24"/>
          <w:szCs w:val="24"/>
        </w:rPr>
        <w:t xml:space="preserve">the </w:t>
      </w:r>
      <w:r w:rsidR="00645F7F" w:rsidRPr="00B1466D">
        <w:rPr>
          <w:rFonts w:ascii="Times New Roman" w:hAnsi="Times New Roman" w:cs="Times New Roman"/>
          <w:sz w:val="24"/>
          <w:szCs w:val="24"/>
        </w:rPr>
        <w:t>Company</w:t>
      </w:r>
      <w:r w:rsidR="00D1081D" w:rsidRPr="00B1466D">
        <w:rPr>
          <w:rFonts w:ascii="Times New Roman" w:hAnsi="Times New Roman" w:cs="Times New Roman"/>
          <w:sz w:val="24"/>
          <w:szCs w:val="24"/>
        </w:rPr>
        <w:t>’s</w:t>
      </w:r>
      <w:r w:rsidR="009F1D69" w:rsidRPr="00B1466D">
        <w:rPr>
          <w:rFonts w:ascii="Times New Roman" w:hAnsi="Times New Roman" w:cs="Times New Roman"/>
          <w:sz w:val="24"/>
          <w:szCs w:val="24"/>
        </w:rPr>
        <w:t xml:space="preserve"> PCP) because the assumptions and guidelines set out </w:t>
      </w:r>
      <w:r w:rsidR="003327C2" w:rsidRPr="00B1466D">
        <w:rPr>
          <w:rFonts w:ascii="Times New Roman" w:hAnsi="Times New Roman" w:cs="Times New Roman"/>
          <w:sz w:val="24"/>
          <w:szCs w:val="24"/>
        </w:rPr>
        <w:t>in the email</w:t>
      </w:r>
      <w:r w:rsidR="009F1D69" w:rsidRPr="00B1466D">
        <w:rPr>
          <w:rFonts w:ascii="Times New Roman" w:hAnsi="Times New Roman" w:cs="Times New Roman"/>
          <w:sz w:val="24"/>
          <w:szCs w:val="24"/>
        </w:rPr>
        <w:t xml:space="preserve"> applied equally to </w:t>
      </w:r>
      <w:r w:rsidR="00E94BBA" w:rsidRPr="00B1466D">
        <w:rPr>
          <w:rFonts w:ascii="Times New Roman" w:hAnsi="Times New Roman" w:cs="Times New Roman"/>
          <w:sz w:val="24"/>
          <w:szCs w:val="24"/>
        </w:rPr>
        <w:t xml:space="preserve">the </w:t>
      </w:r>
      <w:r w:rsidR="00645F7F" w:rsidRPr="00B1466D">
        <w:rPr>
          <w:rFonts w:ascii="Times New Roman" w:hAnsi="Times New Roman" w:cs="Times New Roman"/>
          <w:sz w:val="24"/>
          <w:szCs w:val="24"/>
        </w:rPr>
        <w:t>Company</w:t>
      </w:r>
      <w:r w:rsidR="009F1D69" w:rsidRPr="00B1466D">
        <w:rPr>
          <w:rFonts w:ascii="Times New Roman" w:hAnsi="Times New Roman" w:cs="Times New Roman"/>
          <w:sz w:val="24"/>
          <w:szCs w:val="24"/>
        </w:rPr>
        <w:t xml:space="preserve"> (as a subsidiary within the Group) for the preparation of its budget.</w:t>
      </w:r>
      <w:r w:rsidR="007246C7" w:rsidRPr="00B1466D">
        <w:rPr>
          <w:rFonts w:ascii="Times New Roman" w:hAnsi="Times New Roman" w:cs="Times New Roman"/>
          <w:sz w:val="24"/>
          <w:szCs w:val="24"/>
        </w:rPr>
        <w:t xml:space="preserve"> The email requested certain consolidated financial information for use by Jardine Matheson in preparing its budget. </w:t>
      </w:r>
      <w:r w:rsidR="00F02DE6" w:rsidRPr="00B1466D">
        <w:rPr>
          <w:rFonts w:ascii="Times New Roman" w:hAnsi="Times New Roman" w:cs="Times New Roman"/>
          <w:sz w:val="24"/>
          <w:szCs w:val="24"/>
        </w:rPr>
        <w:t>Mr Parr says that he is informed by</w:t>
      </w:r>
      <w:r w:rsidR="007246C7" w:rsidRPr="00B1466D">
        <w:rPr>
          <w:rFonts w:ascii="Times New Roman" w:hAnsi="Times New Roman" w:cs="Times New Roman"/>
          <w:sz w:val="24"/>
          <w:szCs w:val="24"/>
        </w:rPr>
        <w:t xml:space="preserve"> Ms Kong that the major business units within the Group subsequently submitted consolidated financial data for budget purposes into</w:t>
      </w:r>
      <w:r w:rsidR="00F02DE6" w:rsidRPr="00B1466D">
        <w:rPr>
          <w:rFonts w:ascii="Times New Roman" w:hAnsi="Times New Roman" w:cs="Times New Roman"/>
          <w:sz w:val="24"/>
          <w:szCs w:val="24"/>
        </w:rPr>
        <w:t xml:space="preserve"> JFRS.</w:t>
      </w:r>
      <w:r w:rsidR="00D66752" w:rsidRPr="00B1466D">
        <w:rPr>
          <w:rFonts w:ascii="Times New Roman" w:hAnsi="Times New Roman" w:cs="Times New Roman"/>
          <w:sz w:val="24"/>
          <w:szCs w:val="24"/>
        </w:rPr>
        <w:t xml:space="preserve"> The Court is satisfied that Ms Kong’s email does not assist in establishing that the </w:t>
      </w:r>
      <w:r w:rsidR="00645F7F" w:rsidRPr="00B1466D">
        <w:rPr>
          <w:rFonts w:ascii="Times New Roman" w:hAnsi="Times New Roman" w:cs="Times New Roman"/>
          <w:sz w:val="24"/>
          <w:szCs w:val="24"/>
        </w:rPr>
        <w:t>Company</w:t>
      </w:r>
      <w:r w:rsidR="00D66752" w:rsidRPr="00B1466D">
        <w:rPr>
          <w:rFonts w:ascii="Times New Roman" w:hAnsi="Times New Roman" w:cs="Times New Roman"/>
          <w:sz w:val="24"/>
          <w:szCs w:val="24"/>
        </w:rPr>
        <w:t xml:space="preserve"> had</w:t>
      </w:r>
      <w:r w:rsidR="00760855" w:rsidRPr="00B1466D">
        <w:rPr>
          <w:rFonts w:ascii="Times New Roman" w:hAnsi="Times New Roman" w:cs="Times New Roman"/>
          <w:sz w:val="24"/>
          <w:szCs w:val="24"/>
        </w:rPr>
        <w:t xml:space="preserve"> free </w:t>
      </w:r>
      <w:r w:rsidR="008F749A" w:rsidRPr="00B1466D">
        <w:rPr>
          <w:rFonts w:ascii="Times New Roman" w:hAnsi="Times New Roman" w:cs="Times New Roman"/>
          <w:sz w:val="24"/>
          <w:szCs w:val="24"/>
        </w:rPr>
        <w:t>or</w:t>
      </w:r>
      <w:r w:rsidR="00760855" w:rsidRPr="00B1466D">
        <w:rPr>
          <w:rFonts w:ascii="Times New Roman" w:hAnsi="Times New Roman" w:cs="Times New Roman"/>
          <w:sz w:val="24"/>
          <w:szCs w:val="24"/>
        </w:rPr>
        <w:t xml:space="preserve"> unfettered access to the documents of the Principal Group Companies.</w:t>
      </w:r>
    </w:p>
    <w:p w14:paraId="49EAAEDE" w14:textId="77777777" w:rsidR="00EC33FA" w:rsidRDefault="00EC33FA" w:rsidP="007246C7">
      <w:pPr>
        <w:spacing w:before="120" w:line="360" w:lineRule="auto"/>
        <w:rPr>
          <w:rFonts w:ascii="Times New Roman" w:hAnsi="Times New Roman" w:cs="Times New Roman"/>
          <w:sz w:val="24"/>
          <w:szCs w:val="24"/>
        </w:rPr>
      </w:pPr>
    </w:p>
    <w:p w14:paraId="71326F66" w14:textId="73497269" w:rsidR="00EC33FA" w:rsidRPr="00B1466D" w:rsidRDefault="00EC33FA" w:rsidP="00FF2CBE">
      <w:pPr>
        <w:pStyle w:val="ListParagraph"/>
        <w:numPr>
          <w:ilvl w:val="0"/>
          <w:numId w:val="13"/>
        </w:numPr>
        <w:spacing w:before="120" w:line="360" w:lineRule="auto"/>
        <w:jc w:val="both"/>
        <w:rPr>
          <w:rFonts w:ascii="Times New Roman" w:hAnsi="Times New Roman" w:cs="Times New Roman"/>
          <w:sz w:val="24"/>
          <w:szCs w:val="24"/>
        </w:rPr>
      </w:pPr>
      <w:r w:rsidRPr="00B1466D">
        <w:rPr>
          <w:rFonts w:ascii="Times New Roman" w:hAnsi="Times New Roman" w:cs="Times New Roman"/>
          <w:sz w:val="24"/>
          <w:szCs w:val="24"/>
        </w:rPr>
        <w:t>Finally,</w:t>
      </w:r>
      <w:r w:rsidR="005442C9" w:rsidRPr="00B1466D">
        <w:rPr>
          <w:rFonts w:ascii="Times New Roman" w:hAnsi="Times New Roman" w:cs="Times New Roman"/>
          <w:sz w:val="24"/>
          <w:szCs w:val="24"/>
        </w:rPr>
        <w:t xml:space="preserve"> the Plaintiffs rely on the fact that the </w:t>
      </w:r>
      <w:r w:rsidR="00645F7F" w:rsidRPr="00B1466D">
        <w:rPr>
          <w:rFonts w:ascii="Times New Roman" w:hAnsi="Times New Roman" w:cs="Times New Roman"/>
          <w:sz w:val="24"/>
          <w:szCs w:val="24"/>
        </w:rPr>
        <w:t>Company</w:t>
      </w:r>
      <w:r w:rsidR="00D8374C" w:rsidRPr="00B1466D">
        <w:rPr>
          <w:rFonts w:ascii="Times New Roman" w:hAnsi="Times New Roman" w:cs="Times New Roman"/>
          <w:sz w:val="24"/>
          <w:szCs w:val="24"/>
        </w:rPr>
        <w:t xml:space="preserve"> and Jardine Matheson were able to obtain detailed reports o</w:t>
      </w:r>
      <w:r w:rsidR="004D5A9F" w:rsidRPr="00B1466D">
        <w:rPr>
          <w:rFonts w:ascii="Times New Roman" w:hAnsi="Times New Roman" w:cs="Times New Roman"/>
          <w:sz w:val="24"/>
          <w:szCs w:val="24"/>
        </w:rPr>
        <w:t>r</w:t>
      </w:r>
      <w:r w:rsidR="00D8374C" w:rsidRPr="00B1466D">
        <w:rPr>
          <w:rFonts w:ascii="Times New Roman" w:hAnsi="Times New Roman" w:cs="Times New Roman"/>
          <w:sz w:val="24"/>
          <w:szCs w:val="24"/>
        </w:rPr>
        <w:t xml:space="preserve"> information from the Group companies, including the other Principal Group Companies, in response to specific requests </w:t>
      </w:r>
      <w:r w:rsidR="00372195" w:rsidRPr="00B1466D">
        <w:rPr>
          <w:rFonts w:ascii="Times New Roman" w:hAnsi="Times New Roman" w:cs="Times New Roman"/>
          <w:sz w:val="24"/>
          <w:szCs w:val="24"/>
        </w:rPr>
        <w:t>for</w:t>
      </w:r>
      <w:r w:rsidR="00D8374C" w:rsidRPr="00B1466D">
        <w:rPr>
          <w:rFonts w:ascii="Times New Roman" w:hAnsi="Times New Roman" w:cs="Times New Roman"/>
          <w:sz w:val="24"/>
          <w:szCs w:val="24"/>
        </w:rPr>
        <w:t xml:space="preserve"> particular information. This list include</w:t>
      </w:r>
      <w:r w:rsidR="0096354B" w:rsidRPr="00B1466D">
        <w:rPr>
          <w:rFonts w:ascii="Times New Roman" w:hAnsi="Times New Roman" w:cs="Times New Roman"/>
          <w:sz w:val="24"/>
          <w:szCs w:val="24"/>
        </w:rPr>
        <w:t>s Board papers considering the impact on the Group</w:t>
      </w:r>
      <w:r w:rsidR="005862F0" w:rsidRPr="00B1466D">
        <w:rPr>
          <w:rFonts w:ascii="Times New Roman" w:hAnsi="Times New Roman" w:cs="Times New Roman"/>
          <w:sz w:val="24"/>
          <w:szCs w:val="24"/>
        </w:rPr>
        <w:t xml:space="preserve"> of the US-China trade conflict</w:t>
      </w:r>
      <w:r w:rsidR="006A225A" w:rsidRPr="00B1466D">
        <w:rPr>
          <w:rFonts w:ascii="Times New Roman" w:hAnsi="Times New Roman" w:cs="Times New Roman"/>
          <w:sz w:val="24"/>
          <w:szCs w:val="24"/>
        </w:rPr>
        <w:t xml:space="preserve"> and detail</w:t>
      </w:r>
      <w:r w:rsidR="0061673C" w:rsidRPr="00B1466D">
        <w:rPr>
          <w:rFonts w:ascii="Times New Roman" w:hAnsi="Times New Roman" w:cs="Times New Roman"/>
          <w:sz w:val="24"/>
          <w:szCs w:val="24"/>
        </w:rPr>
        <w:t>ed</w:t>
      </w:r>
      <w:r w:rsidR="006A225A" w:rsidRPr="00B1466D">
        <w:rPr>
          <w:rFonts w:ascii="Times New Roman" w:hAnsi="Times New Roman" w:cs="Times New Roman"/>
          <w:sz w:val="24"/>
          <w:szCs w:val="24"/>
        </w:rPr>
        <w:t xml:space="preserve"> papers considering the impact through the evolving COVID-19</w:t>
      </w:r>
      <w:r w:rsidR="00177F34" w:rsidRPr="00B1466D">
        <w:rPr>
          <w:rFonts w:ascii="Times New Roman" w:hAnsi="Times New Roman" w:cs="Times New Roman"/>
          <w:sz w:val="24"/>
          <w:szCs w:val="24"/>
        </w:rPr>
        <w:t xml:space="preserve"> pandemic on the Group (including the Principal Group Companies) in March 2020, May 2020, July 2020 and December 2020.</w:t>
      </w:r>
      <w:r w:rsidR="00E911A1" w:rsidRPr="00B1466D">
        <w:rPr>
          <w:rFonts w:ascii="Times New Roman" w:hAnsi="Times New Roman" w:cs="Times New Roman"/>
          <w:sz w:val="24"/>
          <w:szCs w:val="24"/>
        </w:rPr>
        <w:t xml:space="preserve"> The Plaintiffs conten</w:t>
      </w:r>
      <w:r w:rsidR="00EC547F" w:rsidRPr="00B1466D">
        <w:rPr>
          <w:rFonts w:ascii="Times New Roman" w:hAnsi="Times New Roman" w:cs="Times New Roman"/>
          <w:sz w:val="24"/>
          <w:szCs w:val="24"/>
        </w:rPr>
        <w:t>d</w:t>
      </w:r>
      <w:r w:rsidR="00E911A1" w:rsidRPr="00B1466D">
        <w:rPr>
          <w:rFonts w:ascii="Times New Roman" w:hAnsi="Times New Roman" w:cs="Times New Roman"/>
          <w:sz w:val="24"/>
          <w:szCs w:val="24"/>
        </w:rPr>
        <w:t xml:space="preserve"> that the provision of information in relation to the impact of the COVID-19 pandemic on the Group provides a good example of the way in which it was expected, on the part of the boards of the </w:t>
      </w:r>
      <w:r w:rsidR="00645F7F" w:rsidRPr="00B1466D">
        <w:rPr>
          <w:rFonts w:ascii="Times New Roman" w:hAnsi="Times New Roman" w:cs="Times New Roman"/>
          <w:sz w:val="24"/>
          <w:szCs w:val="24"/>
        </w:rPr>
        <w:t>Company</w:t>
      </w:r>
      <w:r w:rsidR="00E911A1" w:rsidRPr="00B1466D">
        <w:rPr>
          <w:rFonts w:ascii="Times New Roman" w:hAnsi="Times New Roman" w:cs="Times New Roman"/>
          <w:sz w:val="24"/>
          <w:szCs w:val="24"/>
        </w:rPr>
        <w:t xml:space="preserve"> and Jardine Matheson</w:t>
      </w:r>
      <w:r w:rsidR="00684944" w:rsidRPr="00B1466D">
        <w:rPr>
          <w:rFonts w:ascii="Times New Roman" w:hAnsi="Times New Roman" w:cs="Times New Roman"/>
          <w:sz w:val="24"/>
          <w:szCs w:val="24"/>
        </w:rPr>
        <w:t xml:space="preserve"> that information would be freely provided to them by the Group companies in relation to particular matters that had arisen.</w:t>
      </w:r>
      <w:r w:rsidR="0059473C" w:rsidRPr="00B1466D">
        <w:rPr>
          <w:rFonts w:ascii="Times New Roman" w:hAnsi="Times New Roman" w:cs="Times New Roman"/>
          <w:sz w:val="24"/>
          <w:szCs w:val="24"/>
        </w:rPr>
        <w:t xml:space="preserve"> In the</w:t>
      </w:r>
      <w:r w:rsidR="00523E03" w:rsidRPr="00B1466D">
        <w:rPr>
          <w:rFonts w:ascii="Times New Roman" w:hAnsi="Times New Roman" w:cs="Times New Roman"/>
          <w:sz w:val="24"/>
          <w:szCs w:val="24"/>
        </w:rPr>
        <w:t xml:space="preserve"> Court’s view the provision of information by the Principal Group Companies to the </w:t>
      </w:r>
      <w:r w:rsidR="00645F7F" w:rsidRPr="00B1466D">
        <w:rPr>
          <w:rFonts w:ascii="Times New Roman" w:hAnsi="Times New Roman" w:cs="Times New Roman"/>
          <w:sz w:val="24"/>
          <w:szCs w:val="24"/>
        </w:rPr>
        <w:t>Company</w:t>
      </w:r>
      <w:r w:rsidR="00523E03" w:rsidRPr="00B1466D">
        <w:rPr>
          <w:rFonts w:ascii="Times New Roman" w:hAnsi="Times New Roman" w:cs="Times New Roman"/>
          <w:sz w:val="24"/>
          <w:szCs w:val="24"/>
        </w:rPr>
        <w:t xml:space="preserve"> and Jardine Matheson in relation to</w:t>
      </w:r>
      <w:r w:rsidR="00443018" w:rsidRPr="00B1466D">
        <w:rPr>
          <w:rFonts w:ascii="Times New Roman" w:hAnsi="Times New Roman" w:cs="Times New Roman"/>
          <w:sz w:val="24"/>
          <w:szCs w:val="24"/>
        </w:rPr>
        <w:t xml:space="preserve"> strategic issues such as the US China trade conflict and</w:t>
      </w:r>
      <w:r w:rsidR="00316057" w:rsidRPr="00B1466D">
        <w:rPr>
          <w:rFonts w:ascii="Times New Roman" w:hAnsi="Times New Roman" w:cs="Times New Roman"/>
          <w:sz w:val="24"/>
          <w:szCs w:val="24"/>
        </w:rPr>
        <w:t xml:space="preserve"> the financial implications of (COVID-19) (</w:t>
      </w:r>
      <w:r w:rsidR="000A7B92" w:rsidRPr="00B1466D">
        <w:rPr>
          <w:rFonts w:ascii="Times New Roman" w:hAnsi="Times New Roman" w:cs="Times New Roman"/>
          <w:sz w:val="24"/>
          <w:szCs w:val="24"/>
        </w:rPr>
        <w:t>a hundred-year event)</w:t>
      </w:r>
      <w:r w:rsidR="006B0EA3" w:rsidRPr="00B1466D">
        <w:rPr>
          <w:rFonts w:ascii="Times New Roman" w:hAnsi="Times New Roman" w:cs="Times New Roman"/>
          <w:sz w:val="24"/>
          <w:szCs w:val="24"/>
        </w:rPr>
        <w:t xml:space="preserve"> merely evidences the normal flow of information between a parent and subsidiary.</w:t>
      </w:r>
      <w:r w:rsidR="0041240D" w:rsidRPr="00B1466D">
        <w:rPr>
          <w:rFonts w:ascii="Times New Roman" w:hAnsi="Times New Roman" w:cs="Times New Roman"/>
          <w:sz w:val="24"/>
          <w:szCs w:val="24"/>
        </w:rPr>
        <w:t xml:space="preserve"> The Court is satisfied that it provides no cogent evidence of</w:t>
      </w:r>
      <w:r w:rsidR="00100F54" w:rsidRPr="00B1466D">
        <w:rPr>
          <w:rFonts w:ascii="Times New Roman" w:hAnsi="Times New Roman" w:cs="Times New Roman"/>
          <w:sz w:val="24"/>
          <w:szCs w:val="24"/>
        </w:rPr>
        <w:t xml:space="preserve"> an arrangement or understanding between the parent and the subsidiary that the parent would be provided free </w:t>
      </w:r>
      <w:r w:rsidR="00E21CE6" w:rsidRPr="00B1466D">
        <w:rPr>
          <w:rFonts w:ascii="Times New Roman" w:hAnsi="Times New Roman" w:cs="Times New Roman"/>
          <w:sz w:val="24"/>
          <w:szCs w:val="24"/>
        </w:rPr>
        <w:t>or</w:t>
      </w:r>
      <w:r w:rsidR="00100F54" w:rsidRPr="00B1466D">
        <w:rPr>
          <w:rFonts w:ascii="Times New Roman" w:hAnsi="Times New Roman" w:cs="Times New Roman"/>
          <w:sz w:val="24"/>
          <w:szCs w:val="24"/>
        </w:rPr>
        <w:t xml:space="preserve"> unfettered access to the documents of the subsidiary </w:t>
      </w:r>
      <w:r w:rsidR="00645F7F" w:rsidRPr="00B1466D">
        <w:rPr>
          <w:rFonts w:ascii="Times New Roman" w:hAnsi="Times New Roman" w:cs="Times New Roman"/>
          <w:sz w:val="24"/>
          <w:szCs w:val="24"/>
        </w:rPr>
        <w:t>Company</w:t>
      </w:r>
      <w:r w:rsidR="00100F54" w:rsidRPr="00B1466D">
        <w:rPr>
          <w:rFonts w:ascii="Times New Roman" w:hAnsi="Times New Roman" w:cs="Times New Roman"/>
          <w:sz w:val="24"/>
          <w:szCs w:val="24"/>
        </w:rPr>
        <w:t>.</w:t>
      </w:r>
    </w:p>
    <w:p w14:paraId="28A8AB5B" w14:textId="77777777" w:rsidR="006A78D9" w:rsidRDefault="006A78D9" w:rsidP="007246C7">
      <w:pPr>
        <w:spacing w:before="120" w:line="360" w:lineRule="auto"/>
        <w:rPr>
          <w:rFonts w:ascii="Times New Roman" w:hAnsi="Times New Roman" w:cs="Times New Roman"/>
          <w:sz w:val="24"/>
          <w:szCs w:val="24"/>
        </w:rPr>
      </w:pPr>
    </w:p>
    <w:p w14:paraId="66546139" w14:textId="2F203D57" w:rsidR="006A78D9" w:rsidRPr="00F3700F" w:rsidRDefault="00EC4EAF" w:rsidP="00FF2CBE">
      <w:pPr>
        <w:pStyle w:val="ListParagraph"/>
        <w:numPr>
          <w:ilvl w:val="0"/>
          <w:numId w:val="8"/>
        </w:numPr>
        <w:spacing w:before="120" w:line="360" w:lineRule="auto"/>
        <w:rPr>
          <w:rFonts w:ascii="Times New Roman" w:hAnsi="Times New Roman" w:cs="Times New Roman"/>
          <w:b/>
          <w:bCs/>
          <w:i/>
          <w:iCs/>
          <w:sz w:val="24"/>
          <w:szCs w:val="24"/>
        </w:rPr>
      </w:pPr>
      <w:r w:rsidRPr="00F3700F">
        <w:rPr>
          <w:rFonts w:ascii="Times New Roman" w:hAnsi="Times New Roman" w:cs="Times New Roman"/>
          <w:b/>
          <w:bCs/>
          <w:i/>
          <w:iCs/>
          <w:sz w:val="24"/>
          <w:szCs w:val="24"/>
        </w:rPr>
        <w:t>Audit Materials</w:t>
      </w:r>
    </w:p>
    <w:p w14:paraId="7AD6CC54" w14:textId="77777777" w:rsidR="004D0055" w:rsidRPr="00F3700F" w:rsidRDefault="004D0055" w:rsidP="00F3700F">
      <w:pPr>
        <w:spacing w:before="120" w:line="360" w:lineRule="auto"/>
        <w:rPr>
          <w:rFonts w:ascii="Times New Roman" w:hAnsi="Times New Roman" w:cs="Times New Roman"/>
          <w:b/>
          <w:bCs/>
          <w:i/>
          <w:iCs/>
          <w:sz w:val="24"/>
          <w:szCs w:val="24"/>
        </w:rPr>
      </w:pPr>
    </w:p>
    <w:p w14:paraId="4E0FC290" w14:textId="7E4A8FF5" w:rsidR="00D11267" w:rsidRPr="00B1466D" w:rsidRDefault="00172FFB" w:rsidP="00FF2CBE">
      <w:pPr>
        <w:pStyle w:val="ListParagraph"/>
        <w:numPr>
          <w:ilvl w:val="0"/>
          <w:numId w:val="13"/>
        </w:numPr>
        <w:spacing w:before="120" w:line="360" w:lineRule="auto"/>
        <w:jc w:val="both"/>
        <w:rPr>
          <w:rFonts w:ascii="Times New Roman" w:hAnsi="Times New Roman" w:cs="Times New Roman"/>
          <w:sz w:val="24"/>
          <w:szCs w:val="24"/>
        </w:rPr>
      </w:pPr>
      <w:r w:rsidRPr="00B1466D">
        <w:rPr>
          <w:rFonts w:ascii="Times New Roman" w:hAnsi="Times New Roman" w:cs="Times New Roman"/>
          <w:sz w:val="24"/>
          <w:szCs w:val="24"/>
        </w:rPr>
        <w:t>Under the topic of “</w:t>
      </w:r>
      <w:r w:rsidRPr="00B1466D">
        <w:rPr>
          <w:rFonts w:ascii="Times New Roman" w:hAnsi="Times New Roman" w:cs="Times New Roman"/>
          <w:i/>
          <w:iCs/>
          <w:sz w:val="24"/>
          <w:szCs w:val="24"/>
        </w:rPr>
        <w:t>Audit Materials</w:t>
      </w:r>
      <w:r w:rsidRPr="00B1466D">
        <w:rPr>
          <w:rFonts w:ascii="Times New Roman" w:hAnsi="Times New Roman" w:cs="Times New Roman"/>
          <w:sz w:val="24"/>
          <w:szCs w:val="24"/>
        </w:rPr>
        <w:t>”</w:t>
      </w:r>
      <w:r w:rsidR="00660026" w:rsidRPr="00B1466D">
        <w:rPr>
          <w:rFonts w:ascii="Times New Roman" w:hAnsi="Times New Roman" w:cs="Times New Roman"/>
          <w:sz w:val="24"/>
          <w:szCs w:val="24"/>
        </w:rPr>
        <w:t xml:space="preserve"> </w:t>
      </w:r>
      <w:r w:rsidRPr="00B1466D">
        <w:rPr>
          <w:rFonts w:ascii="Times New Roman" w:hAnsi="Times New Roman" w:cs="Times New Roman"/>
          <w:sz w:val="24"/>
          <w:szCs w:val="24"/>
        </w:rPr>
        <w:t>the Plaintiffs rely upon</w:t>
      </w:r>
      <w:r w:rsidR="00CA655F" w:rsidRPr="00B1466D">
        <w:rPr>
          <w:rFonts w:ascii="Times New Roman" w:hAnsi="Times New Roman" w:cs="Times New Roman"/>
          <w:sz w:val="24"/>
          <w:szCs w:val="24"/>
        </w:rPr>
        <w:t xml:space="preserve"> the Audit</w:t>
      </w:r>
      <w:r w:rsidR="00945242" w:rsidRPr="00B1466D">
        <w:rPr>
          <w:rFonts w:ascii="Times New Roman" w:hAnsi="Times New Roman" w:cs="Times New Roman"/>
          <w:sz w:val="24"/>
          <w:szCs w:val="24"/>
        </w:rPr>
        <w:t xml:space="preserve"> Committee</w:t>
      </w:r>
      <w:r w:rsidR="00E22A76" w:rsidRPr="00B1466D">
        <w:rPr>
          <w:rFonts w:ascii="Times New Roman" w:hAnsi="Times New Roman" w:cs="Times New Roman"/>
          <w:sz w:val="24"/>
          <w:szCs w:val="24"/>
        </w:rPr>
        <w:t>’s</w:t>
      </w:r>
      <w:r w:rsidR="00CA655F" w:rsidRPr="00B1466D">
        <w:rPr>
          <w:rFonts w:ascii="Times New Roman" w:hAnsi="Times New Roman" w:cs="Times New Roman"/>
          <w:sz w:val="24"/>
          <w:szCs w:val="24"/>
        </w:rPr>
        <w:t xml:space="preserve"> terms of reference; Audit</w:t>
      </w:r>
      <w:r w:rsidR="00660026" w:rsidRPr="00B1466D">
        <w:rPr>
          <w:rFonts w:ascii="Times New Roman" w:hAnsi="Times New Roman" w:cs="Times New Roman"/>
          <w:sz w:val="24"/>
          <w:szCs w:val="24"/>
        </w:rPr>
        <w:t xml:space="preserve"> representation letters; </w:t>
      </w:r>
      <w:r w:rsidR="00DE4B88" w:rsidRPr="00B1466D">
        <w:rPr>
          <w:rFonts w:ascii="Times New Roman" w:hAnsi="Times New Roman" w:cs="Times New Roman"/>
          <w:sz w:val="24"/>
          <w:szCs w:val="24"/>
        </w:rPr>
        <w:t>and the Group Audit and Risk Management (known as</w:t>
      </w:r>
      <w:r w:rsidR="00CD3C21" w:rsidRPr="00B1466D">
        <w:rPr>
          <w:rFonts w:ascii="Times New Roman" w:hAnsi="Times New Roman" w:cs="Times New Roman"/>
          <w:sz w:val="24"/>
          <w:szCs w:val="24"/>
        </w:rPr>
        <w:t xml:space="preserve"> “GARM”).</w:t>
      </w:r>
    </w:p>
    <w:p w14:paraId="24218A00" w14:textId="77777777" w:rsidR="00D83BBC" w:rsidRDefault="00D83BBC" w:rsidP="00F3700F">
      <w:pPr>
        <w:spacing w:before="120" w:line="360" w:lineRule="auto"/>
        <w:rPr>
          <w:rFonts w:ascii="Times New Roman" w:hAnsi="Times New Roman" w:cs="Times New Roman"/>
          <w:sz w:val="24"/>
          <w:szCs w:val="24"/>
        </w:rPr>
      </w:pPr>
    </w:p>
    <w:p w14:paraId="6D6AC29B" w14:textId="116DEDEF" w:rsidR="00D83BBC" w:rsidRPr="008D3943" w:rsidRDefault="008D3943" w:rsidP="00F3700F">
      <w:pPr>
        <w:spacing w:before="120" w:line="360" w:lineRule="auto"/>
        <w:rPr>
          <w:rFonts w:ascii="Times New Roman" w:hAnsi="Times New Roman" w:cs="Times New Roman"/>
          <w:b/>
          <w:bCs/>
          <w:i/>
          <w:iCs/>
          <w:sz w:val="24"/>
          <w:szCs w:val="24"/>
        </w:rPr>
      </w:pPr>
      <w:r w:rsidRPr="008D3943">
        <w:rPr>
          <w:rFonts w:ascii="Times New Roman" w:hAnsi="Times New Roman" w:cs="Times New Roman"/>
          <w:b/>
          <w:bCs/>
          <w:i/>
          <w:iCs/>
          <w:sz w:val="24"/>
          <w:szCs w:val="24"/>
        </w:rPr>
        <w:t>The Audit Committee</w:t>
      </w:r>
    </w:p>
    <w:p w14:paraId="0203420F" w14:textId="77777777" w:rsidR="00CD3C21" w:rsidRPr="00F3700F" w:rsidRDefault="00CD3C21" w:rsidP="00F3700F">
      <w:pPr>
        <w:spacing w:before="120" w:line="360" w:lineRule="auto"/>
        <w:rPr>
          <w:rFonts w:ascii="Times New Roman" w:hAnsi="Times New Roman" w:cs="Times New Roman"/>
          <w:sz w:val="24"/>
          <w:szCs w:val="24"/>
        </w:rPr>
      </w:pPr>
    </w:p>
    <w:p w14:paraId="6348D7F4" w14:textId="42F518F8" w:rsidR="00CD3C21" w:rsidRPr="00B1466D" w:rsidRDefault="004B6B3E" w:rsidP="00FF2CBE">
      <w:pPr>
        <w:pStyle w:val="ListParagraph"/>
        <w:numPr>
          <w:ilvl w:val="0"/>
          <w:numId w:val="13"/>
        </w:numPr>
        <w:spacing w:before="120" w:line="360" w:lineRule="auto"/>
        <w:jc w:val="both"/>
        <w:rPr>
          <w:rFonts w:ascii="Times New Roman" w:hAnsi="Times New Roman" w:cs="Times New Roman"/>
          <w:sz w:val="24"/>
          <w:szCs w:val="24"/>
        </w:rPr>
      </w:pPr>
      <w:r w:rsidRPr="00B1466D">
        <w:rPr>
          <w:rFonts w:ascii="Times New Roman" w:hAnsi="Times New Roman" w:cs="Times New Roman"/>
          <w:sz w:val="24"/>
          <w:szCs w:val="24"/>
        </w:rPr>
        <w:t>The Plaintiffs assert</w:t>
      </w:r>
      <w:r w:rsidR="00E22A76" w:rsidRPr="00B1466D">
        <w:rPr>
          <w:rFonts w:ascii="Times New Roman" w:hAnsi="Times New Roman" w:cs="Times New Roman"/>
          <w:sz w:val="24"/>
          <w:szCs w:val="24"/>
        </w:rPr>
        <w:t xml:space="preserve"> the function of the Audit Committee was to ensure</w:t>
      </w:r>
      <w:r w:rsidR="00B40633" w:rsidRPr="00B1466D">
        <w:rPr>
          <w:rFonts w:ascii="Times New Roman" w:hAnsi="Times New Roman" w:cs="Times New Roman"/>
          <w:sz w:val="24"/>
          <w:szCs w:val="24"/>
        </w:rPr>
        <w:t xml:space="preserve"> that the Group’s businesses conduct themselves </w:t>
      </w:r>
      <w:r w:rsidR="00D1542A" w:rsidRPr="00B1466D">
        <w:rPr>
          <w:rFonts w:ascii="Times New Roman" w:hAnsi="Times New Roman" w:cs="Times New Roman"/>
          <w:sz w:val="24"/>
          <w:szCs w:val="24"/>
        </w:rPr>
        <w:t>in</w:t>
      </w:r>
      <w:r w:rsidR="008E4DFB" w:rsidRPr="00B1466D">
        <w:rPr>
          <w:rFonts w:ascii="Times New Roman" w:hAnsi="Times New Roman" w:cs="Times New Roman"/>
          <w:sz w:val="24"/>
          <w:szCs w:val="24"/>
        </w:rPr>
        <w:t xml:space="preserve"> </w:t>
      </w:r>
      <w:r w:rsidR="00B40633" w:rsidRPr="00B1466D">
        <w:rPr>
          <w:rFonts w:ascii="Times New Roman" w:hAnsi="Times New Roman" w:cs="Times New Roman"/>
          <w:sz w:val="24"/>
          <w:szCs w:val="24"/>
        </w:rPr>
        <w:t>accordance with acceptable ethical standards and comply with all applicable laws, regulations and the policies and directives of the boards and that: “</w:t>
      </w:r>
      <w:r w:rsidR="00B40633" w:rsidRPr="00B1466D">
        <w:rPr>
          <w:rFonts w:ascii="Times New Roman" w:hAnsi="Times New Roman" w:cs="Times New Roman"/>
          <w:i/>
          <w:iCs/>
          <w:sz w:val="24"/>
          <w:szCs w:val="24"/>
        </w:rPr>
        <w:t>to meet these objectives at a Group level and within the operating units, satisfactory and functioning systems of internal control and adequate monitoring must be maintained</w:t>
      </w:r>
      <w:r w:rsidR="00B40633" w:rsidRPr="00B1466D">
        <w:rPr>
          <w:rFonts w:ascii="Times New Roman" w:hAnsi="Times New Roman" w:cs="Times New Roman"/>
          <w:sz w:val="24"/>
          <w:szCs w:val="24"/>
        </w:rPr>
        <w:t>”. The “</w:t>
      </w:r>
      <w:r w:rsidR="00B40633" w:rsidRPr="00B1466D">
        <w:rPr>
          <w:rFonts w:ascii="Times New Roman" w:hAnsi="Times New Roman" w:cs="Times New Roman"/>
          <w:i/>
          <w:iCs/>
          <w:sz w:val="24"/>
          <w:szCs w:val="24"/>
        </w:rPr>
        <w:t>Terms of Reference Audit Committee</w:t>
      </w:r>
      <w:r w:rsidR="00B40633" w:rsidRPr="00B1466D">
        <w:rPr>
          <w:rFonts w:ascii="Times New Roman" w:hAnsi="Times New Roman" w:cs="Times New Roman"/>
          <w:sz w:val="24"/>
          <w:szCs w:val="24"/>
        </w:rPr>
        <w:t xml:space="preserve">” came before the boards of the </w:t>
      </w:r>
      <w:r w:rsidR="00645F7F" w:rsidRPr="00B1466D">
        <w:rPr>
          <w:rFonts w:ascii="Times New Roman" w:hAnsi="Times New Roman" w:cs="Times New Roman"/>
          <w:sz w:val="24"/>
          <w:szCs w:val="24"/>
        </w:rPr>
        <w:t>Company</w:t>
      </w:r>
      <w:r w:rsidR="00B40633" w:rsidRPr="00B1466D">
        <w:rPr>
          <w:rFonts w:ascii="Times New Roman" w:hAnsi="Times New Roman" w:cs="Times New Roman"/>
          <w:sz w:val="24"/>
          <w:szCs w:val="24"/>
        </w:rPr>
        <w:t xml:space="preserve"> and</w:t>
      </w:r>
      <w:r w:rsidR="00D1542A" w:rsidRPr="00B1466D">
        <w:rPr>
          <w:rFonts w:ascii="Times New Roman" w:hAnsi="Times New Roman" w:cs="Times New Roman"/>
          <w:sz w:val="24"/>
          <w:szCs w:val="24"/>
        </w:rPr>
        <w:t xml:space="preserve"> Jardine Matheson</w:t>
      </w:r>
      <w:r w:rsidR="00B40633" w:rsidRPr="00B1466D">
        <w:rPr>
          <w:rFonts w:ascii="Times New Roman" w:hAnsi="Times New Roman" w:cs="Times New Roman"/>
          <w:sz w:val="24"/>
          <w:szCs w:val="24"/>
        </w:rPr>
        <w:t xml:space="preserve"> in 2016 in order to approve slightly amended Terms of Reference that had been in place since December 2010</w:t>
      </w:r>
      <w:r w:rsidR="00345EB0" w:rsidRPr="00B1466D">
        <w:rPr>
          <w:rFonts w:ascii="Times New Roman" w:hAnsi="Times New Roman" w:cs="Times New Roman"/>
          <w:sz w:val="24"/>
          <w:szCs w:val="24"/>
        </w:rPr>
        <w:t>.</w:t>
      </w:r>
      <w:r w:rsidR="00B40633" w:rsidRPr="00B1466D">
        <w:rPr>
          <w:rFonts w:ascii="Times New Roman" w:hAnsi="Times New Roman" w:cs="Times New Roman"/>
          <w:sz w:val="24"/>
          <w:szCs w:val="24"/>
        </w:rPr>
        <w:t xml:space="preserve"> </w:t>
      </w:r>
    </w:p>
    <w:p w14:paraId="4F1FB7B7" w14:textId="77777777" w:rsidR="00345EB0" w:rsidRPr="00F3700F" w:rsidRDefault="00345EB0" w:rsidP="00F3700F">
      <w:pPr>
        <w:spacing w:before="120" w:line="360" w:lineRule="auto"/>
        <w:rPr>
          <w:rFonts w:ascii="Times New Roman" w:hAnsi="Times New Roman" w:cs="Times New Roman"/>
          <w:sz w:val="24"/>
          <w:szCs w:val="24"/>
        </w:rPr>
      </w:pPr>
    </w:p>
    <w:p w14:paraId="06E3AFAC" w14:textId="2F154AE7" w:rsidR="00345EB0" w:rsidRPr="00B1466D" w:rsidRDefault="00345EB0" w:rsidP="00FF2CBE">
      <w:pPr>
        <w:pStyle w:val="ListParagraph"/>
        <w:numPr>
          <w:ilvl w:val="0"/>
          <w:numId w:val="13"/>
        </w:numPr>
        <w:spacing w:before="120" w:line="360" w:lineRule="auto"/>
        <w:jc w:val="both"/>
        <w:rPr>
          <w:rFonts w:ascii="Times New Roman" w:hAnsi="Times New Roman" w:cs="Times New Roman"/>
          <w:sz w:val="24"/>
          <w:szCs w:val="24"/>
        </w:rPr>
      </w:pPr>
      <w:r w:rsidRPr="00B1466D">
        <w:rPr>
          <w:rFonts w:ascii="Times New Roman" w:hAnsi="Times New Roman" w:cs="Times New Roman"/>
          <w:sz w:val="24"/>
          <w:szCs w:val="24"/>
        </w:rPr>
        <w:t xml:space="preserve">The Plaintiffs rely upon the updated Terms of Reference for the </w:t>
      </w:r>
      <w:r w:rsidR="00645F7F" w:rsidRPr="00B1466D">
        <w:rPr>
          <w:rFonts w:ascii="Times New Roman" w:hAnsi="Times New Roman" w:cs="Times New Roman"/>
          <w:sz w:val="24"/>
          <w:szCs w:val="24"/>
        </w:rPr>
        <w:t>Company</w:t>
      </w:r>
      <w:r w:rsidRPr="00B1466D">
        <w:rPr>
          <w:rFonts w:ascii="Times New Roman" w:hAnsi="Times New Roman" w:cs="Times New Roman"/>
          <w:sz w:val="24"/>
          <w:szCs w:val="24"/>
        </w:rPr>
        <w:t xml:space="preserve"> and Jardine Matheson</w:t>
      </w:r>
      <w:r w:rsidR="003C42B0" w:rsidRPr="00B1466D">
        <w:rPr>
          <w:rFonts w:ascii="Times New Roman" w:hAnsi="Times New Roman" w:cs="Times New Roman"/>
          <w:sz w:val="24"/>
          <w:szCs w:val="24"/>
        </w:rPr>
        <w:t xml:space="preserve"> which include the following:</w:t>
      </w:r>
    </w:p>
    <w:p w14:paraId="3FA8C629" w14:textId="77777777" w:rsidR="00D55022" w:rsidRDefault="001A1CE7" w:rsidP="00257516">
      <w:pPr>
        <w:spacing w:before="120" w:line="276" w:lineRule="auto"/>
        <w:ind w:left="720"/>
        <w:rPr>
          <w:rFonts w:ascii="Times New Roman" w:hAnsi="Times New Roman" w:cs="Times New Roman"/>
          <w:i/>
          <w:iCs/>
          <w:sz w:val="24"/>
          <w:szCs w:val="24"/>
        </w:rPr>
      </w:pPr>
      <w:r w:rsidRPr="00CD2F3C">
        <w:rPr>
          <w:rFonts w:ascii="Times New Roman" w:hAnsi="Times New Roman" w:cs="Times New Roman"/>
          <w:i/>
          <w:iCs/>
          <w:sz w:val="24"/>
          <w:szCs w:val="24"/>
        </w:rPr>
        <w:t xml:space="preserve">The Audit Committee is authorized to: </w:t>
      </w:r>
    </w:p>
    <w:p w14:paraId="4D4BAAED" w14:textId="318E6AED" w:rsidR="001A1CE7" w:rsidRPr="00CD2F3C" w:rsidRDefault="001A1CE7" w:rsidP="00257516">
      <w:pPr>
        <w:spacing w:before="120" w:line="276" w:lineRule="auto"/>
        <w:ind w:left="720"/>
        <w:rPr>
          <w:rFonts w:ascii="Times New Roman" w:hAnsi="Times New Roman" w:cs="Times New Roman"/>
          <w:i/>
          <w:iCs/>
          <w:sz w:val="24"/>
          <w:szCs w:val="24"/>
        </w:rPr>
      </w:pPr>
      <w:r w:rsidRPr="00CD2F3C">
        <w:rPr>
          <w:rFonts w:ascii="Times New Roman" w:hAnsi="Times New Roman" w:cs="Times New Roman"/>
          <w:i/>
          <w:iCs/>
          <w:sz w:val="24"/>
          <w:szCs w:val="24"/>
        </w:rPr>
        <w:t xml:space="preserve">• Investigate any activity within its terms of reference; </w:t>
      </w:r>
    </w:p>
    <w:p w14:paraId="00E1ED84" w14:textId="5F90C3CD" w:rsidR="001A1CE7" w:rsidRPr="00CD2F3C" w:rsidRDefault="001A1CE7" w:rsidP="00257516">
      <w:pPr>
        <w:spacing w:before="120" w:line="276" w:lineRule="auto"/>
        <w:ind w:left="720"/>
        <w:rPr>
          <w:rFonts w:ascii="Times New Roman" w:hAnsi="Times New Roman" w:cs="Times New Roman"/>
          <w:i/>
          <w:iCs/>
          <w:sz w:val="24"/>
          <w:szCs w:val="24"/>
        </w:rPr>
      </w:pPr>
      <w:r w:rsidRPr="00CD2F3C">
        <w:rPr>
          <w:rFonts w:ascii="Times New Roman" w:hAnsi="Times New Roman" w:cs="Times New Roman"/>
          <w:i/>
          <w:iCs/>
          <w:sz w:val="24"/>
          <w:szCs w:val="24"/>
        </w:rPr>
        <w:t>• Seek any information that it requires from Group companies and all such companies are required to co-operate with any request made by the Audit Committee…</w:t>
      </w:r>
    </w:p>
    <w:p w14:paraId="5A52500A" w14:textId="1711ACB6" w:rsidR="00D64E9D" w:rsidRPr="00CD2F3C" w:rsidRDefault="003360DC" w:rsidP="00257516">
      <w:pPr>
        <w:spacing w:before="120" w:line="276" w:lineRule="auto"/>
        <w:ind w:left="720"/>
        <w:rPr>
          <w:rFonts w:ascii="Times New Roman" w:hAnsi="Times New Roman" w:cs="Times New Roman"/>
          <w:i/>
          <w:iCs/>
          <w:sz w:val="24"/>
          <w:szCs w:val="24"/>
        </w:rPr>
      </w:pPr>
      <w:r w:rsidRPr="00CD2F3C">
        <w:rPr>
          <w:rFonts w:ascii="Times New Roman" w:hAnsi="Times New Roman" w:cs="Times New Roman"/>
          <w:i/>
          <w:iCs/>
          <w:sz w:val="24"/>
          <w:szCs w:val="24"/>
        </w:rPr>
        <w:t>3.5.4 Ensure the internal audit function has full, free and unrestricted access to all Group activities, records, property and personnel and receives such professional advice necessary to fulfill its agreed objectives.</w:t>
      </w:r>
    </w:p>
    <w:p w14:paraId="0F343254" w14:textId="77777777" w:rsidR="007B0A5E" w:rsidRPr="00CD3C21" w:rsidRDefault="007B0A5E" w:rsidP="009F37C0">
      <w:pPr>
        <w:spacing w:before="120" w:line="360" w:lineRule="auto"/>
        <w:rPr>
          <w:rFonts w:ascii="Times New Roman" w:hAnsi="Times New Roman" w:cs="Times New Roman"/>
          <w:sz w:val="24"/>
          <w:szCs w:val="24"/>
        </w:rPr>
      </w:pPr>
    </w:p>
    <w:p w14:paraId="044E8890" w14:textId="53E19AE0" w:rsidR="004D0055" w:rsidRPr="00B1466D" w:rsidRDefault="00C573DC" w:rsidP="00FF2CBE">
      <w:pPr>
        <w:pStyle w:val="ListParagraph"/>
        <w:numPr>
          <w:ilvl w:val="0"/>
          <w:numId w:val="13"/>
        </w:numPr>
        <w:spacing w:before="120" w:line="360" w:lineRule="auto"/>
        <w:jc w:val="both"/>
        <w:rPr>
          <w:rFonts w:ascii="Times New Roman" w:hAnsi="Times New Roman" w:cs="Times New Roman"/>
          <w:sz w:val="24"/>
          <w:szCs w:val="24"/>
        </w:rPr>
      </w:pPr>
      <w:r w:rsidRPr="00B1466D">
        <w:rPr>
          <w:rFonts w:ascii="Times New Roman" w:hAnsi="Times New Roman" w:cs="Times New Roman"/>
          <w:sz w:val="24"/>
          <w:szCs w:val="24"/>
        </w:rPr>
        <w:t xml:space="preserve">The Plaintiffs say that these provisions demonstrate that the board of the </w:t>
      </w:r>
      <w:r w:rsidR="00645F7F" w:rsidRPr="00B1466D">
        <w:rPr>
          <w:rFonts w:ascii="Times New Roman" w:hAnsi="Times New Roman" w:cs="Times New Roman"/>
          <w:sz w:val="24"/>
          <w:szCs w:val="24"/>
        </w:rPr>
        <w:t>Company</w:t>
      </w:r>
      <w:r w:rsidR="0002085B" w:rsidRPr="00B1466D">
        <w:rPr>
          <w:rFonts w:ascii="Times New Roman" w:hAnsi="Times New Roman" w:cs="Times New Roman"/>
          <w:sz w:val="24"/>
          <w:szCs w:val="24"/>
        </w:rPr>
        <w:t xml:space="preserve"> (and the board of Jardine Matheson), by the</w:t>
      </w:r>
      <w:r w:rsidR="00071E57" w:rsidRPr="00B1466D">
        <w:rPr>
          <w:rFonts w:ascii="Times New Roman" w:hAnsi="Times New Roman" w:cs="Times New Roman"/>
          <w:sz w:val="24"/>
          <w:szCs w:val="24"/>
        </w:rPr>
        <w:t>ir</w:t>
      </w:r>
      <w:r w:rsidR="0002085B" w:rsidRPr="00B1466D">
        <w:rPr>
          <w:rFonts w:ascii="Times New Roman" w:hAnsi="Times New Roman" w:cs="Times New Roman"/>
          <w:sz w:val="24"/>
          <w:szCs w:val="24"/>
        </w:rPr>
        <w:t xml:space="preserve"> audit committees, clearly considered that they were in a position to require</w:t>
      </w:r>
      <w:r w:rsidR="00C41190" w:rsidRPr="00B1466D">
        <w:rPr>
          <w:rFonts w:ascii="Times New Roman" w:hAnsi="Times New Roman" w:cs="Times New Roman"/>
          <w:sz w:val="24"/>
          <w:szCs w:val="24"/>
        </w:rPr>
        <w:t xml:space="preserve"> the rest of the Group companies to provide any information which the audit committee might require, and they were able to ensure</w:t>
      </w:r>
      <w:r w:rsidR="007C37A4" w:rsidRPr="00B1466D">
        <w:rPr>
          <w:rFonts w:ascii="Times New Roman" w:hAnsi="Times New Roman" w:cs="Times New Roman"/>
          <w:sz w:val="24"/>
          <w:szCs w:val="24"/>
        </w:rPr>
        <w:t xml:space="preserve"> “</w:t>
      </w:r>
      <w:r w:rsidR="007C37A4" w:rsidRPr="00B1466D">
        <w:rPr>
          <w:rFonts w:ascii="Times New Roman" w:hAnsi="Times New Roman" w:cs="Times New Roman"/>
          <w:i/>
          <w:iCs/>
          <w:sz w:val="24"/>
          <w:szCs w:val="24"/>
        </w:rPr>
        <w:t xml:space="preserve">full, free and unrestricted </w:t>
      </w:r>
      <w:r w:rsidR="000D01E6" w:rsidRPr="00B1466D">
        <w:rPr>
          <w:rFonts w:ascii="Times New Roman" w:hAnsi="Times New Roman" w:cs="Times New Roman"/>
          <w:i/>
          <w:iCs/>
          <w:sz w:val="24"/>
          <w:szCs w:val="24"/>
        </w:rPr>
        <w:t>access</w:t>
      </w:r>
      <w:r w:rsidR="000D01E6" w:rsidRPr="00B1466D">
        <w:rPr>
          <w:rFonts w:ascii="Times New Roman" w:hAnsi="Times New Roman" w:cs="Times New Roman"/>
          <w:sz w:val="24"/>
          <w:szCs w:val="24"/>
        </w:rPr>
        <w:t>” to “</w:t>
      </w:r>
      <w:r w:rsidR="000D01E6" w:rsidRPr="00B1466D">
        <w:rPr>
          <w:rFonts w:ascii="Times New Roman" w:hAnsi="Times New Roman" w:cs="Times New Roman"/>
          <w:i/>
          <w:iCs/>
          <w:sz w:val="24"/>
          <w:szCs w:val="24"/>
        </w:rPr>
        <w:t>all Group</w:t>
      </w:r>
      <w:r w:rsidR="00547A4E" w:rsidRPr="00B1466D">
        <w:rPr>
          <w:rFonts w:ascii="Times New Roman" w:hAnsi="Times New Roman" w:cs="Times New Roman"/>
          <w:i/>
          <w:iCs/>
          <w:sz w:val="24"/>
          <w:szCs w:val="24"/>
        </w:rPr>
        <w:t>… records</w:t>
      </w:r>
      <w:r w:rsidR="00547A4E" w:rsidRPr="00B1466D">
        <w:rPr>
          <w:rFonts w:ascii="Times New Roman" w:hAnsi="Times New Roman" w:cs="Times New Roman"/>
          <w:sz w:val="24"/>
          <w:szCs w:val="24"/>
        </w:rPr>
        <w:t>…”</w:t>
      </w:r>
      <w:r w:rsidR="00F0414B" w:rsidRPr="00B1466D">
        <w:rPr>
          <w:rFonts w:ascii="Times New Roman" w:hAnsi="Times New Roman" w:cs="Times New Roman"/>
          <w:sz w:val="24"/>
          <w:szCs w:val="24"/>
        </w:rPr>
        <w:t xml:space="preserve"> </w:t>
      </w:r>
      <w:r w:rsidR="00C52F2D" w:rsidRPr="00B1466D">
        <w:rPr>
          <w:rFonts w:ascii="Times New Roman" w:hAnsi="Times New Roman" w:cs="Times New Roman"/>
          <w:sz w:val="24"/>
          <w:szCs w:val="24"/>
        </w:rPr>
        <w:t>In short, the Plaintiffs conten</w:t>
      </w:r>
      <w:r w:rsidR="00EB28C8" w:rsidRPr="00B1466D">
        <w:rPr>
          <w:rFonts w:ascii="Times New Roman" w:hAnsi="Times New Roman" w:cs="Times New Roman"/>
          <w:sz w:val="24"/>
          <w:szCs w:val="24"/>
        </w:rPr>
        <w:t>d</w:t>
      </w:r>
      <w:r w:rsidR="00C52F2D" w:rsidRPr="00B1466D">
        <w:rPr>
          <w:rFonts w:ascii="Times New Roman" w:hAnsi="Times New Roman" w:cs="Times New Roman"/>
          <w:sz w:val="24"/>
          <w:szCs w:val="24"/>
        </w:rPr>
        <w:t xml:space="preserve">, </w:t>
      </w:r>
      <w:r w:rsidR="00EB28C8" w:rsidRPr="00B1466D">
        <w:rPr>
          <w:rFonts w:ascii="Times New Roman" w:hAnsi="Times New Roman" w:cs="Times New Roman"/>
          <w:sz w:val="24"/>
          <w:szCs w:val="24"/>
        </w:rPr>
        <w:t xml:space="preserve">that </w:t>
      </w:r>
      <w:r w:rsidR="00C52F2D" w:rsidRPr="00B1466D">
        <w:rPr>
          <w:rFonts w:ascii="Times New Roman" w:hAnsi="Times New Roman" w:cs="Times New Roman"/>
          <w:sz w:val="24"/>
          <w:szCs w:val="24"/>
        </w:rPr>
        <w:t xml:space="preserve">there was an understanding that such information and material would indeed be freely </w:t>
      </w:r>
      <w:r w:rsidR="00C25BB7" w:rsidRPr="00B1466D">
        <w:rPr>
          <w:rFonts w:ascii="Times New Roman" w:hAnsi="Times New Roman" w:cs="Times New Roman"/>
          <w:sz w:val="24"/>
          <w:szCs w:val="24"/>
        </w:rPr>
        <w:t>available,</w:t>
      </w:r>
      <w:r w:rsidR="00EB67D0" w:rsidRPr="00B1466D">
        <w:rPr>
          <w:rFonts w:ascii="Times New Roman" w:hAnsi="Times New Roman" w:cs="Times New Roman"/>
          <w:sz w:val="24"/>
          <w:szCs w:val="24"/>
        </w:rPr>
        <w:t xml:space="preserve"> and</w:t>
      </w:r>
      <w:r w:rsidR="00C52F2D" w:rsidRPr="00B1466D">
        <w:rPr>
          <w:rFonts w:ascii="Times New Roman" w:hAnsi="Times New Roman" w:cs="Times New Roman"/>
          <w:sz w:val="24"/>
          <w:szCs w:val="24"/>
        </w:rPr>
        <w:t xml:space="preserve"> </w:t>
      </w:r>
      <w:r w:rsidR="00C242AF" w:rsidRPr="00B1466D">
        <w:rPr>
          <w:rFonts w:ascii="Times New Roman" w:hAnsi="Times New Roman" w:cs="Times New Roman"/>
          <w:sz w:val="24"/>
          <w:szCs w:val="24"/>
        </w:rPr>
        <w:t xml:space="preserve">it was an </w:t>
      </w:r>
      <w:r w:rsidR="00C52F2D" w:rsidRPr="00B1466D">
        <w:rPr>
          <w:rFonts w:ascii="Times New Roman" w:hAnsi="Times New Roman" w:cs="Times New Roman"/>
          <w:sz w:val="24"/>
          <w:szCs w:val="24"/>
        </w:rPr>
        <w:t xml:space="preserve">understanding of such importance that the </w:t>
      </w:r>
      <w:r w:rsidR="00645F7F" w:rsidRPr="00B1466D">
        <w:rPr>
          <w:rFonts w:ascii="Times New Roman" w:hAnsi="Times New Roman" w:cs="Times New Roman"/>
          <w:sz w:val="24"/>
          <w:szCs w:val="24"/>
        </w:rPr>
        <w:t>Company</w:t>
      </w:r>
      <w:r w:rsidR="003354B5" w:rsidRPr="00B1466D">
        <w:rPr>
          <w:rFonts w:ascii="Times New Roman" w:hAnsi="Times New Roman" w:cs="Times New Roman"/>
          <w:sz w:val="24"/>
          <w:szCs w:val="24"/>
        </w:rPr>
        <w:t xml:space="preserve"> mandated that the Terms of Reference be published on its website.</w:t>
      </w:r>
    </w:p>
    <w:p w14:paraId="5A5FF333" w14:textId="77777777" w:rsidR="003E5795" w:rsidRDefault="003E5795" w:rsidP="009F37C0">
      <w:pPr>
        <w:spacing w:before="120" w:line="360" w:lineRule="auto"/>
        <w:rPr>
          <w:rFonts w:ascii="Times New Roman" w:hAnsi="Times New Roman" w:cs="Times New Roman"/>
          <w:sz w:val="24"/>
          <w:szCs w:val="24"/>
        </w:rPr>
      </w:pPr>
    </w:p>
    <w:p w14:paraId="17591DAA" w14:textId="69C9E3B6" w:rsidR="003E5795" w:rsidRPr="00B1466D" w:rsidRDefault="00A068E5" w:rsidP="00FF2CBE">
      <w:pPr>
        <w:pStyle w:val="ListParagraph"/>
        <w:numPr>
          <w:ilvl w:val="0"/>
          <w:numId w:val="13"/>
        </w:numPr>
        <w:spacing w:before="120" w:line="360" w:lineRule="auto"/>
        <w:jc w:val="both"/>
        <w:rPr>
          <w:rFonts w:ascii="Times New Roman" w:hAnsi="Times New Roman" w:cs="Times New Roman"/>
          <w:sz w:val="24"/>
          <w:szCs w:val="24"/>
        </w:rPr>
      </w:pPr>
      <w:r w:rsidRPr="00B1466D">
        <w:rPr>
          <w:rFonts w:ascii="Times New Roman" w:hAnsi="Times New Roman" w:cs="Times New Roman"/>
          <w:sz w:val="24"/>
          <w:szCs w:val="24"/>
        </w:rPr>
        <w:t>The</w:t>
      </w:r>
      <w:r w:rsidR="00321206" w:rsidRPr="00B1466D">
        <w:rPr>
          <w:rFonts w:ascii="Times New Roman" w:hAnsi="Times New Roman" w:cs="Times New Roman"/>
          <w:sz w:val="24"/>
          <w:szCs w:val="24"/>
        </w:rPr>
        <w:t xml:space="preserve"> objectives of the Audit Committee are set out in</w:t>
      </w:r>
      <w:r w:rsidR="00852B0D" w:rsidRPr="00B1466D">
        <w:rPr>
          <w:rFonts w:ascii="Times New Roman" w:hAnsi="Times New Roman" w:cs="Times New Roman"/>
          <w:sz w:val="24"/>
          <w:szCs w:val="24"/>
        </w:rPr>
        <w:t xml:space="preserve"> paragraph 3 of the Terms of Reference which provides that the Audit Committee will satisfy itself, by such means as it shall consider appropriate, that adequate information and control systems are in place together with</w:t>
      </w:r>
      <w:r w:rsidR="00F3425A" w:rsidRPr="00B1466D">
        <w:rPr>
          <w:rFonts w:ascii="Times New Roman" w:hAnsi="Times New Roman" w:cs="Times New Roman"/>
          <w:sz w:val="24"/>
          <w:szCs w:val="24"/>
        </w:rPr>
        <w:t xml:space="preserve"> </w:t>
      </w:r>
      <w:r w:rsidR="00852B0D" w:rsidRPr="00B1466D">
        <w:rPr>
          <w:rFonts w:ascii="Times New Roman" w:hAnsi="Times New Roman" w:cs="Times New Roman"/>
          <w:sz w:val="24"/>
          <w:szCs w:val="24"/>
        </w:rPr>
        <w:t xml:space="preserve">arrangements to monitor their effectiveness; and that the businesses of the operating units are conducted in a proper, commercially sound and ethical manner. </w:t>
      </w:r>
      <w:r w:rsidR="0027458D" w:rsidRPr="00B1466D">
        <w:rPr>
          <w:rFonts w:ascii="Times New Roman" w:hAnsi="Times New Roman" w:cs="Times New Roman"/>
          <w:sz w:val="24"/>
          <w:szCs w:val="24"/>
        </w:rPr>
        <w:t xml:space="preserve">It further provides that the </w:t>
      </w:r>
      <w:r w:rsidR="00852B0D" w:rsidRPr="00B1466D">
        <w:rPr>
          <w:rFonts w:ascii="Times New Roman" w:hAnsi="Times New Roman" w:cs="Times New Roman"/>
          <w:sz w:val="24"/>
          <w:szCs w:val="24"/>
        </w:rPr>
        <w:t>Audit Committee will act in an advisory capacity to the Board and will ensure coordination between the internal and external auditors.</w:t>
      </w:r>
    </w:p>
    <w:p w14:paraId="74A9A9B3" w14:textId="77777777" w:rsidR="00FF67FF" w:rsidRDefault="00FF67FF" w:rsidP="009F37C0">
      <w:pPr>
        <w:spacing w:before="120" w:line="360" w:lineRule="auto"/>
        <w:rPr>
          <w:rFonts w:ascii="Times New Roman" w:hAnsi="Times New Roman" w:cs="Times New Roman"/>
          <w:sz w:val="24"/>
          <w:szCs w:val="24"/>
        </w:rPr>
      </w:pPr>
    </w:p>
    <w:p w14:paraId="52F40B87" w14:textId="32BB7538" w:rsidR="00FF67FF" w:rsidRPr="00B1466D" w:rsidRDefault="00FA1B5F" w:rsidP="00FF2CBE">
      <w:pPr>
        <w:pStyle w:val="ListParagraph"/>
        <w:numPr>
          <w:ilvl w:val="0"/>
          <w:numId w:val="13"/>
        </w:numPr>
        <w:spacing w:before="120" w:line="360" w:lineRule="auto"/>
        <w:jc w:val="both"/>
        <w:rPr>
          <w:rFonts w:ascii="Times New Roman" w:hAnsi="Times New Roman" w:cs="Times New Roman"/>
          <w:sz w:val="24"/>
          <w:szCs w:val="24"/>
        </w:rPr>
      </w:pPr>
      <w:r w:rsidRPr="00B1466D">
        <w:rPr>
          <w:rFonts w:ascii="Times New Roman" w:hAnsi="Times New Roman" w:cs="Times New Roman"/>
          <w:sz w:val="24"/>
          <w:szCs w:val="24"/>
        </w:rPr>
        <w:t>The Court accepts that there is nothing in the Terms of Reference</w:t>
      </w:r>
      <w:r w:rsidR="00681B7E" w:rsidRPr="00B1466D">
        <w:rPr>
          <w:rFonts w:ascii="Times New Roman" w:hAnsi="Times New Roman" w:cs="Times New Roman"/>
          <w:sz w:val="24"/>
          <w:szCs w:val="24"/>
        </w:rPr>
        <w:t xml:space="preserve"> which provides</w:t>
      </w:r>
      <w:r w:rsidR="00954BA9" w:rsidRPr="00B1466D">
        <w:rPr>
          <w:rFonts w:ascii="Times New Roman" w:hAnsi="Times New Roman" w:cs="Times New Roman"/>
          <w:sz w:val="24"/>
          <w:szCs w:val="24"/>
        </w:rPr>
        <w:t xml:space="preserve"> any evidence in relation to any alleged arrangement or understanding from the perspective of the Principal</w:t>
      </w:r>
      <w:r w:rsidR="00816F7B" w:rsidRPr="00B1466D">
        <w:rPr>
          <w:rFonts w:ascii="Times New Roman" w:hAnsi="Times New Roman" w:cs="Times New Roman"/>
          <w:sz w:val="24"/>
          <w:szCs w:val="24"/>
        </w:rPr>
        <w:t xml:space="preserve"> Group Companies. The </w:t>
      </w:r>
      <w:r w:rsidR="006B3713" w:rsidRPr="00B1466D">
        <w:rPr>
          <w:rFonts w:ascii="Times New Roman" w:hAnsi="Times New Roman" w:cs="Times New Roman"/>
          <w:sz w:val="24"/>
          <w:szCs w:val="24"/>
        </w:rPr>
        <w:t>Court is able to draw an inference that the board</w:t>
      </w:r>
      <w:r w:rsidR="007D5962" w:rsidRPr="00B1466D">
        <w:rPr>
          <w:rFonts w:ascii="Times New Roman" w:hAnsi="Times New Roman" w:cs="Times New Roman"/>
          <w:sz w:val="24"/>
          <w:szCs w:val="24"/>
        </w:rPr>
        <w:t>s</w:t>
      </w:r>
      <w:r w:rsidR="006B3713" w:rsidRPr="00B1466D">
        <w:rPr>
          <w:rFonts w:ascii="Times New Roman" w:hAnsi="Times New Roman" w:cs="Times New Roman"/>
          <w:sz w:val="24"/>
          <w:szCs w:val="24"/>
        </w:rPr>
        <w:t xml:space="preserve"> of the </w:t>
      </w:r>
      <w:r w:rsidR="00645F7F" w:rsidRPr="00B1466D">
        <w:rPr>
          <w:rFonts w:ascii="Times New Roman" w:hAnsi="Times New Roman" w:cs="Times New Roman"/>
          <w:sz w:val="24"/>
          <w:szCs w:val="24"/>
        </w:rPr>
        <w:t>Company</w:t>
      </w:r>
      <w:r w:rsidR="007D5962" w:rsidRPr="00B1466D">
        <w:rPr>
          <w:rFonts w:ascii="Times New Roman" w:hAnsi="Times New Roman" w:cs="Times New Roman"/>
          <w:sz w:val="24"/>
          <w:szCs w:val="24"/>
        </w:rPr>
        <w:t xml:space="preserve"> </w:t>
      </w:r>
      <w:r w:rsidR="00A77F38" w:rsidRPr="00B1466D">
        <w:rPr>
          <w:rFonts w:ascii="Times New Roman" w:hAnsi="Times New Roman" w:cs="Times New Roman"/>
          <w:sz w:val="24"/>
          <w:szCs w:val="24"/>
        </w:rPr>
        <w:t xml:space="preserve">and </w:t>
      </w:r>
      <w:r w:rsidR="007D5962" w:rsidRPr="00B1466D">
        <w:rPr>
          <w:rFonts w:ascii="Times New Roman" w:hAnsi="Times New Roman" w:cs="Times New Roman"/>
          <w:sz w:val="24"/>
          <w:szCs w:val="24"/>
        </w:rPr>
        <w:t>Jardine Matheson had an expectation that, so far as the Audit Committee requested documents from the Group companies for the purposes of discharging its duties</w:t>
      </w:r>
      <w:r w:rsidR="004E630C" w:rsidRPr="00B1466D">
        <w:rPr>
          <w:rFonts w:ascii="Times New Roman" w:hAnsi="Times New Roman" w:cs="Times New Roman"/>
          <w:sz w:val="24"/>
          <w:szCs w:val="24"/>
        </w:rPr>
        <w:t>, then those requests would be complied with.</w:t>
      </w:r>
    </w:p>
    <w:p w14:paraId="05739AAA" w14:textId="77777777" w:rsidR="00463DD9" w:rsidRDefault="00463DD9" w:rsidP="009F37C0">
      <w:pPr>
        <w:spacing w:before="120" w:line="360" w:lineRule="auto"/>
        <w:rPr>
          <w:rFonts w:ascii="Times New Roman" w:hAnsi="Times New Roman" w:cs="Times New Roman"/>
          <w:sz w:val="24"/>
          <w:szCs w:val="24"/>
        </w:rPr>
      </w:pPr>
    </w:p>
    <w:p w14:paraId="29D5C9EF" w14:textId="1BFFDD3C" w:rsidR="00463DD9" w:rsidRPr="00B1466D" w:rsidRDefault="00DA423C" w:rsidP="00FF2CBE">
      <w:pPr>
        <w:pStyle w:val="ListParagraph"/>
        <w:numPr>
          <w:ilvl w:val="0"/>
          <w:numId w:val="13"/>
        </w:numPr>
        <w:spacing w:before="120" w:line="360" w:lineRule="auto"/>
        <w:jc w:val="both"/>
        <w:rPr>
          <w:rFonts w:ascii="Times New Roman" w:hAnsi="Times New Roman" w:cs="Times New Roman"/>
          <w:sz w:val="24"/>
          <w:szCs w:val="24"/>
        </w:rPr>
      </w:pPr>
      <w:r w:rsidRPr="00B1466D">
        <w:rPr>
          <w:rFonts w:ascii="Times New Roman" w:hAnsi="Times New Roman" w:cs="Times New Roman"/>
          <w:sz w:val="24"/>
          <w:szCs w:val="24"/>
        </w:rPr>
        <w:t>Mr</w:t>
      </w:r>
      <w:r w:rsidR="00862260" w:rsidRPr="00B1466D">
        <w:rPr>
          <w:rFonts w:ascii="Times New Roman" w:hAnsi="Times New Roman" w:cs="Times New Roman"/>
          <w:sz w:val="24"/>
          <w:szCs w:val="24"/>
        </w:rPr>
        <w:t xml:space="preserve"> Moore KC submits that at most the Terms of Reference is evidence that the </w:t>
      </w:r>
      <w:r w:rsidR="00767F84" w:rsidRPr="00B1466D">
        <w:rPr>
          <w:rFonts w:ascii="Times New Roman" w:hAnsi="Times New Roman" w:cs="Times New Roman"/>
          <w:sz w:val="24"/>
          <w:szCs w:val="24"/>
        </w:rPr>
        <w:t>board</w:t>
      </w:r>
      <w:r w:rsidR="00862260" w:rsidRPr="00B1466D">
        <w:rPr>
          <w:rFonts w:ascii="Times New Roman" w:hAnsi="Times New Roman" w:cs="Times New Roman"/>
          <w:sz w:val="24"/>
          <w:szCs w:val="24"/>
        </w:rPr>
        <w:t xml:space="preserve"> considered that it was delegating to the Audit Committee the powers it required to meet</w:t>
      </w:r>
      <w:r w:rsidR="00C63CA0" w:rsidRPr="00B1466D">
        <w:rPr>
          <w:rFonts w:ascii="Times New Roman" w:hAnsi="Times New Roman" w:cs="Times New Roman"/>
          <w:sz w:val="24"/>
          <w:szCs w:val="24"/>
        </w:rPr>
        <w:t xml:space="preserve"> the objectives specified in paragraph 3 of the Terms of Reference. The Court accepts</w:t>
      </w:r>
      <w:r w:rsidR="00885213" w:rsidRPr="00B1466D">
        <w:rPr>
          <w:rFonts w:ascii="Times New Roman" w:hAnsi="Times New Roman" w:cs="Times New Roman"/>
          <w:sz w:val="24"/>
          <w:szCs w:val="24"/>
        </w:rPr>
        <w:t xml:space="preserve"> that that the Audit Committee’s powers</w:t>
      </w:r>
      <w:r w:rsidR="00D41197" w:rsidRPr="00B1466D">
        <w:rPr>
          <w:rFonts w:ascii="Times New Roman" w:hAnsi="Times New Roman" w:cs="Times New Roman"/>
          <w:sz w:val="24"/>
          <w:szCs w:val="24"/>
        </w:rPr>
        <w:t xml:space="preserve"> are necessarily qualified by reference to these objectives</w:t>
      </w:r>
      <w:r w:rsidR="002622DD" w:rsidRPr="00B1466D">
        <w:rPr>
          <w:rFonts w:ascii="Times New Roman" w:hAnsi="Times New Roman" w:cs="Times New Roman"/>
          <w:sz w:val="24"/>
          <w:szCs w:val="24"/>
        </w:rPr>
        <w:t xml:space="preserve"> and any access to the documents of the Principal Group Subsidiaries</w:t>
      </w:r>
      <w:r w:rsidR="00E16046" w:rsidRPr="00B1466D">
        <w:rPr>
          <w:rFonts w:ascii="Times New Roman" w:hAnsi="Times New Roman" w:cs="Times New Roman"/>
          <w:sz w:val="24"/>
          <w:szCs w:val="24"/>
        </w:rPr>
        <w:t xml:space="preserve"> is necessarily confined</w:t>
      </w:r>
      <w:r w:rsidR="00D76457" w:rsidRPr="00B1466D">
        <w:rPr>
          <w:rFonts w:ascii="Times New Roman" w:hAnsi="Times New Roman" w:cs="Times New Roman"/>
          <w:sz w:val="24"/>
          <w:szCs w:val="24"/>
        </w:rPr>
        <w:t xml:space="preserve"> to achieving the objectives of the Audit Committee.</w:t>
      </w:r>
      <w:r w:rsidR="00D41197" w:rsidRPr="00B1466D">
        <w:rPr>
          <w:rFonts w:ascii="Times New Roman" w:hAnsi="Times New Roman" w:cs="Times New Roman"/>
          <w:sz w:val="24"/>
          <w:szCs w:val="24"/>
        </w:rPr>
        <w:t xml:space="preserve"> Accordingly, </w:t>
      </w:r>
      <w:r w:rsidR="002C57F1" w:rsidRPr="00B1466D">
        <w:rPr>
          <w:rFonts w:ascii="Times New Roman" w:hAnsi="Times New Roman" w:cs="Times New Roman"/>
          <w:sz w:val="24"/>
          <w:szCs w:val="24"/>
        </w:rPr>
        <w:t xml:space="preserve">the </w:t>
      </w:r>
      <w:r w:rsidR="00D76457" w:rsidRPr="00B1466D">
        <w:rPr>
          <w:rFonts w:ascii="Times New Roman" w:hAnsi="Times New Roman" w:cs="Times New Roman"/>
          <w:sz w:val="24"/>
          <w:szCs w:val="24"/>
        </w:rPr>
        <w:t xml:space="preserve">Court accepts the submission that the </w:t>
      </w:r>
      <w:r w:rsidR="002C57F1" w:rsidRPr="00B1466D">
        <w:rPr>
          <w:rFonts w:ascii="Times New Roman" w:hAnsi="Times New Roman" w:cs="Times New Roman"/>
          <w:sz w:val="24"/>
          <w:szCs w:val="24"/>
        </w:rPr>
        <w:t>Audit Committee</w:t>
      </w:r>
      <w:r w:rsidR="00FF1C6D" w:rsidRPr="00B1466D">
        <w:rPr>
          <w:rFonts w:ascii="Times New Roman" w:hAnsi="Times New Roman" w:cs="Times New Roman"/>
          <w:sz w:val="24"/>
          <w:szCs w:val="24"/>
        </w:rPr>
        <w:t>’</w:t>
      </w:r>
      <w:r w:rsidR="002C57F1" w:rsidRPr="00B1466D">
        <w:rPr>
          <w:rFonts w:ascii="Times New Roman" w:hAnsi="Times New Roman" w:cs="Times New Roman"/>
          <w:sz w:val="24"/>
          <w:szCs w:val="24"/>
        </w:rPr>
        <w:t xml:space="preserve">s Terms of </w:t>
      </w:r>
      <w:r w:rsidR="0078085E" w:rsidRPr="00B1466D">
        <w:rPr>
          <w:rFonts w:ascii="Times New Roman" w:hAnsi="Times New Roman" w:cs="Times New Roman"/>
          <w:sz w:val="24"/>
          <w:szCs w:val="24"/>
        </w:rPr>
        <w:t>R</w:t>
      </w:r>
      <w:r w:rsidR="002C57F1" w:rsidRPr="00B1466D">
        <w:rPr>
          <w:rFonts w:ascii="Times New Roman" w:hAnsi="Times New Roman" w:cs="Times New Roman"/>
          <w:sz w:val="24"/>
          <w:szCs w:val="24"/>
        </w:rPr>
        <w:t>eference</w:t>
      </w:r>
      <w:r w:rsidR="0069255D" w:rsidRPr="00B1466D">
        <w:rPr>
          <w:rFonts w:ascii="Times New Roman" w:hAnsi="Times New Roman" w:cs="Times New Roman"/>
          <w:sz w:val="24"/>
          <w:szCs w:val="24"/>
        </w:rPr>
        <w:t xml:space="preserve"> do not </w:t>
      </w:r>
      <w:r w:rsidR="00412297" w:rsidRPr="00B1466D">
        <w:rPr>
          <w:rFonts w:ascii="Times New Roman" w:hAnsi="Times New Roman" w:cs="Times New Roman"/>
          <w:sz w:val="24"/>
          <w:szCs w:val="24"/>
        </w:rPr>
        <w:t>support the existence of a</w:t>
      </w:r>
      <w:r w:rsidR="0047437B" w:rsidRPr="00B1466D">
        <w:rPr>
          <w:rFonts w:ascii="Times New Roman" w:hAnsi="Times New Roman" w:cs="Times New Roman"/>
          <w:sz w:val="24"/>
          <w:szCs w:val="24"/>
        </w:rPr>
        <w:t>ny</w:t>
      </w:r>
      <w:r w:rsidR="00822852" w:rsidRPr="00B1466D">
        <w:rPr>
          <w:rFonts w:ascii="Times New Roman" w:hAnsi="Times New Roman" w:cs="Times New Roman"/>
          <w:sz w:val="24"/>
          <w:szCs w:val="24"/>
        </w:rPr>
        <w:t xml:space="preserve"> wider</w:t>
      </w:r>
      <w:r w:rsidR="00412297" w:rsidRPr="00B1466D">
        <w:rPr>
          <w:rFonts w:ascii="Times New Roman" w:hAnsi="Times New Roman" w:cs="Times New Roman"/>
          <w:sz w:val="24"/>
          <w:szCs w:val="24"/>
        </w:rPr>
        <w:t xml:space="preserve"> arrangement or understanding</w:t>
      </w:r>
      <w:r w:rsidR="00D2262E" w:rsidRPr="00B1466D">
        <w:rPr>
          <w:rFonts w:ascii="Times New Roman" w:hAnsi="Times New Roman" w:cs="Times New Roman"/>
          <w:sz w:val="24"/>
          <w:szCs w:val="24"/>
        </w:rPr>
        <w:t xml:space="preserve"> whereby the </w:t>
      </w:r>
      <w:r w:rsidR="00645F7F" w:rsidRPr="00B1466D">
        <w:rPr>
          <w:rFonts w:ascii="Times New Roman" w:hAnsi="Times New Roman" w:cs="Times New Roman"/>
          <w:sz w:val="24"/>
          <w:szCs w:val="24"/>
        </w:rPr>
        <w:t>Company</w:t>
      </w:r>
      <w:r w:rsidR="00D2262E" w:rsidRPr="00B1466D">
        <w:rPr>
          <w:rFonts w:ascii="Times New Roman" w:hAnsi="Times New Roman" w:cs="Times New Roman"/>
          <w:sz w:val="24"/>
          <w:szCs w:val="24"/>
        </w:rPr>
        <w:t xml:space="preserve"> enjoyed </w:t>
      </w:r>
      <w:r w:rsidR="00D2262E" w:rsidRPr="00B1466D">
        <w:rPr>
          <w:rFonts w:ascii="Times New Roman" w:hAnsi="Times New Roman" w:cs="Times New Roman"/>
          <w:i/>
          <w:iCs/>
          <w:sz w:val="24"/>
          <w:szCs w:val="24"/>
        </w:rPr>
        <w:t xml:space="preserve">free </w:t>
      </w:r>
      <w:r w:rsidR="00881C10" w:rsidRPr="00B1466D">
        <w:rPr>
          <w:rFonts w:ascii="Times New Roman" w:hAnsi="Times New Roman" w:cs="Times New Roman"/>
          <w:i/>
          <w:iCs/>
          <w:sz w:val="24"/>
          <w:szCs w:val="24"/>
        </w:rPr>
        <w:t>or</w:t>
      </w:r>
      <w:r w:rsidR="00D2262E" w:rsidRPr="00B1466D">
        <w:rPr>
          <w:rFonts w:ascii="Times New Roman" w:hAnsi="Times New Roman" w:cs="Times New Roman"/>
          <w:i/>
          <w:iCs/>
          <w:sz w:val="24"/>
          <w:szCs w:val="24"/>
        </w:rPr>
        <w:t xml:space="preserve"> unfettered access</w:t>
      </w:r>
      <w:r w:rsidR="00D2262E" w:rsidRPr="00B1466D">
        <w:rPr>
          <w:rFonts w:ascii="Times New Roman" w:hAnsi="Times New Roman" w:cs="Times New Roman"/>
          <w:sz w:val="24"/>
          <w:szCs w:val="24"/>
        </w:rPr>
        <w:t xml:space="preserve"> to the documents held by</w:t>
      </w:r>
      <w:r w:rsidR="00FF1C6D" w:rsidRPr="00B1466D">
        <w:rPr>
          <w:rFonts w:ascii="Times New Roman" w:hAnsi="Times New Roman" w:cs="Times New Roman"/>
          <w:sz w:val="24"/>
          <w:szCs w:val="24"/>
        </w:rPr>
        <w:t xml:space="preserve"> Principal Group</w:t>
      </w:r>
      <w:r w:rsidR="00F321E9" w:rsidRPr="00B1466D">
        <w:rPr>
          <w:rFonts w:ascii="Times New Roman" w:hAnsi="Times New Roman" w:cs="Times New Roman"/>
          <w:sz w:val="24"/>
          <w:szCs w:val="24"/>
        </w:rPr>
        <w:t xml:space="preserve"> </w:t>
      </w:r>
      <w:r w:rsidR="00E12B9C" w:rsidRPr="00B1466D">
        <w:rPr>
          <w:rFonts w:ascii="Times New Roman" w:hAnsi="Times New Roman" w:cs="Times New Roman"/>
          <w:sz w:val="24"/>
          <w:szCs w:val="24"/>
        </w:rPr>
        <w:t>Companies</w:t>
      </w:r>
      <w:r w:rsidR="005F21A0" w:rsidRPr="00B1466D">
        <w:rPr>
          <w:rFonts w:ascii="Times New Roman" w:hAnsi="Times New Roman" w:cs="Times New Roman"/>
          <w:sz w:val="24"/>
          <w:szCs w:val="24"/>
        </w:rPr>
        <w:t xml:space="preserve"> which were</w:t>
      </w:r>
      <w:r w:rsidR="009436EA" w:rsidRPr="00B1466D">
        <w:rPr>
          <w:rFonts w:ascii="Times New Roman" w:hAnsi="Times New Roman" w:cs="Times New Roman"/>
          <w:sz w:val="24"/>
          <w:szCs w:val="24"/>
        </w:rPr>
        <w:t xml:space="preserve"> not required </w:t>
      </w:r>
      <w:r w:rsidR="001D495F" w:rsidRPr="00B1466D">
        <w:rPr>
          <w:rFonts w:ascii="Times New Roman" w:hAnsi="Times New Roman" w:cs="Times New Roman"/>
          <w:sz w:val="24"/>
          <w:szCs w:val="24"/>
        </w:rPr>
        <w:t>for the purposes of achieving</w:t>
      </w:r>
      <w:r w:rsidR="005F21A0" w:rsidRPr="00B1466D">
        <w:rPr>
          <w:rFonts w:ascii="Times New Roman" w:hAnsi="Times New Roman" w:cs="Times New Roman"/>
          <w:sz w:val="24"/>
          <w:szCs w:val="24"/>
        </w:rPr>
        <w:t xml:space="preserve"> </w:t>
      </w:r>
      <w:r w:rsidR="001D495F" w:rsidRPr="00B1466D">
        <w:rPr>
          <w:rFonts w:ascii="Times New Roman" w:hAnsi="Times New Roman" w:cs="Times New Roman"/>
          <w:sz w:val="24"/>
          <w:szCs w:val="24"/>
        </w:rPr>
        <w:t xml:space="preserve">the </w:t>
      </w:r>
      <w:r w:rsidR="005F21A0" w:rsidRPr="00B1466D">
        <w:rPr>
          <w:rFonts w:ascii="Times New Roman" w:hAnsi="Times New Roman" w:cs="Times New Roman"/>
          <w:sz w:val="24"/>
          <w:szCs w:val="24"/>
        </w:rPr>
        <w:t xml:space="preserve">objectives </w:t>
      </w:r>
      <w:r w:rsidR="00570CFF" w:rsidRPr="00B1466D">
        <w:rPr>
          <w:rFonts w:ascii="Times New Roman" w:hAnsi="Times New Roman" w:cs="Times New Roman"/>
          <w:sz w:val="24"/>
          <w:szCs w:val="24"/>
        </w:rPr>
        <w:t>of the Audit Committee.</w:t>
      </w:r>
    </w:p>
    <w:p w14:paraId="587EB151" w14:textId="77777777" w:rsidR="008D3943" w:rsidRPr="00481BB3" w:rsidRDefault="008D3943" w:rsidP="009F37C0">
      <w:pPr>
        <w:spacing w:before="120" w:line="360" w:lineRule="auto"/>
        <w:rPr>
          <w:rFonts w:ascii="Times New Roman" w:hAnsi="Times New Roman" w:cs="Times New Roman"/>
          <w:b/>
          <w:bCs/>
          <w:i/>
          <w:iCs/>
          <w:sz w:val="24"/>
          <w:szCs w:val="24"/>
        </w:rPr>
      </w:pPr>
    </w:p>
    <w:p w14:paraId="3ED5C23C" w14:textId="7135356C" w:rsidR="008D3943" w:rsidRDefault="008D3943" w:rsidP="009F37C0">
      <w:pPr>
        <w:spacing w:before="120" w:line="360" w:lineRule="auto"/>
        <w:rPr>
          <w:rFonts w:ascii="Times New Roman" w:hAnsi="Times New Roman" w:cs="Times New Roman"/>
          <w:b/>
          <w:bCs/>
          <w:i/>
          <w:iCs/>
          <w:sz w:val="24"/>
          <w:szCs w:val="24"/>
        </w:rPr>
      </w:pPr>
      <w:r w:rsidRPr="00481BB3">
        <w:rPr>
          <w:rFonts w:ascii="Times New Roman" w:hAnsi="Times New Roman" w:cs="Times New Roman"/>
          <w:b/>
          <w:bCs/>
          <w:i/>
          <w:iCs/>
          <w:sz w:val="24"/>
          <w:szCs w:val="24"/>
        </w:rPr>
        <w:t>The</w:t>
      </w:r>
      <w:r w:rsidR="00481BB3" w:rsidRPr="00481BB3">
        <w:rPr>
          <w:rFonts w:ascii="Times New Roman" w:hAnsi="Times New Roman" w:cs="Times New Roman"/>
          <w:b/>
          <w:bCs/>
          <w:i/>
          <w:iCs/>
          <w:sz w:val="24"/>
          <w:szCs w:val="24"/>
        </w:rPr>
        <w:t xml:space="preserve"> </w:t>
      </w:r>
      <w:r w:rsidR="008E218E">
        <w:rPr>
          <w:rFonts w:ascii="Times New Roman" w:hAnsi="Times New Roman" w:cs="Times New Roman"/>
          <w:b/>
          <w:bCs/>
          <w:i/>
          <w:iCs/>
          <w:sz w:val="24"/>
          <w:szCs w:val="24"/>
        </w:rPr>
        <w:t>A</w:t>
      </w:r>
      <w:r w:rsidR="00481BB3" w:rsidRPr="00481BB3">
        <w:rPr>
          <w:rFonts w:ascii="Times New Roman" w:hAnsi="Times New Roman" w:cs="Times New Roman"/>
          <w:b/>
          <w:bCs/>
          <w:i/>
          <w:iCs/>
          <w:sz w:val="24"/>
          <w:szCs w:val="24"/>
        </w:rPr>
        <w:t xml:space="preserve">udit </w:t>
      </w:r>
      <w:r w:rsidR="008E218E">
        <w:rPr>
          <w:rFonts w:ascii="Times New Roman" w:hAnsi="Times New Roman" w:cs="Times New Roman"/>
          <w:b/>
          <w:bCs/>
          <w:i/>
          <w:iCs/>
          <w:sz w:val="24"/>
          <w:szCs w:val="24"/>
        </w:rPr>
        <w:t>R</w:t>
      </w:r>
      <w:r w:rsidR="00481BB3" w:rsidRPr="00481BB3">
        <w:rPr>
          <w:rFonts w:ascii="Times New Roman" w:hAnsi="Times New Roman" w:cs="Times New Roman"/>
          <w:b/>
          <w:bCs/>
          <w:i/>
          <w:iCs/>
          <w:sz w:val="24"/>
          <w:szCs w:val="24"/>
        </w:rPr>
        <w:t xml:space="preserve">epresentation </w:t>
      </w:r>
      <w:r w:rsidR="008E218E">
        <w:rPr>
          <w:rFonts w:ascii="Times New Roman" w:hAnsi="Times New Roman" w:cs="Times New Roman"/>
          <w:b/>
          <w:bCs/>
          <w:i/>
          <w:iCs/>
          <w:sz w:val="24"/>
          <w:szCs w:val="24"/>
        </w:rPr>
        <w:t>L</w:t>
      </w:r>
      <w:r w:rsidR="00481BB3" w:rsidRPr="00481BB3">
        <w:rPr>
          <w:rFonts w:ascii="Times New Roman" w:hAnsi="Times New Roman" w:cs="Times New Roman"/>
          <w:b/>
          <w:bCs/>
          <w:i/>
          <w:iCs/>
          <w:sz w:val="24"/>
          <w:szCs w:val="24"/>
        </w:rPr>
        <w:t>etters</w:t>
      </w:r>
    </w:p>
    <w:p w14:paraId="7F236FCF" w14:textId="77777777" w:rsidR="008E218E" w:rsidRDefault="008E218E" w:rsidP="009F37C0">
      <w:pPr>
        <w:spacing w:before="120" w:line="360" w:lineRule="auto"/>
        <w:rPr>
          <w:rFonts w:ascii="Times New Roman" w:hAnsi="Times New Roman" w:cs="Times New Roman"/>
          <w:b/>
          <w:bCs/>
          <w:i/>
          <w:iCs/>
          <w:sz w:val="24"/>
          <w:szCs w:val="24"/>
        </w:rPr>
      </w:pPr>
    </w:p>
    <w:p w14:paraId="5048270C" w14:textId="4DEDE0EC" w:rsidR="00552570" w:rsidRPr="00B1466D" w:rsidRDefault="00943002" w:rsidP="00FF2CBE">
      <w:pPr>
        <w:pStyle w:val="ListParagraph"/>
        <w:numPr>
          <w:ilvl w:val="0"/>
          <w:numId w:val="13"/>
        </w:numPr>
        <w:spacing w:before="120" w:line="360" w:lineRule="auto"/>
        <w:jc w:val="both"/>
        <w:rPr>
          <w:rFonts w:ascii="Times New Roman" w:hAnsi="Times New Roman" w:cs="Times New Roman"/>
          <w:sz w:val="24"/>
          <w:szCs w:val="24"/>
        </w:rPr>
      </w:pPr>
      <w:r w:rsidRPr="00B1466D">
        <w:rPr>
          <w:rFonts w:ascii="Times New Roman" w:hAnsi="Times New Roman" w:cs="Times New Roman"/>
          <w:sz w:val="24"/>
          <w:szCs w:val="24"/>
        </w:rPr>
        <w:t xml:space="preserve">It is accepted by the </w:t>
      </w:r>
      <w:r w:rsidR="00645F7F" w:rsidRPr="00B1466D">
        <w:rPr>
          <w:rFonts w:ascii="Times New Roman" w:hAnsi="Times New Roman" w:cs="Times New Roman"/>
          <w:sz w:val="24"/>
          <w:szCs w:val="24"/>
        </w:rPr>
        <w:t>Company</w:t>
      </w:r>
      <w:r w:rsidRPr="00B1466D">
        <w:rPr>
          <w:rFonts w:ascii="Times New Roman" w:hAnsi="Times New Roman" w:cs="Times New Roman"/>
          <w:sz w:val="24"/>
          <w:szCs w:val="24"/>
        </w:rPr>
        <w:t xml:space="preserve"> and Jardine Matheson</w:t>
      </w:r>
      <w:r w:rsidR="00552570" w:rsidRPr="00B1466D">
        <w:rPr>
          <w:rFonts w:ascii="Times New Roman" w:hAnsi="Times New Roman" w:cs="Times New Roman"/>
          <w:sz w:val="24"/>
          <w:szCs w:val="24"/>
        </w:rPr>
        <w:t xml:space="preserve"> that they each separately provided a Representation Letter to PwC as its auditors, which are in near identical form each year. </w:t>
      </w:r>
      <w:r w:rsidR="0069398D" w:rsidRPr="00B1466D">
        <w:rPr>
          <w:rFonts w:ascii="Times New Roman" w:hAnsi="Times New Roman" w:cs="Times New Roman"/>
          <w:sz w:val="24"/>
          <w:szCs w:val="24"/>
        </w:rPr>
        <w:t>The Plaintiffs contend that, s</w:t>
      </w:r>
      <w:r w:rsidR="00552570" w:rsidRPr="00B1466D">
        <w:rPr>
          <w:rFonts w:ascii="Times New Roman" w:hAnsi="Times New Roman" w:cs="Times New Roman"/>
          <w:sz w:val="24"/>
          <w:szCs w:val="24"/>
        </w:rPr>
        <w:t>imilar to the Terms of Reference for the Audit Committee, the Representation Letters provide wide-ranging representations in relation to the Grou</w:t>
      </w:r>
      <w:r w:rsidR="00267485" w:rsidRPr="00B1466D">
        <w:rPr>
          <w:rFonts w:ascii="Times New Roman" w:hAnsi="Times New Roman" w:cs="Times New Roman"/>
          <w:sz w:val="24"/>
          <w:szCs w:val="24"/>
        </w:rPr>
        <w:t>p</w:t>
      </w:r>
      <w:r w:rsidR="00552570" w:rsidRPr="00B1466D">
        <w:rPr>
          <w:rFonts w:ascii="Times New Roman" w:hAnsi="Times New Roman" w:cs="Times New Roman"/>
          <w:sz w:val="24"/>
          <w:szCs w:val="24"/>
        </w:rPr>
        <w:t xml:space="preserve">. Each year the Representation Letter from each of the </w:t>
      </w:r>
      <w:r w:rsidR="00645F7F" w:rsidRPr="00B1466D">
        <w:rPr>
          <w:rFonts w:ascii="Times New Roman" w:hAnsi="Times New Roman" w:cs="Times New Roman"/>
          <w:sz w:val="24"/>
          <w:szCs w:val="24"/>
        </w:rPr>
        <w:t>Company</w:t>
      </w:r>
      <w:r w:rsidR="00552570" w:rsidRPr="00B1466D">
        <w:rPr>
          <w:rFonts w:ascii="Times New Roman" w:hAnsi="Times New Roman" w:cs="Times New Roman"/>
          <w:sz w:val="24"/>
          <w:szCs w:val="24"/>
        </w:rPr>
        <w:t xml:space="preserve"> and </w:t>
      </w:r>
      <w:r w:rsidR="00267485" w:rsidRPr="00B1466D">
        <w:rPr>
          <w:rFonts w:ascii="Times New Roman" w:hAnsi="Times New Roman" w:cs="Times New Roman"/>
          <w:sz w:val="24"/>
          <w:szCs w:val="24"/>
        </w:rPr>
        <w:t>Jardine Matheson</w:t>
      </w:r>
      <w:r w:rsidR="00552570" w:rsidRPr="00B1466D">
        <w:rPr>
          <w:rFonts w:ascii="Times New Roman" w:hAnsi="Times New Roman" w:cs="Times New Roman"/>
          <w:sz w:val="24"/>
          <w:szCs w:val="24"/>
        </w:rPr>
        <w:t xml:space="preserve"> included the following under the heading “</w:t>
      </w:r>
      <w:r w:rsidR="00552570" w:rsidRPr="00B1466D">
        <w:rPr>
          <w:rFonts w:ascii="Times New Roman" w:hAnsi="Times New Roman" w:cs="Times New Roman"/>
          <w:i/>
          <w:iCs/>
          <w:sz w:val="24"/>
          <w:szCs w:val="24"/>
        </w:rPr>
        <w:t>Information Provided</w:t>
      </w:r>
      <w:r w:rsidR="00552570" w:rsidRPr="00B1466D">
        <w:rPr>
          <w:rFonts w:ascii="Times New Roman" w:hAnsi="Times New Roman" w:cs="Times New Roman"/>
          <w:sz w:val="24"/>
          <w:szCs w:val="24"/>
        </w:rPr>
        <w:t xml:space="preserve">”: </w:t>
      </w:r>
    </w:p>
    <w:p w14:paraId="2BC90992" w14:textId="77777777" w:rsidR="00FE5D8F" w:rsidRPr="00894688" w:rsidRDefault="00552570" w:rsidP="00A90500">
      <w:pPr>
        <w:spacing w:before="120" w:line="276" w:lineRule="auto"/>
        <w:ind w:left="720"/>
        <w:rPr>
          <w:rFonts w:ascii="Times New Roman" w:hAnsi="Times New Roman" w:cs="Times New Roman"/>
          <w:i/>
          <w:iCs/>
          <w:sz w:val="24"/>
          <w:szCs w:val="24"/>
        </w:rPr>
      </w:pPr>
      <w:r w:rsidRPr="00894688">
        <w:rPr>
          <w:rFonts w:ascii="Times New Roman" w:hAnsi="Times New Roman" w:cs="Times New Roman"/>
          <w:i/>
          <w:iCs/>
          <w:sz w:val="24"/>
          <w:szCs w:val="24"/>
        </w:rPr>
        <w:t xml:space="preserve">We </w:t>
      </w:r>
      <w:r w:rsidRPr="005035BA">
        <w:rPr>
          <w:rFonts w:ascii="Times New Roman" w:hAnsi="Times New Roman" w:cs="Times New Roman"/>
          <w:b/>
          <w:bCs/>
          <w:i/>
          <w:iCs/>
          <w:sz w:val="24"/>
          <w:szCs w:val="24"/>
        </w:rPr>
        <w:t>have provided</w:t>
      </w:r>
      <w:r w:rsidRPr="00894688">
        <w:rPr>
          <w:rFonts w:ascii="Times New Roman" w:hAnsi="Times New Roman" w:cs="Times New Roman"/>
          <w:i/>
          <w:iCs/>
          <w:sz w:val="24"/>
          <w:szCs w:val="24"/>
        </w:rPr>
        <w:t xml:space="preserve"> you with: </w:t>
      </w:r>
    </w:p>
    <w:p w14:paraId="0A2D268A" w14:textId="63B82DFC" w:rsidR="00552570" w:rsidRPr="00FE5D8F" w:rsidRDefault="00552570" w:rsidP="00A90500">
      <w:pPr>
        <w:spacing w:before="120" w:line="276" w:lineRule="auto"/>
        <w:ind w:left="720"/>
        <w:rPr>
          <w:rFonts w:ascii="Times New Roman" w:hAnsi="Times New Roman" w:cs="Times New Roman"/>
          <w:i/>
          <w:iCs/>
          <w:sz w:val="24"/>
          <w:szCs w:val="24"/>
        </w:rPr>
      </w:pPr>
      <w:r w:rsidRPr="00FE5D8F">
        <w:rPr>
          <w:rFonts w:ascii="Times New Roman" w:hAnsi="Times New Roman" w:cs="Times New Roman"/>
          <w:i/>
          <w:iCs/>
          <w:sz w:val="24"/>
          <w:szCs w:val="24"/>
        </w:rPr>
        <w:t xml:space="preserve">- access to all information of which we are aware that is relevant to the preparation of the financial statements such as records, documentation, and other matters </w:t>
      </w:r>
    </w:p>
    <w:p w14:paraId="201D8F87" w14:textId="4E48B9B8" w:rsidR="00552570" w:rsidRPr="00FE5D8F" w:rsidRDefault="00552570" w:rsidP="00A90500">
      <w:pPr>
        <w:spacing w:before="120" w:line="276" w:lineRule="auto"/>
        <w:ind w:left="720"/>
        <w:rPr>
          <w:rFonts w:ascii="Times New Roman" w:hAnsi="Times New Roman" w:cs="Times New Roman"/>
          <w:i/>
          <w:iCs/>
          <w:sz w:val="24"/>
          <w:szCs w:val="24"/>
        </w:rPr>
      </w:pPr>
      <w:r w:rsidRPr="00FE5D8F">
        <w:rPr>
          <w:rFonts w:ascii="Times New Roman" w:hAnsi="Times New Roman" w:cs="Times New Roman"/>
          <w:i/>
          <w:iCs/>
          <w:sz w:val="24"/>
          <w:szCs w:val="24"/>
        </w:rPr>
        <w:t xml:space="preserve">- additional information that you have requested from us for the purpose of the audit and </w:t>
      </w:r>
    </w:p>
    <w:p w14:paraId="4E35E968" w14:textId="0E7E51DE" w:rsidR="008E218E" w:rsidRDefault="00552570" w:rsidP="00A90500">
      <w:pPr>
        <w:spacing w:before="120" w:line="276" w:lineRule="auto"/>
        <w:ind w:left="720"/>
        <w:rPr>
          <w:rFonts w:ascii="Times New Roman" w:hAnsi="Times New Roman" w:cs="Times New Roman"/>
          <w:i/>
          <w:iCs/>
          <w:sz w:val="24"/>
          <w:szCs w:val="24"/>
        </w:rPr>
      </w:pPr>
      <w:r w:rsidRPr="00FE5D8F">
        <w:rPr>
          <w:rFonts w:ascii="Times New Roman" w:hAnsi="Times New Roman" w:cs="Times New Roman"/>
          <w:i/>
          <w:iCs/>
          <w:sz w:val="24"/>
          <w:szCs w:val="24"/>
        </w:rPr>
        <w:t>- unrestricted access to persons within the Group from whom you determined it necessary to obtain audit evidence. So far as each director is aware, there is no relevant audit information of which you are unaware.</w:t>
      </w:r>
      <w:r w:rsidR="00CE1C2D">
        <w:rPr>
          <w:rFonts w:ascii="Times New Roman" w:hAnsi="Times New Roman" w:cs="Times New Roman"/>
          <w:i/>
          <w:iCs/>
          <w:sz w:val="24"/>
          <w:szCs w:val="24"/>
        </w:rPr>
        <w:t xml:space="preserve"> </w:t>
      </w:r>
      <w:r w:rsidR="00CE1C2D" w:rsidRPr="00CE1C2D">
        <w:rPr>
          <w:rFonts w:ascii="Times New Roman" w:hAnsi="Times New Roman" w:cs="Times New Roman"/>
          <w:sz w:val="24"/>
          <w:szCs w:val="24"/>
        </w:rPr>
        <w:t>(emphasis added)</w:t>
      </w:r>
    </w:p>
    <w:p w14:paraId="23AB2278" w14:textId="77777777" w:rsidR="00894688" w:rsidRDefault="00894688" w:rsidP="009F37C0">
      <w:pPr>
        <w:spacing w:before="120" w:line="360" w:lineRule="auto"/>
        <w:ind w:left="720"/>
        <w:rPr>
          <w:rFonts w:ascii="Times New Roman" w:hAnsi="Times New Roman" w:cs="Times New Roman"/>
          <w:i/>
          <w:iCs/>
          <w:sz w:val="24"/>
          <w:szCs w:val="24"/>
        </w:rPr>
      </w:pPr>
    </w:p>
    <w:p w14:paraId="3DC30563" w14:textId="466E5B50" w:rsidR="00894688" w:rsidRPr="00B1466D" w:rsidRDefault="007B0BF1" w:rsidP="00FF2CBE">
      <w:pPr>
        <w:pStyle w:val="ListParagraph"/>
        <w:numPr>
          <w:ilvl w:val="0"/>
          <w:numId w:val="13"/>
        </w:numPr>
        <w:spacing w:before="120" w:line="360" w:lineRule="auto"/>
        <w:jc w:val="both"/>
        <w:rPr>
          <w:rFonts w:ascii="Times New Roman" w:hAnsi="Times New Roman" w:cs="Times New Roman"/>
          <w:sz w:val="24"/>
          <w:szCs w:val="24"/>
        </w:rPr>
      </w:pPr>
      <w:r w:rsidRPr="00B1466D">
        <w:rPr>
          <w:rFonts w:ascii="Times New Roman" w:hAnsi="Times New Roman" w:cs="Times New Roman"/>
          <w:sz w:val="24"/>
          <w:szCs w:val="24"/>
        </w:rPr>
        <w:t xml:space="preserve">Each Representation Letter defined the companies to which it covered as </w:t>
      </w:r>
      <w:r w:rsidR="00F67055" w:rsidRPr="00B1466D">
        <w:rPr>
          <w:rFonts w:ascii="Times New Roman" w:hAnsi="Times New Roman" w:cs="Times New Roman"/>
          <w:sz w:val="24"/>
          <w:szCs w:val="24"/>
        </w:rPr>
        <w:t>“</w:t>
      </w:r>
      <w:r w:rsidRPr="00B1466D">
        <w:rPr>
          <w:rFonts w:ascii="Times New Roman" w:hAnsi="Times New Roman" w:cs="Times New Roman"/>
          <w:i/>
          <w:iCs/>
          <w:sz w:val="24"/>
          <w:szCs w:val="24"/>
        </w:rPr>
        <w:t xml:space="preserve">[the </w:t>
      </w:r>
      <w:r w:rsidR="00645F7F" w:rsidRPr="00B1466D">
        <w:rPr>
          <w:rFonts w:ascii="Times New Roman" w:hAnsi="Times New Roman" w:cs="Times New Roman"/>
          <w:i/>
          <w:iCs/>
          <w:sz w:val="24"/>
          <w:szCs w:val="24"/>
        </w:rPr>
        <w:t>Company</w:t>
      </w:r>
      <w:r w:rsidRPr="00B1466D">
        <w:rPr>
          <w:rFonts w:ascii="Times New Roman" w:hAnsi="Times New Roman" w:cs="Times New Roman"/>
          <w:i/>
          <w:iCs/>
          <w:sz w:val="24"/>
          <w:szCs w:val="24"/>
        </w:rPr>
        <w:t>] and its subsidiaries associates and joint ventures (together the “Group”)</w:t>
      </w:r>
      <w:r w:rsidRPr="00B1466D">
        <w:rPr>
          <w:rFonts w:ascii="Times New Roman" w:hAnsi="Times New Roman" w:cs="Times New Roman"/>
          <w:sz w:val="24"/>
          <w:szCs w:val="24"/>
        </w:rPr>
        <w:t>”</w:t>
      </w:r>
      <w:r w:rsidR="00425FF6" w:rsidRPr="00B1466D">
        <w:rPr>
          <w:rFonts w:ascii="Times New Roman" w:hAnsi="Times New Roman" w:cs="Times New Roman"/>
          <w:sz w:val="24"/>
          <w:szCs w:val="24"/>
        </w:rPr>
        <w:t>.</w:t>
      </w:r>
      <w:r w:rsidR="008615D0" w:rsidRPr="00B1466D">
        <w:rPr>
          <w:rFonts w:ascii="Times New Roman" w:hAnsi="Times New Roman" w:cs="Times New Roman"/>
          <w:sz w:val="24"/>
          <w:szCs w:val="24"/>
        </w:rPr>
        <w:t xml:space="preserve"> The Plaintiffs contend that given</w:t>
      </w:r>
      <w:r w:rsidRPr="00B1466D">
        <w:rPr>
          <w:rFonts w:ascii="Times New Roman" w:hAnsi="Times New Roman" w:cs="Times New Roman"/>
          <w:sz w:val="24"/>
          <w:szCs w:val="24"/>
        </w:rPr>
        <w:t xml:space="preserve"> the serious consequences of the representations made by the </w:t>
      </w:r>
      <w:r w:rsidR="00645F7F" w:rsidRPr="00B1466D">
        <w:rPr>
          <w:rFonts w:ascii="Times New Roman" w:hAnsi="Times New Roman" w:cs="Times New Roman"/>
          <w:sz w:val="24"/>
          <w:szCs w:val="24"/>
        </w:rPr>
        <w:t>Company</w:t>
      </w:r>
      <w:r w:rsidRPr="00B1466D">
        <w:rPr>
          <w:rFonts w:ascii="Times New Roman" w:hAnsi="Times New Roman" w:cs="Times New Roman"/>
          <w:sz w:val="24"/>
          <w:szCs w:val="24"/>
        </w:rPr>
        <w:t xml:space="preserve"> being incorrect, it must be assumed that the board of </w:t>
      </w:r>
      <w:r w:rsidR="00173B06" w:rsidRPr="00B1466D">
        <w:rPr>
          <w:rFonts w:ascii="Times New Roman" w:hAnsi="Times New Roman" w:cs="Times New Roman"/>
          <w:sz w:val="24"/>
          <w:szCs w:val="24"/>
        </w:rPr>
        <w:t xml:space="preserve">the </w:t>
      </w:r>
      <w:r w:rsidR="00645F7F" w:rsidRPr="00B1466D">
        <w:rPr>
          <w:rFonts w:ascii="Times New Roman" w:hAnsi="Times New Roman" w:cs="Times New Roman"/>
          <w:sz w:val="24"/>
          <w:szCs w:val="24"/>
        </w:rPr>
        <w:t>Company</w:t>
      </w:r>
      <w:r w:rsidR="00173B06" w:rsidRPr="00B1466D">
        <w:rPr>
          <w:rFonts w:ascii="Times New Roman" w:hAnsi="Times New Roman" w:cs="Times New Roman"/>
          <w:sz w:val="24"/>
          <w:szCs w:val="24"/>
        </w:rPr>
        <w:t xml:space="preserve"> </w:t>
      </w:r>
      <w:r w:rsidRPr="00B1466D">
        <w:rPr>
          <w:rFonts w:ascii="Times New Roman" w:hAnsi="Times New Roman" w:cs="Times New Roman"/>
          <w:sz w:val="24"/>
          <w:szCs w:val="24"/>
        </w:rPr>
        <w:t xml:space="preserve">believed that </w:t>
      </w:r>
      <w:r w:rsidR="00173B06" w:rsidRPr="00B1466D">
        <w:rPr>
          <w:rFonts w:ascii="Times New Roman" w:hAnsi="Times New Roman" w:cs="Times New Roman"/>
          <w:sz w:val="24"/>
          <w:szCs w:val="24"/>
        </w:rPr>
        <w:t>it</w:t>
      </w:r>
      <w:r w:rsidRPr="00B1466D">
        <w:rPr>
          <w:rFonts w:ascii="Times New Roman" w:hAnsi="Times New Roman" w:cs="Times New Roman"/>
          <w:sz w:val="24"/>
          <w:szCs w:val="24"/>
        </w:rPr>
        <w:t xml:space="preserve"> had indeed provided to the auditors “</w:t>
      </w:r>
      <w:r w:rsidRPr="00B1466D">
        <w:rPr>
          <w:rFonts w:ascii="Times New Roman" w:hAnsi="Times New Roman" w:cs="Times New Roman"/>
          <w:i/>
          <w:iCs/>
          <w:sz w:val="24"/>
          <w:szCs w:val="24"/>
        </w:rPr>
        <w:t>access to all information of which we are aware that is relevant to the preparation of the financial statements such as records, documentation, and other matters</w:t>
      </w:r>
      <w:r w:rsidRPr="00B1466D">
        <w:rPr>
          <w:rFonts w:ascii="Times New Roman" w:hAnsi="Times New Roman" w:cs="Times New Roman"/>
          <w:sz w:val="24"/>
          <w:szCs w:val="24"/>
        </w:rPr>
        <w:t xml:space="preserve">” of the Group. </w:t>
      </w:r>
      <w:r w:rsidR="00C5575B" w:rsidRPr="00B1466D">
        <w:rPr>
          <w:rFonts w:ascii="Times New Roman" w:hAnsi="Times New Roman" w:cs="Times New Roman"/>
          <w:sz w:val="24"/>
          <w:szCs w:val="24"/>
        </w:rPr>
        <w:t>The Plaintiffs argue that</w:t>
      </w:r>
      <w:r w:rsidRPr="00B1466D">
        <w:rPr>
          <w:rFonts w:ascii="Times New Roman" w:hAnsi="Times New Roman" w:cs="Times New Roman"/>
          <w:sz w:val="24"/>
          <w:szCs w:val="24"/>
        </w:rPr>
        <w:t xml:space="preserve"> there was plainly an understanding that such material would be provided to or at the request of the </w:t>
      </w:r>
      <w:r w:rsidR="00645F7F" w:rsidRPr="00B1466D">
        <w:rPr>
          <w:rFonts w:ascii="Times New Roman" w:hAnsi="Times New Roman" w:cs="Times New Roman"/>
          <w:sz w:val="24"/>
          <w:szCs w:val="24"/>
        </w:rPr>
        <w:t>Company</w:t>
      </w:r>
      <w:r w:rsidR="00C832FC" w:rsidRPr="00B1466D">
        <w:rPr>
          <w:rFonts w:ascii="Times New Roman" w:hAnsi="Times New Roman" w:cs="Times New Roman"/>
          <w:sz w:val="24"/>
          <w:szCs w:val="24"/>
        </w:rPr>
        <w:t xml:space="preserve"> by</w:t>
      </w:r>
      <w:r w:rsidRPr="00B1466D">
        <w:rPr>
          <w:rFonts w:ascii="Times New Roman" w:hAnsi="Times New Roman" w:cs="Times New Roman"/>
          <w:sz w:val="24"/>
          <w:szCs w:val="24"/>
        </w:rPr>
        <w:t xml:space="preserve"> the Group companies.</w:t>
      </w:r>
    </w:p>
    <w:p w14:paraId="0DA846D7" w14:textId="77777777" w:rsidR="00CA776D" w:rsidRDefault="00CA776D" w:rsidP="00726041">
      <w:pPr>
        <w:spacing w:before="120" w:line="360" w:lineRule="auto"/>
        <w:rPr>
          <w:rFonts w:ascii="Times New Roman" w:hAnsi="Times New Roman" w:cs="Times New Roman"/>
          <w:sz w:val="24"/>
          <w:szCs w:val="24"/>
        </w:rPr>
      </w:pPr>
    </w:p>
    <w:p w14:paraId="2CD74C98" w14:textId="36532653" w:rsidR="0031202E" w:rsidRDefault="00E6663C" w:rsidP="00FF2CBE">
      <w:pPr>
        <w:pStyle w:val="ListParagraph"/>
        <w:numPr>
          <w:ilvl w:val="0"/>
          <w:numId w:val="13"/>
        </w:numPr>
        <w:spacing w:before="120" w:line="360" w:lineRule="auto"/>
        <w:jc w:val="both"/>
        <w:rPr>
          <w:rFonts w:ascii="Times New Roman" w:hAnsi="Times New Roman" w:cs="Times New Roman"/>
          <w:sz w:val="24"/>
          <w:szCs w:val="24"/>
        </w:rPr>
      </w:pPr>
      <w:r w:rsidRPr="00B1466D">
        <w:rPr>
          <w:rFonts w:ascii="Times New Roman" w:hAnsi="Times New Roman" w:cs="Times New Roman"/>
          <w:sz w:val="24"/>
          <w:szCs w:val="24"/>
        </w:rPr>
        <w:t>The Court accepts</w:t>
      </w:r>
      <w:r w:rsidR="003B51E1" w:rsidRPr="00B1466D">
        <w:rPr>
          <w:rFonts w:ascii="Times New Roman" w:hAnsi="Times New Roman" w:cs="Times New Roman"/>
          <w:sz w:val="24"/>
          <w:szCs w:val="24"/>
        </w:rPr>
        <w:t xml:space="preserve"> Mr Parr’s evidence that this representation is entirely standard requirement for any </w:t>
      </w:r>
      <w:r w:rsidR="00645F7F" w:rsidRPr="00B1466D">
        <w:rPr>
          <w:rFonts w:ascii="Times New Roman" w:hAnsi="Times New Roman" w:cs="Times New Roman"/>
          <w:sz w:val="24"/>
          <w:szCs w:val="24"/>
        </w:rPr>
        <w:t>Company</w:t>
      </w:r>
      <w:r w:rsidR="003B51E1" w:rsidRPr="00B1466D">
        <w:rPr>
          <w:rFonts w:ascii="Times New Roman" w:hAnsi="Times New Roman" w:cs="Times New Roman"/>
          <w:sz w:val="24"/>
          <w:szCs w:val="24"/>
        </w:rPr>
        <w:t xml:space="preserve"> undergoing an audit and it </w:t>
      </w:r>
      <w:r w:rsidR="003642D8" w:rsidRPr="00B1466D">
        <w:rPr>
          <w:rFonts w:ascii="Times New Roman" w:hAnsi="Times New Roman" w:cs="Times New Roman"/>
          <w:sz w:val="24"/>
          <w:szCs w:val="24"/>
        </w:rPr>
        <w:t>is a representation in relation to the past (“</w:t>
      </w:r>
      <w:r w:rsidR="003642D8" w:rsidRPr="00B1466D">
        <w:rPr>
          <w:rFonts w:ascii="Times New Roman" w:hAnsi="Times New Roman" w:cs="Times New Roman"/>
          <w:i/>
          <w:iCs/>
          <w:sz w:val="24"/>
          <w:szCs w:val="24"/>
        </w:rPr>
        <w:t>we have provided you with</w:t>
      </w:r>
      <w:r w:rsidR="00E82655" w:rsidRPr="00B1466D">
        <w:rPr>
          <w:rFonts w:ascii="Times New Roman" w:hAnsi="Times New Roman" w:cs="Times New Roman"/>
          <w:sz w:val="24"/>
          <w:szCs w:val="24"/>
        </w:rPr>
        <w:t>”).</w:t>
      </w:r>
      <w:r w:rsidR="00B65758" w:rsidRPr="00B1466D">
        <w:rPr>
          <w:rFonts w:ascii="Times New Roman" w:hAnsi="Times New Roman" w:cs="Times New Roman"/>
          <w:sz w:val="24"/>
          <w:szCs w:val="24"/>
        </w:rPr>
        <w:t xml:space="preserve"> It is Mr Parr’s evidence, which the Court accepts, that the relevant directors were able to give the representation as a consequence of their confidence in the robustness of the systems, policies and procedures</w:t>
      </w:r>
      <w:r w:rsidR="006D3DF2" w:rsidRPr="00B1466D">
        <w:rPr>
          <w:rFonts w:ascii="Times New Roman" w:hAnsi="Times New Roman" w:cs="Times New Roman"/>
          <w:sz w:val="24"/>
          <w:szCs w:val="24"/>
        </w:rPr>
        <w:t xml:space="preserve"> promulgated across the Group by Jardine Matheson which underpin the consolidation process of the Group and the Group’s</w:t>
      </w:r>
      <w:r w:rsidR="00896E15" w:rsidRPr="00B1466D">
        <w:rPr>
          <w:rFonts w:ascii="Times New Roman" w:hAnsi="Times New Roman" w:cs="Times New Roman"/>
          <w:sz w:val="24"/>
          <w:szCs w:val="24"/>
        </w:rPr>
        <w:t xml:space="preserve"> overall approach to risk management and financial stability.</w:t>
      </w:r>
      <w:r w:rsidR="001079C0" w:rsidRPr="00B1466D">
        <w:rPr>
          <w:rFonts w:ascii="Times New Roman" w:hAnsi="Times New Roman" w:cs="Times New Roman"/>
          <w:sz w:val="24"/>
          <w:szCs w:val="24"/>
        </w:rPr>
        <w:t xml:space="preserve"> The Court accepts</w:t>
      </w:r>
      <w:r w:rsidR="00D77870" w:rsidRPr="00B1466D">
        <w:rPr>
          <w:rFonts w:ascii="Times New Roman" w:hAnsi="Times New Roman" w:cs="Times New Roman"/>
          <w:sz w:val="24"/>
          <w:szCs w:val="24"/>
        </w:rPr>
        <w:t xml:space="preserve"> Mr Moore KC’s submission that the fact that the </w:t>
      </w:r>
      <w:r w:rsidR="00645F7F" w:rsidRPr="00B1466D">
        <w:rPr>
          <w:rFonts w:ascii="Times New Roman" w:hAnsi="Times New Roman" w:cs="Times New Roman"/>
          <w:sz w:val="24"/>
          <w:szCs w:val="24"/>
        </w:rPr>
        <w:t>Company</w:t>
      </w:r>
      <w:r w:rsidR="00D77870" w:rsidRPr="00B1466D">
        <w:rPr>
          <w:rFonts w:ascii="Times New Roman" w:hAnsi="Times New Roman" w:cs="Times New Roman"/>
          <w:sz w:val="24"/>
          <w:szCs w:val="24"/>
        </w:rPr>
        <w:t xml:space="preserve"> was prepared to provide this standard representation to its auditors</w:t>
      </w:r>
      <w:r w:rsidR="00661C64" w:rsidRPr="00B1466D">
        <w:rPr>
          <w:rFonts w:ascii="Times New Roman" w:hAnsi="Times New Roman" w:cs="Times New Roman"/>
          <w:sz w:val="24"/>
          <w:szCs w:val="24"/>
        </w:rPr>
        <w:t xml:space="preserve"> does not provide any cogent evidence</w:t>
      </w:r>
      <w:r w:rsidR="009B0D9B" w:rsidRPr="00B1466D">
        <w:rPr>
          <w:rFonts w:ascii="Times New Roman" w:hAnsi="Times New Roman" w:cs="Times New Roman"/>
          <w:sz w:val="24"/>
          <w:szCs w:val="24"/>
        </w:rPr>
        <w:t xml:space="preserve"> of whether the subsidiaries would</w:t>
      </w:r>
      <w:r w:rsidR="007A5FB5" w:rsidRPr="00B1466D">
        <w:rPr>
          <w:rFonts w:ascii="Times New Roman" w:hAnsi="Times New Roman" w:cs="Times New Roman"/>
          <w:sz w:val="24"/>
          <w:szCs w:val="24"/>
        </w:rPr>
        <w:t>,</w:t>
      </w:r>
      <w:r w:rsidR="00F12C5B" w:rsidRPr="00B1466D">
        <w:rPr>
          <w:rFonts w:ascii="Times New Roman" w:hAnsi="Times New Roman" w:cs="Times New Roman"/>
          <w:sz w:val="24"/>
          <w:szCs w:val="24"/>
        </w:rPr>
        <w:t xml:space="preserve"> or had agreed to</w:t>
      </w:r>
      <w:r w:rsidR="007A5FB5" w:rsidRPr="00B1466D">
        <w:rPr>
          <w:rFonts w:ascii="Times New Roman" w:hAnsi="Times New Roman" w:cs="Times New Roman"/>
          <w:sz w:val="24"/>
          <w:szCs w:val="24"/>
        </w:rPr>
        <w:t>,</w:t>
      </w:r>
      <w:r w:rsidR="009B0D9B" w:rsidRPr="00B1466D">
        <w:rPr>
          <w:rFonts w:ascii="Times New Roman" w:hAnsi="Times New Roman" w:cs="Times New Roman"/>
          <w:sz w:val="24"/>
          <w:szCs w:val="24"/>
        </w:rPr>
        <w:t xml:space="preserve"> accede</w:t>
      </w:r>
      <w:r w:rsidR="00A876E9" w:rsidRPr="00B1466D">
        <w:rPr>
          <w:rFonts w:ascii="Times New Roman" w:hAnsi="Times New Roman" w:cs="Times New Roman"/>
          <w:sz w:val="24"/>
          <w:szCs w:val="24"/>
        </w:rPr>
        <w:t xml:space="preserve"> to a</w:t>
      </w:r>
      <w:r w:rsidR="00F07D70" w:rsidRPr="00B1466D">
        <w:rPr>
          <w:rFonts w:ascii="Times New Roman" w:hAnsi="Times New Roman" w:cs="Times New Roman"/>
          <w:sz w:val="24"/>
          <w:szCs w:val="24"/>
        </w:rPr>
        <w:t xml:space="preserve"> request</w:t>
      </w:r>
      <w:r w:rsidR="000031CB" w:rsidRPr="00B1466D">
        <w:rPr>
          <w:rFonts w:ascii="Times New Roman" w:hAnsi="Times New Roman" w:cs="Times New Roman"/>
          <w:sz w:val="24"/>
          <w:szCs w:val="24"/>
        </w:rPr>
        <w:t xml:space="preserve"> to disclose its documents.</w:t>
      </w:r>
      <w:r w:rsidR="008E1917" w:rsidRPr="00B1466D">
        <w:rPr>
          <w:rFonts w:ascii="Times New Roman" w:hAnsi="Times New Roman" w:cs="Times New Roman"/>
          <w:sz w:val="24"/>
          <w:szCs w:val="24"/>
        </w:rPr>
        <w:t xml:space="preserve"> The Court accepts that</w:t>
      </w:r>
      <w:r w:rsidR="00EF5A76" w:rsidRPr="00B1466D">
        <w:rPr>
          <w:rFonts w:ascii="Times New Roman" w:hAnsi="Times New Roman" w:cs="Times New Roman"/>
          <w:sz w:val="24"/>
          <w:szCs w:val="24"/>
        </w:rPr>
        <w:t>, at its highest</w:t>
      </w:r>
      <w:r w:rsidR="002903F5" w:rsidRPr="00B1466D">
        <w:rPr>
          <w:rFonts w:ascii="Times New Roman" w:hAnsi="Times New Roman" w:cs="Times New Roman"/>
          <w:sz w:val="24"/>
          <w:szCs w:val="24"/>
        </w:rPr>
        <w:t>.</w:t>
      </w:r>
      <w:r w:rsidR="008E1917" w:rsidRPr="00B1466D">
        <w:rPr>
          <w:rFonts w:ascii="Times New Roman" w:hAnsi="Times New Roman" w:cs="Times New Roman"/>
          <w:sz w:val="24"/>
          <w:szCs w:val="24"/>
        </w:rPr>
        <w:t xml:space="preserve"> the representation is evidence that the </w:t>
      </w:r>
      <w:r w:rsidR="00645F7F" w:rsidRPr="00B1466D">
        <w:rPr>
          <w:rFonts w:ascii="Times New Roman" w:hAnsi="Times New Roman" w:cs="Times New Roman"/>
          <w:sz w:val="24"/>
          <w:szCs w:val="24"/>
        </w:rPr>
        <w:t>Company</w:t>
      </w:r>
      <w:r w:rsidR="008E1917" w:rsidRPr="00B1466D">
        <w:rPr>
          <w:rFonts w:ascii="Times New Roman" w:hAnsi="Times New Roman" w:cs="Times New Roman"/>
          <w:sz w:val="24"/>
          <w:szCs w:val="24"/>
        </w:rPr>
        <w:t xml:space="preserve"> had an </w:t>
      </w:r>
      <w:r w:rsidR="008E1917" w:rsidRPr="00B1466D">
        <w:rPr>
          <w:rFonts w:ascii="Times New Roman" w:hAnsi="Times New Roman" w:cs="Times New Roman"/>
          <w:i/>
          <w:iCs/>
          <w:sz w:val="24"/>
          <w:szCs w:val="24"/>
        </w:rPr>
        <w:t>expectation</w:t>
      </w:r>
      <w:r w:rsidR="008E1917" w:rsidRPr="00B1466D">
        <w:rPr>
          <w:rFonts w:ascii="Times New Roman" w:hAnsi="Times New Roman" w:cs="Times New Roman"/>
          <w:sz w:val="24"/>
          <w:szCs w:val="24"/>
        </w:rPr>
        <w:t xml:space="preserve"> that the subsidiary compan</w:t>
      </w:r>
      <w:r w:rsidR="001915D9" w:rsidRPr="00B1466D">
        <w:rPr>
          <w:rFonts w:ascii="Times New Roman" w:hAnsi="Times New Roman" w:cs="Times New Roman"/>
          <w:sz w:val="24"/>
          <w:szCs w:val="24"/>
        </w:rPr>
        <w:t>ies</w:t>
      </w:r>
      <w:r w:rsidR="008E1917" w:rsidRPr="00B1466D">
        <w:rPr>
          <w:rFonts w:ascii="Times New Roman" w:hAnsi="Times New Roman" w:cs="Times New Roman"/>
          <w:sz w:val="24"/>
          <w:szCs w:val="24"/>
        </w:rPr>
        <w:t xml:space="preserve"> would </w:t>
      </w:r>
      <w:r w:rsidR="005F26EF" w:rsidRPr="00B1466D">
        <w:rPr>
          <w:rFonts w:ascii="Times New Roman" w:hAnsi="Times New Roman" w:cs="Times New Roman"/>
          <w:sz w:val="24"/>
          <w:szCs w:val="24"/>
        </w:rPr>
        <w:t>do so</w:t>
      </w:r>
      <w:r w:rsidR="007C78F4" w:rsidRPr="00B1466D">
        <w:rPr>
          <w:rFonts w:ascii="Times New Roman" w:hAnsi="Times New Roman" w:cs="Times New Roman"/>
          <w:sz w:val="24"/>
          <w:szCs w:val="24"/>
        </w:rPr>
        <w:t xml:space="preserve"> and that does not</w:t>
      </w:r>
      <w:r w:rsidR="00F31331" w:rsidRPr="00B1466D">
        <w:rPr>
          <w:rFonts w:ascii="Times New Roman" w:hAnsi="Times New Roman" w:cs="Times New Roman"/>
          <w:sz w:val="24"/>
          <w:szCs w:val="24"/>
        </w:rPr>
        <w:t xml:space="preserve"> evidence control over those documents (</w:t>
      </w:r>
      <w:r w:rsidR="0031202E" w:rsidRPr="00B1466D">
        <w:rPr>
          <w:rFonts w:ascii="Times New Roman" w:hAnsi="Times New Roman" w:cs="Times New Roman"/>
          <w:i/>
          <w:iCs/>
          <w:sz w:val="24"/>
          <w:szCs w:val="24"/>
        </w:rPr>
        <w:t>Lonrho</w:t>
      </w:r>
      <w:r w:rsidR="0031202E" w:rsidRPr="00B1466D">
        <w:rPr>
          <w:rFonts w:ascii="Times New Roman" w:hAnsi="Times New Roman" w:cs="Times New Roman"/>
          <w:sz w:val="24"/>
          <w:szCs w:val="24"/>
        </w:rPr>
        <w:t xml:space="preserve">, </w:t>
      </w:r>
      <w:r w:rsidR="0031202E" w:rsidRPr="00B1466D">
        <w:rPr>
          <w:rFonts w:ascii="Times New Roman" w:hAnsi="Times New Roman" w:cs="Times New Roman"/>
          <w:i/>
          <w:iCs/>
          <w:sz w:val="24"/>
          <w:szCs w:val="24"/>
        </w:rPr>
        <w:t xml:space="preserve">Schlumberger </w:t>
      </w:r>
      <w:r w:rsidR="0031202E" w:rsidRPr="00B1466D">
        <w:rPr>
          <w:rFonts w:ascii="Times New Roman" w:hAnsi="Times New Roman" w:cs="Times New Roman"/>
          <w:sz w:val="24"/>
          <w:szCs w:val="24"/>
        </w:rPr>
        <w:t>at [21], and Ardila at [13]</w:t>
      </w:r>
      <w:r w:rsidR="002407C0" w:rsidRPr="00B1466D">
        <w:rPr>
          <w:rFonts w:ascii="Times New Roman" w:hAnsi="Times New Roman" w:cs="Times New Roman"/>
          <w:sz w:val="24"/>
          <w:szCs w:val="24"/>
        </w:rPr>
        <w:t>).</w:t>
      </w:r>
    </w:p>
    <w:p w14:paraId="2EF22149" w14:textId="71F8D333" w:rsidR="00B27221" w:rsidRDefault="00B27221" w:rsidP="00B27221">
      <w:pPr>
        <w:spacing w:before="120" w:line="360" w:lineRule="auto"/>
        <w:jc w:val="both"/>
        <w:rPr>
          <w:rFonts w:ascii="Times New Roman" w:hAnsi="Times New Roman" w:cs="Times New Roman"/>
          <w:sz w:val="24"/>
          <w:szCs w:val="24"/>
        </w:rPr>
      </w:pPr>
    </w:p>
    <w:p w14:paraId="71CB49C7" w14:textId="1EDA5A0C" w:rsidR="00B27221" w:rsidRDefault="00B27221" w:rsidP="00B27221">
      <w:pPr>
        <w:spacing w:before="120" w:line="360" w:lineRule="auto"/>
        <w:jc w:val="both"/>
        <w:rPr>
          <w:rFonts w:ascii="Times New Roman" w:hAnsi="Times New Roman" w:cs="Times New Roman"/>
          <w:sz w:val="24"/>
          <w:szCs w:val="24"/>
        </w:rPr>
      </w:pPr>
    </w:p>
    <w:p w14:paraId="39BD307D" w14:textId="77777777" w:rsidR="00B27221" w:rsidRPr="00B27221" w:rsidRDefault="00B27221" w:rsidP="00B27221">
      <w:pPr>
        <w:spacing w:before="120" w:line="360" w:lineRule="auto"/>
        <w:jc w:val="both"/>
        <w:rPr>
          <w:rFonts w:ascii="Times New Roman" w:hAnsi="Times New Roman" w:cs="Times New Roman"/>
          <w:sz w:val="24"/>
          <w:szCs w:val="24"/>
        </w:rPr>
      </w:pPr>
    </w:p>
    <w:p w14:paraId="575995D0" w14:textId="5AA23C02" w:rsidR="00CA776D" w:rsidRDefault="00CA776D" w:rsidP="00726041">
      <w:pPr>
        <w:spacing w:before="120" w:line="360" w:lineRule="auto"/>
        <w:rPr>
          <w:rFonts w:ascii="Times New Roman" w:hAnsi="Times New Roman" w:cs="Times New Roman"/>
          <w:sz w:val="24"/>
          <w:szCs w:val="24"/>
        </w:rPr>
      </w:pPr>
    </w:p>
    <w:p w14:paraId="31E789D3" w14:textId="77777777" w:rsidR="002903F5" w:rsidRDefault="002903F5" w:rsidP="00726041">
      <w:pPr>
        <w:spacing w:before="120" w:line="360" w:lineRule="auto"/>
        <w:rPr>
          <w:rFonts w:ascii="Times New Roman" w:hAnsi="Times New Roman" w:cs="Times New Roman"/>
          <w:sz w:val="24"/>
          <w:szCs w:val="24"/>
        </w:rPr>
      </w:pPr>
    </w:p>
    <w:p w14:paraId="66FBDF7E" w14:textId="7E2CE654" w:rsidR="002903F5" w:rsidRDefault="000F44FE" w:rsidP="00726041">
      <w:pPr>
        <w:tabs>
          <w:tab w:val="left" w:pos="6696"/>
        </w:tabs>
        <w:spacing w:before="120" w:line="360" w:lineRule="auto"/>
        <w:rPr>
          <w:rFonts w:ascii="Times New Roman" w:hAnsi="Times New Roman" w:cs="Times New Roman"/>
          <w:b/>
          <w:bCs/>
          <w:i/>
          <w:iCs/>
          <w:sz w:val="24"/>
          <w:szCs w:val="24"/>
        </w:rPr>
      </w:pPr>
      <w:r w:rsidRPr="001262F4">
        <w:rPr>
          <w:rFonts w:ascii="Times New Roman" w:hAnsi="Times New Roman" w:cs="Times New Roman"/>
          <w:b/>
          <w:bCs/>
          <w:i/>
          <w:iCs/>
          <w:sz w:val="24"/>
          <w:szCs w:val="24"/>
        </w:rPr>
        <w:t>Group Audit and Risk Management</w:t>
      </w:r>
      <w:r w:rsidR="001262F4" w:rsidRPr="001262F4">
        <w:rPr>
          <w:rFonts w:ascii="Times New Roman" w:hAnsi="Times New Roman" w:cs="Times New Roman"/>
          <w:b/>
          <w:bCs/>
          <w:i/>
          <w:iCs/>
          <w:sz w:val="24"/>
          <w:szCs w:val="24"/>
        </w:rPr>
        <w:t xml:space="preserve"> (known as “GARM”)</w:t>
      </w:r>
      <w:r w:rsidR="001262F4">
        <w:rPr>
          <w:rFonts w:ascii="Times New Roman" w:hAnsi="Times New Roman" w:cs="Times New Roman"/>
          <w:b/>
          <w:bCs/>
          <w:i/>
          <w:iCs/>
          <w:sz w:val="24"/>
          <w:szCs w:val="24"/>
        </w:rPr>
        <w:tab/>
      </w:r>
    </w:p>
    <w:p w14:paraId="0EA4512A" w14:textId="77777777" w:rsidR="001262F4" w:rsidRDefault="001262F4" w:rsidP="00726041">
      <w:pPr>
        <w:tabs>
          <w:tab w:val="left" w:pos="6696"/>
        </w:tabs>
        <w:spacing w:before="120" w:line="360" w:lineRule="auto"/>
        <w:rPr>
          <w:rFonts w:ascii="Times New Roman" w:hAnsi="Times New Roman" w:cs="Times New Roman"/>
          <w:b/>
          <w:bCs/>
          <w:i/>
          <w:iCs/>
          <w:sz w:val="24"/>
          <w:szCs w:val="24"/>
        </w:rPr>
      </w:pPr>
    </w:p>
    <w:p w14:paraId="1C63AC63" w14:textId="7AEC9716" w:rsidR="00C819CB" w:rsidRPr="00B1466D" w:rsidRDefault="00C819CB" w:rsidP="00FF2CBE">
      <w:pPr>
        <w:pStyle w:val="ListParagraph"/>
        <w:numPr>
          <w:ilvl w:val="0"/>
          <w:numId w:val="13"/>
        </w:numPr>
        <w:tabs>
          <w:tab w:val="left" w:pos="6696"/>
        </w:tabs>
        <w:spacing w:before="120" w:line="360" w:lineRule="auto"/>
        <w:jc w:val="both"/>
        <w:rPr>
          <w:rFonts w:ascii="Times New Roman" w:hAnsi="Times New Roman" w:cs="Times New Roman"/>
          <w:sz w:val="24"/>
          <w:szCs w:val="24"/>
        </w:rPr>
      </w:pPr>
      <w:r w:rsidRPr="00B1466D">
        <w:rPr>
          <w:rFonts w:ascii="Times New Roman" w:hAnsi="Times New Roman" w:cs="Times New Roman"/>
          <w:sz w:val="24"/>
          <w:szCs w:val="24"/>
        </w:rPr>
        <w:t xml:space="preserve">The </w:t>
      </w:r>
      <w:r w:rsidR="00645F7F" w:rsidRPr="00B1466D">
        <w:rPr>
          <w:rFonts w:ascii="Times New Roman" w:hAnsi="Times New Roman" w:cs="Times New Roman"/>
          <w:sz w:val="24"/>
          <w:szCs w:val="24"/>
        </w:rPr>
        <w:t>Company</w:t>
      </w:r>
      <w:r w:rsidRPr="00B1466D">
        <w:rPr>
          <w:rFonts w:ascii="Times New Roman" w:hAnsi="Times New Roman" w:cs="Times New Roman"/>
          <w:sz w:val="24"/>
          <w:szCs w:val="24"/>
        </w:rPr>
        <w:t xml:space="preserve"> and </w:t>
      </w:r>
      <w:r w:rsidR="000B21B5" w:rsidRPr="00B1466D">
        <w:rPr>
          <w:rFonts w:ascii="Times New Roman" w:hAnsi="Times New Roman" w:cs="Times New Roman"/>
          <w:sz w:val="24"/>
          <w:szCs w:val="24"/>
        </w:rPr>
        <w:t>Jardine Matheson</w:t>
      </w:r>
      <w:r w:rsidRPr="00B1466D">
        <w:rPr>
          <w:rFonts w:ascii="Times New Roman" w:hAnsi="Times New Roman" w:cs="Times New Roman"/>
          <w:sz w:val="24"/>
          <w:szCs w:val="24"/>
        </w:rPr>
        <w:t xml:space="preserve"> delegated audit and </w:t>
      </w:r>
      <w:r w:rsidR="001E7F28" w:rsidRPr="00B1466D">
        <w:rPr>
          <w:rFonts w:ascii="Times New Roman" w:hAnsi="Times New Roman" w:cs="Times New Roman"/>
          <w:sz w:val="24"/>
          <w:szCs w:val="24"/>
        </w:rPr>
        <w:t>risk functions to GARM</w:t>
      </w:r>
      <w:r w:rsidRPr="00B1466D">
        <w:rPr>
          <w:rFonts w:ascii="Times New Roman" w:hAnsi="Times New Roman" w:cs="Times New Roman"/>
          <w:sz w:val="24"/>
          <w:szCs w:val="24"/>
        </w:rPr>
        <w:t>. The GARM Terms of Reference dated March 2020</w:t>
      </w:r>
      <w:r w:rsidR="00A62670" w:rsidRPr="00B1466D">
        <w:rPr>
          <w:rFonts w:ascii="Times New Roman" w:hAnsi="Times New Roman" w:cs="Times New Roman"/>
          <w:sz w:val="24"/>
          <w:szCs w:val="24"/>
        </w:rPr>
        <w:t xml:space="preserve"> </w:t>
      </w:r>
      <w:r w:rsidRPr="00B1466D">
        <w:rPr>
          <w:rFonts w:ascii="Times New Roman" w:hAnsi="Times New Roman" w:cs="Times New Roman"/>
          <w:sz w:val="24"/>
          <w:szCs w:val="24"/>
        </w:rPr>
        <w:t xml:space="preserve">states: </w:t>
      </w:r>
    </w:p>
    <w:p w14:paraId="03E99690" w14:textId="52E29E06" w:rsidR="001262F4" w:rsidRDefault="00C819CB" w:rsidP="0032646D">
      <w:pPr>
        <w:tabs>
          <w:tab w:val="left" w:pos="6696"/>
        </w:tabs>
        <w:spacing w:before="120" w:line="276" w:lineRule="auto"/>
        <w:ind w:left="720"/>
        <w:rPr>
          <w:rFonts w:ascii="Times New Roman" w:hAnsi="Times New Roman" w:cs="Times New Roman"/>
          <w:sz w:val="24"/>
          <w:szCs w:val="24"/>
        </w:rPr>
      </w:pPr>
      <w:r w:rsidRPr="00C819CB">
        <w:rPr>
          <w:rFonts w:ascii="Times New Roman" w:hAnsi="Times New Roman" w:cs="Times New Roman"/>
          <w:sz w:val="24"/>
          <w:szCs w:val="24"/>
        </w:rPr>
        <w:t>“</w:t>
      </w:r>
      <w:r w:rsidRPr="00FF5130">
        <w:rPr>
          <w:rFonts w:ascii="Times New Roman" w:hAnsi="Times New Roman" w:cs="Times New Roman"/>
          <w:i/>
          <w:iCs/>
          <w:sz w:val="24"/>
          <w:szCs w:val="24"/>
        </w:rPr>
        <w:t>The Boards of Directors of Jardine Matheson Holdings Limited and Jardine Strategic Limited (“The Boards”) have overall responsibility for the Group’s system of governance, risk management and internal control. … The Boards have delegated to the Group Audit Committee responsibility for reviewing areas of risk and uncertainty, the operation and effectiveness of the Group’s internal controls and the procedures by which they are monitored. Group Audit and Risk Management (“GARM”) assists the Group Audit</w:t>
      </w:r>
      <w:r w:rsidR="00FF5130" w:rsidRPr="00FF5130">
        <w:rPr>
          <w:rFonts w:ascii="Times New Roman" w:hAnsi="Times New Roman" w:cs="Times New Roman"/>
          <w:i/>
          <w:iCs/>
          <w:sz w:val="24"/>
          <w:szCs w:val="24"/>
        </w:rPr>
        <w:t xml:space="preserve"> </w:t>
      </w:r>
      <w:r w:rsidRPr="00FF5130">
        <w:rPr>
          <w:rFonts w:ascii="Times New Roman" w:hAnsi="Times New Roman" w:cs="Times New Roman"/>
          <w:i/>
          <w:iCs/>
          <w:sz w:val="24"/>
          <w:szCs w:val="24"/>
        </w:rPr>
        <w:t>Committee in fulfilling its assurance and reporting roles. It also assumes an advisory role to the Group Audit Committee and the business units in terms of governance, risk management and internal controls</w:t>
      </w:r>
      <w:r w:rsidRPr="00C819CB">
        <w:rPr>
          <w:rFonts w:ascii="Times New Roman" w:hAnsi="Times New Roman" w:cs="Times New Roman"/>
          <w:sz w:val="24"/>
          <w:szCs w:val="24"/>
        </w:rPr>
        <w:t>.”</w:t>
      </w:r>
    </w:p>
    <w:p w14:paraId="18C1A9DF" w14:textId="77777777" w:rsidR="00FF5130" w:rsidRDefault="00FF5130" w:rsidP="00726041">
      <w:pPr>
        <w:tabs>
          <w:tab w:val="left" w:pos="6696"/>
        </w:tabs>
        <w:spacing w:before="120" w:line="360" w:lineRule="auto"/>
        <w:ind w:left="720"/>
        <w:rPr>
          <w:rFonts w:ascii="Times New Roman" w:hAnsi="Times New Roman" w:cs="Times New Roman"/>
          <w:sz w:val="24"/>
          <w:szCs w:val="24"/>
        </w:rPr>
      </w:pPr>
    </w:p>
    <w:p w14:paraId="5151C40C" w14:textId="07865D86" w:rsidR="00B41677" w:rsidRPr="00B1466D" w:rsidRDefault="00B41677" w:rsidP="00FF2CBE">
      <w:pPr>
        <w:pStyle w:val="ListParagraph"/>
        <w:numPr>
          <w:ilvl w:val="0"/>
          <w:numId w:val="13"/>
        </w:numPr>
        <w:tabs>
          <w:tab w:val="left" w:pos="6696"/>
        </w:tabs>
        <w:spacing w:before="120" w:line="360" w:lineRule="auto"/>
        <w:rPr>
          <w:rFonts w:ascii="Times New Roman" w:hAnsi="Times New Roman" w:cs="Times New Roman"/>
          <w:sz w:val="24"/>
          <w:szCs w:val="24"/>
        </w:rPr>
      </w:pPr>
      <w:r w:rsidRPr="00B1466D">
        <w:rPr>
          <w:rFonts w:ascii="Times New Roman" w:hAnsi="Times New Roman" w:cs="Times New Roman"/>
          <w:sz w:val="24"/>
          <w:szCs w:val="24"/>
        </w:rPr>
        <w:t>Under the heading “</w:t>
      </w:r>
      <w:r w:rsidRPr="00B1466D">
        <w:rPr>
          <w:rFonts w:ascii="Times New Roman" w:hAnsi="Times New Roman" w:cs="Times New Roman"/>
          <w:i/>
          <w:iCs/>
          <w:sz w:val="24"/>
          <w:szCs w:val="24"/>
        </w:rPr>
        <w:t>Authority</w:t>
      </w:r>
      <w:r w:rsidRPr="00B1466D">
        <w:rPr>
          <w:rFonts w:ascii="Times New Roman" w:hAnsi="Times New Roman" w:cs="Times New Roman"/>
          <w:sz w:val="24"/>
          <w:szCs w:val="24"/>
        </w:rPr>
        <w:t xml:space="preserve">” the document </w:t>
      </w:r>
      <w:r w:rsidR="000B2909" w:rsidRPr="00B1466D">
        <w:rPr>
          <w:rFonts w:ascii="Times New Roman" w:hAnsi="Times New Roman" w:cs="Times New Roman"/>
          <w:sz w:val="24"/>
          <w:szCs w:val="24"/>
        </w:rPr>
        <w:t>provides</w:t>
      </w:r>
      <w:r w:rsidRPr="00B1466D">
        <w:rPr>
          <w:rFonts w:ascii="Times New Roman" w:hAnsi="Times New Roman" w:cs="Times New Roman"/>
          <w:sz w:val="24"/>
          <w:szCs w:val="24"/>
        </w:rPr>
        <w:t xml:space="preserve"> as follows: </w:t>
      </w:r>
    </w:p>
    <w:p w14:paraId="122AA316" w14:textId="77777777" w:rsidR="00B41677" w:rsidRPr="00DC3FDB" w:rsidRDefault="00B41677" w:rsidP="004266B4">
      <w:pPr>
        <w:tabs>
          <w:tab w:val="left" w:pos="6696"/>
        </w:tabs>
        <w:spacing w:before="120" w:line="276" w:lineRule="auto"/>
        <w:ind w:left="720"/>
        <w:rPr>
          <w:rFonts w:ascii="Times New Roman" w:hAnsi="Times New Roman" w:cs="Times New Roman"/>
          <w:i/>
          <w:iCs/>
          <w:sz w:val="24"/>
          <w:szCs w:val="24"/>
        </w:rPr>
      </w:pPr>
      <w:r w:rsidRPr="00DC3FDB">
        <w:rPr>
          <w:rFonts w:ascii="Times New Roman" w:hAnsi="Times New Roman" w:cs="Times New Roman"/>
          <w:i/>
          <w:iCs/>
          <w:sz w:val="24"/>
          <w:szCs w:val="24"/>
        </w:rPr>
        <w:t xml:space="preserve">“GARM is authorised by the Group Audit Committee to: </w:t>
      </w:r>
    </w:p>
    <w:p w14:paraId="74846C5D" w14:textId="6DA37276" w:rsidR="00B41677" w:rsidRPr="00DC3FDB" w:rsidRDefault="00B41677" w:rsidP="004266B4">
      <w:pPr>
        <w:tabs>
          <w:tab w:val="left" w:pos="6696"/>
        </w:tabs>
        <w:spacing w:before="120" w:line="276" w:lineRule="auto"/>
        <w:ind w:left="720"/>
        <w:rPr>
          <w:rFonts w:ascii="Times New Roman" w:hAnsi="Times New Roman" w:cs="Times New Roman"/>
          <w:i/>
          <w:iCs/>
          <w:sz w:val="24"/>
          <w:szCs w:val="24"/>
        </w:rPr>
      </w:pPr>
      <w:r w:rsidRPr="00DC3FDB">
        <w:rPr>
          <w:rFonts w:ascii="Times New Roman" w:hAnsi="Times New Roman" w:cs="Times New Roman"/>
          <w:i/>
          <w:iCs/>
          <w:sz w:val="24"/>
          <w:szCs w:val="24"/>
        </w:rPr>
        <w:t xml:space="preserve">- Have full, free and unrestricted access to all business functions, records, properties and personnel. </w:t>
      </w:r>
    </w:p>
    <w:p w14:paraId="61A9CF25" w14:textId="77777777" w:rsidR="009607CA" w:rsidRPr="00DC3FDB" w:rsidRDefault="00B41677" w:rsidP="004266B4">
      <w:pPr>
        <w:tabs>
          <w:tab w:val="left" w:pos="6696"/>
        </w:tabs>
        <w:spacing w:before="120" w:line="276" w:lineRule="auto"/>
        <w:ind w:left="720"/>
        <w:rPr>
          <w:rFonts w:ascii="Times New Roman" w:hAnsi="Times New Roman" w:cs="Times New Roman"/>
          <w:i/>
          <w:iCs/>
          <w:sz w:val="24"/>
          <w:szCs w:val="24"/>
        </w:rPr>
      </w:pPr>
      <w:r w:rsidRPr="00DC3FDB">
        <w:rPr>
          <w:rFonts w:ascii="Times New Roman" w:hAnsi="Times New Roman" w:cs="Times New Roman"/>
          <w:i/>
          <w:iCs/>
          <w:sz w:val="24"/>
          <w:szCs w:val="24"/>
        </w:rPr>
        <w:t xml:space="preserve">- Have full, free and unrestricted access to the members of the business unit audit committees and risk management and compliance committees. </w:t>
      </w:r>
    </w:p>
    <w:p w14:paraId="532FEF34" w14:textId="494ADE87" w:rsidR="00FF5130" w:rsidRDefault="00B41677" w:rsidP="004266B4">
      <w:pPr>
        <w:tabs>
          <w:tab w:val="left" w:pos="6696"/>
        </w:tabs>
        <w:spacing w:before="120" w:line="276" w:lineRule="auto"/>
        <w:ind w:left="720"/>
        <w:rPr>
          <w:rFonts w:ascii="Times New Roman" w:hAnsi="Times New Roman" w:cs="Times New Roman"/>
          <w:i/>
          <w:iCs/>
          <w:sz w:val="24"/>
          <w:szCs w:val="24"/>
        </w:rPr>
      </w:pPr>
      <w:r w:rsidRPr="00DC3FDB">
        <w:rPr>
          <w:rFonts w:ascii="Times New Roman" w:hAnsi="Times New Roman" w:cs="Times New Roman"/>
          <w:i/>
          <w:iCs/>
          <w:sz w:val="24"/>
          <w:szCs w:val="24"/>
        </w:rPr>
        <w:t>- Obtain the necessary assistance from personnel in the Group’s businesses, as well as other specialist services from within or outside the organisation.”</w:t>
      </w:r>
    </w:p>
    <w:p w14:paraId="5009598D" w14:textId="77777777" w:rsidR="00DC3FDB" w:rsidRDefault="00DC3FDB" w:rsidP="004266B4">
      <w:pPr>
        <w:tabs>
          <w:tab w:val="left" w:pos="6696"/>
        </w:tabs>
        <w:spacing w:before="120" w:line="276" w:lineRule="auto"/>
        <w:ind w:left="720"/>
        <w:rPr>
          <w:rFonts w:ascii="Times New Roman" w:hAnsi="Times New Roman" w:cs="Times New Roman"/>
          <w:i/>
          <w:iCs/>
          <w:sz w:val="24"/>
          <w:szCs w:val="24"/>
        </w:rPr>
      </w:pPr>
    </w:p>
    <w:p w14:paraId="29672873" w14:textId="757A19B9" w:rsidR="00DC3FDB" w:rsidRPr="00B1466D" w:rsidRDefault="00A47BC6" w:rsidP="00FF2CBE">
      <w:pPr>
        <w:pStyle w:val="ListParagraph"/>
        <w:numPr>
          <w:ilvl w:val="0"/>
          <w:numId w:val="13"/>
        </w:numPr>
        <w:tabs>
          <w:tab w:val="left" w:pos="6696"/>
        </w:tabs>
        <w:spacing w:before="120" w:line="360" w:lineRule="auto"/>
        <w:jc w:val="both"/>
        <w:rPr>
          <w:rFonts w:ascii="Times New Roman" w:hAnsi="Times New Roman" w:cs="Times New Roman"/>
          <w:sz w:val="24"/>
          <w:szCs w:val="24"/>
        </w:rPr>
      </w:pPr>
      <w:r w:rsidRPr="00B1466D">
        <w:rPr>
          <w:rFonts w:ascii="Times New Roman" w:hAnsi="Times New Roman" w:cs="Times New Roman"/>
          <w:sz w:val="24"/>
          <w:szCs w:val="24"/>
        </w:rPr>
        <w:t>The</w:t>
      </w:r>
      <w:r w:rsidR="003306D7" w:rsidRPr="00B1466D">
        <w:rPr>
          <w:rFonts w:ascii="Times New Roman" w:hAnsi="Times New Roman" w:cs="Times New Roman"/>
          <w:sz w:val="24"/>
          <w:szCs w:val="24"/>
        </w:rPr>
        <w:t xml:space="preserve"> Plaintiffs assert that GARM prepared reports and provided them to the audit committees. They further contend</w:t>
      </w:r>
      <w:r w:rsidR="00036248" w:rsidRPr="00B1466D">
        <w:rPr>
          <w:rFonts w:ascii="Times New Roman" w:hAnsi="Times New Roman" w:cs="Times New Roman"/>
          <w:sz w:val="24"/>
          <w:szCs w:val="24"/>
        </w:rPr>
        <w:t xml:space="preserve"> that GARM was routinely able to obtain information from across the Group, including the Principal Group Companies, on a wide range of matters to compile its reports to the audit committee. </w:t>
      </w:r>
      <w:r w:rsidR="004421BE" w:rsidRPr="00B1466D">
        <w:rPr>
          <w:rFonts w:ascii="Times New Roman" w:hAnsi="Times New Roman" w:cs="Times New Roman"/>
          <w:sz w:val="24"/>
          <w:szCs w:val="24"/>
        </w:rPr>
        <w:t>Accordingly, the Plaintiff submit that t</w:t>
      </w:r>
      <w:r w:rsidR="00036248" w:rsidRPr="00B1466D">
        <w:rPr>
          <w:rFonts w:ascii="Times New Roman" w:hAnsi="Times New Roman" w:cs="Times New Roman"/>
          <w:sz w:val="24"/>
          <w:szCs w:val="24"/>
        </w:rPr>
        <w:t xml:space="preserve">his is consistent with an understanding that such material would be readily available to the </w:t>
      </w:r>
      <w:r w:rsidR="00645F7F" w:rsidRPr="00B1466D">
        <w:rPr>
          <w:rFonts w:ascii="Times New Roman" w:hAnsi="Times New Roman" w:cs="Times New Roman"/>
          <w:sz w:val="24"/>
          <w:szCs w:val="24"/>
        </w:rPr>
        <w:t>Company</w:t>
      </w:r>
      <w:r w:rsidR="00036248" w:rsidRPr="00B1466D">
        <w:rPr>
          <w:rFonts w:ascii="Times New Roman" w:hAnsi="Times New Roman" w:cs="Times New Roman"/>
          <w:sz w:val="24"/>
          <w:szCs w:val="24"/>
        </w:rPr>
        <w:t xml:space="preserve"> and</w:t>
      </w:r>
      <w:r w:rsidR="00195A61" w:rsidRPr="00B1466D">
        <w:rPr>
          <w:rFonts w:ascii="Times New Roman" w:hAnsi="Times New Roman" w:cs="Times New Roman"/>
          <w:sz w:val="24"/>
          <w:szCs w:val="24"/>
        </w:rPr>
        <w:t xml:space="preserve"> Jardine Matheson</w:t>
      </w:r>
      <w:r w:rsidR="00036248" w:rsidRPr="00B1466D">
        <w:rPr>
          <w:rFonts w:ascii="Times New Roman" w:hAnsi="Times New Roman" w:cs="Times New Roman"/>
          <w:sz w:val="24"/>
          <w:szCs w:val="24"/>
        </w:rPr>
        <w:t>, through their delegated agents.</w:t>
      </w:r>
    </w:p>
    <w:p w14:paraId="6ECC14A3" w14:textId="77777777" w:rsidR="00B84F47" w:rsidRDefault="00B84F47" w:rsidP="00726041">
      <w:pPr>
        <w:tabs>
          <w:tab w:val="left" w:pos="6696"/>
        </w:tabs>
        <w:spacing w:before="120" w:line="360" w:lineRule="auto"/>
        <w:rPr>
          <w:rFonts w:ascii="Times New Roman" w:hAnsi="Times New Roman" w:cs="Times New Roman"/>
          <w:sz w:val="24"/>
          <w:szCs w:val="24"/>
        </w:rPr>
      </w:pPr>
    </w:p>
    <w:p w14:paraId="19EED2B0" w14:textId="0EC395DC" w:rsidR="00B84F47" w:rsidRPr="00B1466D" w:rsidRDefault="00C13D83" w:rsidP="00FF2CBE">
      <w:pPr>
        <w:pStyle w:val="ListParagraph"/>
        <w:numPr>
          <w:ilvl w:val="0"/>
          <w:numId w:val="13"/>
        </w:numPr>
        <w:tabs>
          <w:tab w:val="left" w:pos="6696"/>
        </w:tabs>
        <w:spacing w:before="120" w:line="360" w:lineRule="auto"/>
        <w:jc w:val="both"/>
        <w:rPr>
          <w:rFonts w:ascii="Times New Roman" w:hAnsi="Times New Roman" w:cs="Times New Roman"/>
          <w:sz w:val="24"/>
          <w:szCs w:val="24"/>
        </w:rPr>
      </w:pPr>
      <w:r w:rsidRPr="00B1466D">
        <w:rPr>
          <w:rFonts w:ascii="Times New Roman" w:hAnsi="Times New Roman" w:cs="Times New Roman"/>
          <w:sz w:val="24"/>
          <w:szCs w:val="24"/>
        </w:rPr>
        <w:t xml:space="preserve">It is the evidence of Mr Parr that </w:t>
      </w:r>
      <w:r w:rsidR="009029FC" w:rsidRPr="00B1466D">
        <w:rPr>
          <w:rFonts w:ascii="Times New Roman" w:hAnsi="Times New Roman" w:cs="Times New Roman"/>
          <w:sz w:val="24"/>
          <w:szCs w:val="24"/>
        </w:rPr>
        <w:t>GARM's ability to access documents within the Group is circumscribed by the scope of its role, which is defined as "</w:t>
      </w:r>
      <w:r w:rsidR="009029FC" w:rsidRPr="00B1466D">
        <w:rPr>
          <w:rFonts w:ascii="Times New Roman" w:hAnsi="Times New Roman" w:cs="Times New Roman"/>
          <w:i/>
          <w:iCs/>
          <w:sz w:val="24"/>
          <w:szCs w:val="24"/>
        </w:rPr>
        <w:t>i) providing independent assurance over internal controls, ii) advising on the risk management and business processes developed by the business units, and iii) reporting on the significant non-compliance issues</w:t>
      </w:r>
      <w:r w:rsidR="009029FC" w:rsidRPr="00B1466D">
        <w:rPr>
          <w:rFonts w:ascii="Times New Roman" w:hAnsi="Times New Roman" w:cs="Times New Roman"/>
          <w:sz w:val="24"/>
          <w:szCs w:val="24"/>
        </w:rPr>
        <w:t>". GARM's ability to access documents is limited to the function it performs. GARM's ability to access documentation is fettered by the express provisions of the GARM Terms of Reference.</w:t>
      </w:r>
    </w:p>
    <w:p w14:paraId="6C9FF474" w14:textId="77777777" w:rsidR="002C0A61" w:rsidRDefault="002C0A61" w:rsidP="009F37C0">
      <w:pPr>
        <w:tabs>
          <w:tab w:val="left" w:pos="6696"/>
        </w:tabs>
        <w:spacing w:before="120" w:line="360" w:lineRule="auto"/>
        <w:rPr>
          <w:rFonts w:ascii="Times New Roman" w:hAnsi="Times New Roman" w:cs="Times New Roman"/>
          <w:sz w:val="24"/>
          <w:szCs w:val="24"/>
        </w:rPr>
      </w:pPr>
    </w:p>
    <w:p w14:paraId="61A9FDB6" w14:textId="7D3CC9C7" w:rsidR="002C0A61" w:rsidRPr="00B1466D" w:rsidRDefault="002C0A61" w:rsidP="00FF2CBE">
      <w:pPr>
        <w:pStyle w:val="ListParagraph"/>
        <w:numPr>
          <w:ilvl w:val="0"/>
          <w:numId w:val="13"/>
        </w:numPr>
        <w:tabs>
          <w:tab w:val="left" w:pos="6696"/>
        </w:tabs>
        <w:spacing w:before="120" w:line="360" w:lineRule="auto"/>
        <w:jc w:val="both"/>
        <w:rPr>
          <w:rFonts w:ascii="Times New Roman" w:hAnsi="Times New Roman" w:cs="Times New Roman"/>
          <w:sz w:val="24"/>
          <w:szCs w:val="24"/>
        </w:rPr>
      </w:pPr>
      <w:r w:rsidRPr="00B1466D">
        <w:rPr>
          <w:rFonts w:ascii="Times New Roman" w:hAnsi="Times New Roman" w:cs="Times New Roman"/>
          <w:sz w:val="24"/>
          <w:szCs w:val="24"/>
        </w:rPr>
        <w:t>Mr Parr further states that</w:t>
      </w:r>
      <w:r w:rsidR="00DC1944" w:rsidRPr="00B1466D">
        <w:rPr>
          <w:rFonts w:ascii="Times New Roman" w:hAnsi="Times New Roman" w:cs="Times New Roman"/>
          <w:sz w:val="24"/>
          <w:szCs w:val="24"/>
        </w:rPr>
        <w:t xml:space="preserve"> the limited nature of the data collected and used by GARM is further illustrated by the requirement for GARM, as set out in its Terms of Reference, to "</w:t>
      </w:r>
      <w:r w:rsidR="00DC1944" w:rsidRPr="00B1466D">
        <w:rPr>
          <w:rFonts w:ascii="Times New Roman" w:hAnsi="Times New Roman" w:cs="Times New Roman"/>
          <w:i/>
          <w:iCs/>
          <w:sz w:val="24"/>
          <w:szCs w:val="24"/>
        </w:rPr>
        <w:t>[a]dhere to the professional standards as established and revised from time to time by the Institute of Internal Auditors</w:t>
      </w:r>
      <w:r w:rsidR="00DC1944" w:rsidRPr="00B1466D">
        <w:rPr>
          <w:rFonts w:ascii="Times New Roman" w:hAnsi="Times New Roman" w:cs="Times New Roman"/>
          <w:sz w:val="24"/>
          <w:szCs w:val="24"/>
        </w:rPr>
        <w:t>". These professional standards are mandatory and are set out in a Code of Ethics and Implementation Guides. The Code of Ethics requires that GARM "</w:t>
      </w:r>
      <w:r w:rsidR="00DC1944" w:rsidRPr="00B1466D">
        <w:rPr>
          <w:rFonts w:ascii="Times New Roman" w:hAnsi="Times New Roman" w:cs="Times New Roman"/>
          <w:i/>
          <w:iCs/>
          <w:sz w:val="24"/>
          <w:szCs w:val="24"/>
        </w:rPr>
        <w:t>collect only the data required to perform the assigned engagement and use this information only for the engagement's intended purposes</w:t>
      </w:r>
      <w:r w:rsidR="00DC1944" w:rsidRPr="00B1466D">
        <w:rPr>
          <w:rFonts w:ascii="Times New Roman" w:hAnsi="Times New Roman" w:cs="Times New Roman"/>
          <w:sz w:val="24"/>
          <w:szCs w:val="24"/>
        </w:rPr>
        <w:t>"</w:t>
      </w:r>
      <w:r w:rsidR="0008342A" w:rsidRPr="00B1466D">
        <w:rPr>
          <w:rFonts w:ascii="Times New Roman" w:hAnsi="Times New Roman" w:cs="Times New Roman"/>
          <w:sz w:val="24"/>
          <w:szCs w:val="24"/>
        </w:rPr>
        <w:t>.</w:t>
      </w:r>
    </w:p>
    <w:p w14:paraId="00637B9D" w14:textId="77777777" w:rsidR="0008342A" w:rsidRDefault="0008342A" w:rsidP="00DC1944">
      <w:pPr>
        <w:tabs>
          <w:tab w:val="left" w:pos="6696"/>
        </w:tabs>
        <w:spacing w:before="120" w:line="360" w:lineRule="auto"/>
        <w:rPr>
          <w:rFonts w:ascii="Times New Roman" w:hAnsi="Times New Roman" w:cs="Times New Roman"/>
          <w:sz w:val="24"/>
          <w:szCs w:val="24"/>
        </w:rPr>
      </w:pPr>
    </w:p>
    <w:p w14:paraId="5B68C86D" w14:textId="0B999084" w:rsidR="0008342A" w:rsidRPr="00B1466D" w:rsidRDefault="00D86760" w:rsidP="00FF2CBE">
      <w:pPr>
        <w:pStyle w:val="ListParagraph"/>
        <w:numPr>
          <w:ilvl w:val="0"/>
          <w:numId w:val="13"/>
        </w:numPr>
        <w:tabs>
          <w:tab w:val="left" w:pos="6696"/>
        </w:tabs>
        <w:spacing w:before="120" w:line="360" w:lineRule="auto"/>
        <w:jc w:val="both"/>
        <w:rPr>
          <w:rFonts w:ascii="Times New Roman" w:hAnsi="Times New Roman" w:cs="Times New Roman"/>
          <w:sz w:val="24"/>
          <w:szCs w:val="24"/>
        </w:rPr>
      </w:pPr>
      <w:r w:rsidRPr="00B1466D">
        <w:rPr>
          <w:rFonts w:ascii="Times New Roman" w:hAnsi="Times New Roman" w:cs="Times New Roman"/>
          <w:sz w:val="24"/>
          <w:szCs w:val="24"/>
        </w:rPr>
        <w:t>There is no reason why the Court should not</w:t>
      </w:r>
      <w:r w:rsidR="0092344A" w:rsidRPr="00B1466D">
        <w:rPr>
          <w:rFonts w:ascii="Times New Roman" w:hAnsi="Times New Roman" w:cs="Times New Roman"/>
          <w:sz w:val="24"/>
          <w:szCs w:val="24"/>
        </w:rPr>
        <w:t xml:space="preserve"> accept Mr Parr’s evidence in this regard</w:t>
      </w:r>
      <w:r w:rsidR="001D524B" w:rsidRPr="00B1466D">
        <w:rPr>
          <w:rFonts w:ascii="Times New Roman" w:hAnsi="Times New Roman" w:cs="Times New Roman"/>
          <w:sz w:val="24"/>
          <w:szCs w:val="24"/>
        </w:rPr>
        <w:t xml:space="preserve"> which appears to the Court to be rational and compelling.</w:t>
      </w:r>
      <w:r w:rsidR="000B2674" w:rsidRPr="00B1466D">
        <w:rPr>
          <w:rFonts w:ascii="Times New Roman" w:hAnsi="Times New Roman" w:cs="Times New Roman"/>
          <w:sz w:val="24"/>
          <w:szCs w:val="24"/>
        </w:rPr>
        <w:t xml:space="preserve"> Accordingly,</w:t>
      </w:r>
      <w:r w:rsidR="0017651F" w:rsidRPr="00B1466D">
        <w:rPr>
          <w:rFonts w:ascii="Times New Roman" w:hAnsi="Times New Roman" w:cs="Times New Roman"/>
          <w:sz w:val="24"/>
          <w:szCs w:val="24"/>
        </w:rPr>
        <w:t xml:space="preserve"> the Court accepts Mr Parr’s evidence and Mr Moore KC submission that</w:t>
      </w:r>
      <w:r w:rsidR="009D423D" w:rsidRPr="00B1466D">
        <w:rPr>
          <w:rFonts w:ascii="Times New Roman" w:hAnsi="Times New Roman" w:cs="Times New Roman"/>
          <w:sz w:val="24"/>
          <w:szCs w:val="24"/>
        </w:rPr>
        <w:t xml:space="preserve"> GARM is permitted only to gather a limited set of information that can be used for the specific and prescribed purposes set out in the Terms of Reference, Code of Ethics and Implementation Guides.</w:t>
      </w:r>
      <w:r w:rsidR="00E84EFE" w:rsidRPr="00B1466D">
        <w:rPr>
          <w:rFonts w:ascii="Times New Roman" w:hAnsi="Times New Roman" w:cs="Times New Roman"/>
          <w:sz w:val="24"/>
          <w:szCs w:val="24"/>
        </w:rPr>
        <w:t xml:space="preserve"> It provides no cogent evidence that the Principal Group Subsidiaries were parties to an arrangement or understanding</w:t>
      </w:r>
      <w:r w:rsidR="00FA4635" w:rsidRPr="00B1466D">
        <w:rPr>
          <w:rFonts w:ascii="Times New Roman" w:hAnsi="Times New Roman" w:cs="Times New Roman"/>
          <w:sz w:val="24"/>
          <w:szCs w:val="24"/>
        </w:rPr>
        <w:t xml:space="preserve"> whereby the </w:t>
      </w:r>
      <w:r w:rsidR="00645F7F" w:rsidRPr="00B1466D">
        <w:rPr>
          <w:rFonts w:ascii="Times New Roman" w:hAnsi="Times New Roman" w:cs="Times New Roman"/>
          <w:sz w:val="24"/>
          <w:szCs w:val="24"/>
        </w:rPr>
        <w:t>Company</w:t>
      </w:r>
      <w:r w:rsidR="00FA4635" w:rsidRPr="00B1466D">
        <w:rPr>
          <w:rFonts w:ascii="Times New Roman" w:hAnsi="Times New Roman" w:cs="Times New Roman"/>
          <w:sz w:val="24"/>
          <w:szCs w:val="24"/>
        </w:rPr>
        <w:t xml:space="preserve"> had free</w:t>
      </w:r>
      <w:r w:rsidR="0026343F" w:rsidRPr="00B1466D">
        <w:rPr>
          <w:rFonts w:ascii="Times New Roman" w:hAnsi="Times New Roman" w:cs="Times New Roman"/>
          <w:sz w:val="24"/>
          <w:szCs w:val="24"/>
        </w:rPr>
        <w:t xml:space="preserve"> </w:t>
      </w:r>
      <w:r w:rsidR="00881C10" w:rsidRPr="00B1466D">
        <w:rPr>
          <w:rFonts w:ascii="Times New Roman" w:hAnsi="Times New Roman" w:cs="Times New Roman"/>
          <w:sz w:val="24"/>
          <w:szCs w:val="24"/>
        </w:rPr>
        <w:t>or</w:t>
      </w:r>
      <w:r w:rsidR="0026343F" w:rsidRPr="00B1466D">
        <w:rPr>
          <w:rFonts w:ascii="Times New Roman" w:hAnsi="Times New Roman" w:cs="Times New Roman"/>
          <w:sz w:val="24"/>
          <w:szCs w:val="24"/>
        </w:rPr>
        <w:t xml:space="preserve"> unfettered</w:t>
      </w:r>
      <w:r w:rsidR="00F01CA1" w:rsidRPr="00B1466D">
        <w:rPr>
          <w:rFonts w:ascii="Times New Roman" w:hAnsi="Times New Roman" w:cs="Times New Roman"/>
          <w:sz w:val="24"/>
          <w:szCs w:val="24"/>
        </w:rPr>
        <w:t xml:space="preserve"> access to documents held by the Principal Group Subsidiaries.</w:t>
      </w:r>
    </w:p>
    <w:p w14:paraId="6B4D7F9E" w14:textId="77777777" w:rsidR="003F5349" w:rsidRDefault="003F5349" w:rsidP="009D423D">
      <w:pPr>
        <w:tabs>
          <w:tab w:val="left" w:pos="6696"/>
        </w:tabs>
        <w:spacing w:before="120" w:line="360" w:lineRule="auto"/>
        <w:rPr>
          <w:rFonts w:ascii="Times New Roman" w:hAnsi="Times New Roman" w:cs="Times New Roman"/>
          <w:sz w:val="24"/>
          <w:szCs w:val="24"/>
        </w:rPr>
      </w:pPr>
    </w:p>
    <w:p w14:paraId="2013FD74" w14:textId="60B5EBCE" w:rsidR="003F5349" w:rsidRDefault="00503928" w:rsidP="00FF2CBE">
      <w:pPr>
        <w:pStyle w:val="ListParagraph"/>
        <w:numPr>
          <w:ilvl w:val="0"/>
          <w:numId w:val="8"/>
        </w:numPr>
        <w:tabs>
          <w:tab w:val="left" w:pos="6696"/>
        </w:tabs>
        <w:spacing w:before="120" w:line="360" w:lineRule="auto"/>
        <w:rPr>
          <w:rFonts w:ascii="Times New Roman" w:hAnsi="Times New Roman" w:cs="Times New Roman"/>
          <w:b/>
          <w:bCs/>
          <w:i/>
          <w:iCs/>
          <w:sz w:val="24"/>
          <w:szCs w:val="24"/>
        </w:rPr>
      </w:pPr>
      <w:r w:rsidRPr="00503928">
        <w:rPr>
          <w:rFonts w:ascii="Times New Roman" w:hAnsi="Times New Roman" w:cs="Times New Roman"/>
          <w:b/>
          <w:bCs/>
          <w:i/>
          <w:iCs/>
          <w:sz w:val="24"/>
          <w:szCs w:val="24"/>
        </w:rPr>
        <w:t>The Financial Database</w:t>
      </w:r>
    </w:p>
    <w:p w14:paraId="0C115DFA" w14:textId="77777777" w:rsidR="00503928" w:rsidRDefault="00503928" w:rsidP="00503928">
      <w:pPr>
        <w:tabs>
          <w:tab w:val="left" w:pos="6696"/>
        </w:tabs>
        <w:spacing w:before="120" w:line="360" w:lineRule="auto"/>
        <w:rPr>
          <w:rFonts w:ascii="Times New Roman" w:hAnsi="Times New Roman" w:cs="Times New Roman"/>
          <w:b/>
          <w:bCs/>
          <w:i/>
          <w:iCs/>
          <w:sz w:val="24"/>
          <w:szCs w:val="24"/>
        </w:rPr>
      </w:pPr>
    </w:p>
    <w:p w14:paraId="6A27D329" w14:textId="31BDBBC4" w:rsidR="00503928" w:rsidRPr="00C27317" w:rsidRDefault="005F632A" w:rsidP="00FF2CBE">
      <w:pPr>
        <w:pStyle w:val="ListParagraph"/>
        <w:numPr>
          <w:ilvl w:val="0"/>
          <w:numId w:val="13"/>
        </w:numPr>
        <w:tabs>
          <w:tab w:val="left" w:pos="6696"/>
        </w:tabs>
        <w:spacing w:before="120" w:line="360" w:lineRule="auto"/>
        <w:jc w:val="both"/>
        <w:rPr>
          <w:rFonts w:ascii="Times New Roman" w:hAnsi="Times New Roman" w:cs="Times New Roman"/>
          <w:sz w:val="24"/>
          <w:szCs w:val="24"/>
        </w:rPr>
      </w:pPr>
      <w:r w:rsidRPr="00C27317">
        <w:rPr>
          <w:rFonts w:ascii="Times New Roman" w:hAnsi="Times New Roman" w:cs="Times New Roman"/>
          <w:sz w:val="24"/>
          <w:szCs w:val="24"/>
        </w:rPr>
        <w:t>Relying upon</w:t>
      </w:r>
      <w:r w:rsidR="00A15E8F" w:rsidRPr="00C27317">
        <w:rPr>
          <w:rFonts w:ascii="Times New Roman" w:hAnsi="Times New Roman" w:cs="Times New Roman"/>
          <w:sz w:val="24"/>
          <w:szCs w:val="24"/>
        </w:rPr>
        <w:t xml:space="preserve"> Chudleigh 2 and Chudleigh 6 the Plaintiffs state that the financial database appears to contain</w:t>
      </w:r>
      <w:r w:rsidR="00F07B7F" w:rsidRPr="00C27317">
        <w:rPr>
          <w:rFonts w:ascii="Times New Roman" w:hAnsi="Times New Roman" w:cs="Times New Roman"/>
          <w:sz w:val="24"/>
          <w:szCs w:val="24"/>
        </w:rPr>
        <w:t xml:space="preserve"> detailed financial information including financial budgets, forecasts, and projections for Group companies</w:t>
      </w:r>
      <w:r w:rsidR="0084343F" w:rsidRPr="00C27317">
        <w:rPr>
          <w:rFonts w:ascii="Times New Roman" w:hAnsi="Times New Roman" w:cs="Times New Roman"/>
          <w:sz w:val="24"/>
          <w:szCs w:val="24"/>
        </w:rPr>
        <w:t>. The Plaintiffs further contend that</w:t>
      </w:r>
      <w:r w:rsidR="00F07B7F" w:rsidRPr="00C27317">
        <w:rPr>
          <w:rFonts w:ascii="Times New Roman" w:hAnsi="Times New Roman" w:cs="Times New Roman"/>
          <w:sz w:val="24"/>
          <w:szCs w:val="24"/>
        </w:rPr>
        <w:t xml:space="preserve"> </w:t>
      </w:r>
      <w:r w:rsidR="0084343F" w:rsidRPr="00C27317">
        <w:rPr>
          <w:rFonts w:ascii="Times New Roman" w:hAnsi="Times New Roman" w:cs="Times New Roman"/>
          <w:sz w:val="24"/>
          <w:szCs w:val="24"/>
        </w:rPr>
        <w:t>i</w:t>
      </w:r>
      <w:r w:rsidR="00F07B7F" w:rsidRPr="00C27317">
        <w:rPr>
          <w:rFonts w:ascii="Times New Roman" w:hAnsi="Times New Roman" w:cs="Times New Roman"/>
          <w:sz w:val="24"/>
          <w:szCs w:val="24"/>
        </w:rPr>
        <w:t>t appears that non-public financial information was fed into the financial database from across the</w:t>
      </w:r>
      <w:r w:rsidR="005A2B64" w:rsidRPr="00C27317">
        <w:rPr>
          <w:rFonts w:ascii="Times New Roman" w:hAnsi="Times New Roman" w:cs="Times New Roman"/>
          <w:sz w:val="24"/>
          <w:szCs w:val="24"/>
        </w:rPr>
        <w:t xml:space="preserve"> Group which could be accessed by Group companies, including at least the </w:t>
      </w:r>
      <w:r w:rsidR="00645F7F" w:rsidRPr="00C27317">
        <w:rPr>
          <w:rFonts w:ascii="Times New Roman" w:hAnsi="Times New Roman" w:cs="Times New Roman"/>
          <w:sz w:val="24"/>
          <w:szCs w:val="24"/>
        </w:rPr>
        <w:t>Company</w:t>
      </w:r>
      <w:r w:rsidR="005A2B64" w:rsidRPr="00C27317">
        <w:rPr>
          <w:rFonts w:ascii="Times New Roman" w:hAnsi="Times New Roman" w:cs="Times New Roman"/>
          <w:sz w:val="24"/>
          <w:szCs w:val="24"/>
        </w:rPr>
        <w:t xml:space="preserve"> and </w:t>
      </w:r>
      <w:r w:rsidR="002B6BA2" w:rsidRPr="00C27317">
        <w:rPr>
          <w:rFonts w:ascii="Times New Roman" w:hAnsi="Times New Roman" w:cs="Times New Roman"/>
          <w:sz w:val="24"/>
          <w:szCs w:val="24"/>
        </w:rPr>
        <w:t>Jardine Matheson</w:t>
      </w:r>
      <w:r w:rsidR="005A2B64" w:rsidRPr="00C27317">
        <w:rPr>
          <w:rFonts w:ascii="Times New Roman" w:hAnsi="Times New Roman" w:cs="Times New Roman"/>
          <w:sz w:val="24"/>
          <w:szCs w:val="24"/>
        </w:rPr>
        <w:t>.</w:t>
      </w:r>
    </w:p>
    <w:p w14:paraId="77499156" w14:textId="77777777" w:rsidR="002B6BA2" w:rsidRDefault="002B6BA2" w:rsidP="005A2B64">
      <w:pPr>
        <w:tabs>
          <w:tab w:val="left" w:pos="6696"/>
        </w:tabs>
        <w:spacing w:before="120" w:line="360" w:lineRule="auto"/>
        <w:rPr>
          <w:rFonts w:ascii="Times New Roman" w:hAnsi="Times New Roman" w:cs="Times New Roman"/>
          <w:sz w:val="24"/>
          <w:szCs w:val="24"/>
        </w:rPr>
      </w:pPr>
    </w:p>
    <w:p w14:paraId="726BFE24" w14:textId="0D9AC76E" w:rsidR="002B6BA2" w:rsidRPr="00C27317" w:rsidRDefault="00011265" w:rsidP="00FF2CBE">
      <w:pPr>
        <w:pStyle w:val="ListParagraph"/>
        <w:numPr>
          <w:ilvl w:val="0"/>
          <w:numId w:val="13"/>
        </w:numPr>
        <w:tabs>
          <w:tab w:val="left" w:pos="6696"/>
        </w:tabs>
        <w:spacing w:before="120" w:line="360" w:lineRule="auto"/>
        <w:jc w:val="both"/>
        <w:rPr>
          <w:rFonts w:ascii="Times New Roman" w:hAnsi="Times New Roman" w:cs="Times New Roman"/>
          <w:sz w:val="24"/>
          <w:szCs w:val="24"/>
        </w:rPr>
      </w:pPr>
      <w:r w:rsidRPr="00C27317">
        <w:rPr>
          <w:rFonts w:ascii="Times New Roman" w:hAnsi="Times New Roman" w:cs="Times New Roman"/>
          <w:sz w:val="24"/>
          <w:szCs w:val="24"/>
        </w:rPr>
        <w:t>In response Mr Parr states that</w:t>
      </w:r>
      <w:r w:rsidR="00E84FE9" w:rsidRPr="00C27317">
        <w:rPr>
          <w:rFonts w:ascii="Times New Roman" w:hAnsi="Times New Roman" w:cs="Times New Roman"/>
          <w:sz w:val="24"/>
          <w:szCs w:val="24"/>
        </w:rPr>
        <w:t xml:space="preserve"> it is not correct that </w:t>
      </w:r>
      <w:r w:rsidR="002D5967" w:rsidRPr="00C27317">
        <w:rPr>
          <w:rFonts w:ascii="Times New Roman" w:hAnsi="Times New Roman" w:cs="Times New Roman"/>
          <w:sz w:val="24"/>
          <w:szCs w:val="24"/>
        </w:rPr>
        <w:t xml:space="preserve">the </w:t>
      </w:r>
      <w:r w:rsidR="00645F7F" w:rsidRPr="00C27317">
        <w:rPr>
          <w:rFonts w:ascii="Times New Roman" w:hAnsi="Times New Roman" w:cs="Times New Roman"/>
          <w:sz w:val="24"/>
          <w:szCs w:val="24"/>
        </w:rPr>
        <w:t>Company</w:t>
      </w:r>
      <w:r w:rsidR="00E84FE9" w:rsidRPr="00C27317">
        <w:rPr>
          <w:rFonts w:ascii="Times New Roman" w:hAnsi="Times New Roman" w:cs="Times New Roman"/>
          <w:sz w:val="24"/>
          <w:szCs w:val="24"/>
        </w:rPr>
        <w:t xml:space="preserve">, or JML acting in its capacity as general manager for </w:t>
      </w:r>
      <w:r w:rsidR="002D5967" w:rsidRPr="00C27317">
        <w:rPr>
          <w:rFonts w:ascii="Times New Roman" w:hAnsi="Times New Roman" w:cs="Times New Roman"/>
          <w:sz w:val="24"/>
          <w:szCs w:val="24"/>
        </w:rPr>
        <w:t xml:space="preserve">the </w:t>
      </w:r>
      <w:r w:rsidR="00645F7F" w:rsidRPr="00C27317">
        <w:rPr>
          <w:rFonts w:ascii="Times New Roman" w:hAnsi="Times New Roman" w:cs="Times New Roman"/>
          <w:sz w:val="24"/>
          <w:szCs w:val="24"/>
        </w:rPr>
        <w:t>Company</w:t>
      </w:r>
      <w:r w:rsidR="00E84FE9" w:rsidRPr="00C27317">
        <w:rPr>
          <w:rFonts w:ascii="Times New Roman" w:hAnsi="Times New Roman" w:cs="Times New Roman"/>
          <w:sz w:val="24"/>
          <w:szCs w:val="24"/>
        </w:rPr>
        <w:t>, had access through JFRS (or otherwise) to the underlying books and records of Principal Group Companies, as the</w:t>
      </w:r>
      <w:r w:rsidR="008A2561" w:rsidRPr="00C27317">
        <w:rPr>
          <w:rFonts w:ascii="Times New Roman" w:hAnsi="Times New Roman" w:cs="Times New Roman"/>
          <w:sz w:val="24"/>
          <w:szCs w:val="24"/>
        </w:rPr>
        <w:t xml:space="preserve"> </w:t>
      </w:r>
      <w:r w:rsidR="00E84FE9" w:rsidRPr="00C27317">
        <w:rPr>
          <w:rFonts w:ascii="Times New Roman" w:hAnsi="Times New Roman" w:cs="Times New Roman"/>
          <w:sz w:val="24"/>
          <w:szCs w:val="24"/>
        </w:rPr>
        <w:t>Plaintiffs contend.</w:t>
      </w:r>
      <w:r w:rsidR="008953C5" w:rsidRPr="00C27317">
        <w:rPr>
          <w:rFonts w:ascii="Times New Roman" w:hAnsi="Times New Roman" w:cs="Times New Roman"/>
          <w:sz w:val="24"/>
          <w:szCs w:val="24"/>
        </w:rPr>
        <w:t xml:space="preserve"> He says that</w:t>
      </w:r>
      <w:r w:rsidR="00E84FE9" w:rsidRPr="00C27317">
        <w:rPr>
          <w:rFonts w:ascii="Times New Roman" w:hAnsi="Times New Roman" w:cs="Times New Roman"/>
          <w:sz w:val="24"/>
          <w:szCs w:val="24"/>
        </w:rPr>
        <w:t xml:space="preserve"> </w:t>
      </w:r>
      <w:r w:rsidR="008953C5" w:rsidRPr="00C27317">
        <w:rPr>
          <w:rFonts w:ascii="Times New Roman" w:hAnsi="Times New Roman" w:cs="Times New Roman"/>
          <w:sz w:val="24"/>
          <w:szCs w:val="24"/>
        </w:rPr>
        <w:t>t</w:t>
      </w:r>
      <w:r w:rsidR="00E84FE9" w:rsidRPr="00C27317">
        <w:rPr>
          <w:rFonts w:ascii="Times New Roman" w:hAnsi="Times New Roman" w:cs="Times New Roman"/>
          <w:sz w:val="24"/>
          <w:szCs w:val="24"/>
        </w:rPr>
        <w:t xml:space="preserve">he Principal Group Companies maintain their own separate financial databases and record keeping systems, to which neither </w:t>
      </w:r>
      <w:r w:rsidR="008953C5" w:rsidRPr="00C27317">
        <w:rPr>
          <w:rFonts w:ascii="Times New Roman" w:hAnsi="Times New Roman" w:cs="Times New Roman"/>
          <w:sz w:val="24"/>
          <w:szCs w:val="24"/>
        </w:rPr>
        <w:t xml:space="preserve">the </w:t>
      </w:r>
      <w:r w:rsidR="00645F7F" w:rsidRPr="00C27317">
        <w:rPr>
          <w:rFonts w:ascii="Times New Roman" w:hAnsi="Times New Roman" w:cs="Times New Roman"/>
          <w:sz w:val="24"/>
          <w:szCs w:val="24"/>
        </w:rPr>
        <w:t>Company</w:t>
      </w:r>
      <w:r w:rsidR="00E84FE9" w:rsidRPr="00C27317">
        <w:rPr>
          <w:rFonts w:ascii="Times New Roman" w:hAnsi="Times New Roman" w:cs="Times New Roman"/>
          <w:sz w:val="24"/>
          <w:szCs w:val="24"/>
        </w:rPr>
        <w:t xml:space="preserve"> nor Jardine Matheson have access. The Principal Group Companies upload consolidated financial information from those systems onto JFRS</w:t>
      </w:r>
      <w:r w:rsidR="008A2561" w:rsidRPr="00C27317">
        <w:rPr>
          <w:rFonts w:ascii="Times New Roman" w:hAnsi="Times New Roman" w:cs="Times New Roman"/>
          <w:sz w:val="24"/>
          <w:szCs w:val="24"/>
        </w:rPr>
        <w:t xml:space="preserve"> and t</w:t>
      </w:r>
      <w:r w:rsidR="00E84FE9" w:rsidRPr="00C27317">
        <w:rPr>
          <w:rFonts w:ascii="Times New Roman" w:hAnsi="Times New Roman" w:cs="Times New Roman"/>
          <w:sz w:val="24"/>
          <w:szCs w:val="24"/>
        </w:rPr>
        <w:t>hat is how the database is populated.</w:t>
      </w:r>
    </w:p>
    <w:p w14:paraId="2E18473D" w14:textId="77777777" w:rsidR="00473631" w:rsidRDefault="00473631" w:rsidP="00E84FE9">
      <w:pPr>
        <w:tabs>
          <w:tab w:val="left" w:pos="6696"/>
        </w:tabs>
        <w:spacing w:before="120" w:line="360" w:lineRule="auto"/>
        <w:rPr>
          <w:rFonts w:ascii="Times New Roman" w:hAnsi="Times New Roman" w:cs="Times New Roman"/>
          <w:sz w:val="24"/>
          <w:szCs w:val="24"/>
        </w:rPr>
      </w:pPr>
    </w:p>
    <w:p w14:paraId="4875E1FF" w14:textId="77ECD5B5" w:rsidR="00473631" w:rsidRPr="00C27317" w:rsidRDefault="0069394B" w:rsidP="00FF2CBE">
      <w:pPr>
        <w:pStyle w:val="ListParagraph"/>
        <w:numPr>
          <w:ilvl w:val="0"/>
          <w:numId w:val="13"/>
        </w:numPr>
        <w:tabs>
          <w:tab w:val="left" w:pos="6696"/>
        </w:tabs>
        <w:spacing w:before="120" w:line="360" w:lineRule="auto"/>
        <w:jc w:val="both"/>
        <w:rPr>
          <w:rFonts w:ascii="Times New Roman" w:hAnsi="Times New Roman" w:cs="Times New Roman"/>
          <w:sz w:val="24"/>
          <w:szCs w:val="24"/>
        </w:rPr>
      </w:pPr>
      <w:r w:rsidRPr="00C27317">
        <w:rPr>
          <w:rFonts w:ascii="Times New Roman" w:hAnsi="Times New Roman" w:cs="Times New Roman"/>
          <w:sz w:val="24"/>
          <w:szCs w:val="24"/>
        </w:rPr>
        <w:t xml:space="preserve">Mr Parr further states that to facilitate the preparation of the </w:t>
      </w:r>
      <w:r w:rsidR="00645F7F" w:rsidRPr="00C27317">
        <w:rPr>
          <w:rFonts w:ascii="Times New Roman" w:hAnsi="Times New Roman" w:cs="Times New Roman"/>
          <w:sz w:val="24"/>
          <w:szCs w:val="24"/>
        </w:rPr>
        <w:t>Company</w:t>
      </w:r>
      <w:r w:rsidRPr="00C27317">
        <w:rPr>
          <w:rFonts w:ascii="Times New Roman" w:hAnsi="Times New Roman" w:cs="Times New Roman"/>
          <w:sz w:val="24"/>
          <w:szCs w:val="24"/>
        </w:rPr>
        <w:t xml:space="preserve">’s accounts and consolidated budget, the </w:t>
      </w:r>
      <w:r w:rsidR="00645F7F" w:rsidRPr="00C27317">
        <w:rPr>
          <w:rFonts w:ascii="Times New Roman" w:hAnsi="Times New Roman" w:cs="Times New Roman"/>
          <w:sz w:val="24"/>
          <w:szCs w:val="24"/>
        </w:rPr>
        <w:t>Company</w:t>
      </w:r>
      <w:r w:rsidRPr="00C27317">
        <w:rPr>
          <w:rFonts w:ascii="Times New Roman" w:hAnsi="Times New Roman" w:cs="Times New Roman"/>
          <w:sz w:val="24"/>
          <w:szCs w:val="24"/>
        </w:rPr>
        <w:t xml:space="preserve"> (via JML) was able to access the consolidated financial data that was inputted by Principal Group Companies into JFRS. This data has been disclosed to the Plaintiffs as part of the </w:t>
      </w:r>
      <w:r w:rsidR="00645F7F" w:rsidRPr="00C27317">
        <w:rPr>
          <w:rFonts w:ascii="Times New Roman" w:hAnsi="Times New Roman" w:cs="Times New Roman"/>
          <w:sz w:val="24"/>
          <w:szCs w:val="24"/>
        </w:rPr>
        <w:t>Company</w:t>
      </w:r>
      <w:r w:rsidRPr="00C27317">
        <w:rPr>
          <w:rFonts w:ascii="Times New Roman" w:hAnsi="Times New Roman" w:cs="Times New Roman"/>
          <w:sz w:val="24"/>
          <w:szCs w:val="24"/>
        </w:rPr>
        <w:t xml:space="preserve">' responses to the First and Second Information Requests. However, </w:t>
      </w:r>
      <w:r w:rsidR="00E30F16" w:rsidRPr="00C27317">
        <w:rPr>
          <w:rFonts w:ascii="Times New Roman" w:hAnsi="Times New Roman" w:cs="Times New Roman"/>
          <w:sz w:val="24"/>
          <w:szCs w:val="24"/>
        </w:rPr>
        <w:t xml:space="preserve">the </w:t>
      </w:r>
      <w:r w:rsidR="00645F7F" w:rsidRPr="00C27317">
        <w:rPr>
          <w:rFonts w:ascii="Times New Roman" w:hAnsi="Times New Roman" w:cs="Times New Roman"/>
          <w:sz w:val="24"/>
          <w:szCs w:val="24"/>
        </w:rPr>
        <w:t>Company</w:t>
      </w:r>
      <w:r w:rsidRPr="00C27317">
        <w:rPr>
          <w:rFonts w:ascii="Times New Roman" w:hAnsi="Times New Roman" w:cs="Times New Roman"/>
          <w:sz w:val="24"/>
          <w:szCs w:val="24"/>
        </w:rPr>
        <w:t xml:space="preserve"> did not have a right to access </w:t>
      </w:r>
      <w:r w:rsidR="006E1D06" w:rsidRPr="00C27317">
        <w:rPr>
          <w:rFonts w:ascii="Times New Roman" w:hAnsi="Times New Roman" w:cs="Times New Roman"/>
          <w:sz w:val="24"/>
          <w:szCs w:val="24"/>
          <w:u w:val="single"/>
        </w:rPr>
        <w:t>all</w:t>
      </w:r>
      <w:r w:rsidRPr="00C27317">
        <w:rPr>
          <w:rFonts w:ascii="Times New Roman" w:hAnsi="Times New Roman" w:cs="Times New Roman"/>
          <w:sz w:val="24"/>
          <w:szCs w:val="24"/>
          <w:u w:val="single"/>
        </w:rPr>
        <w:t xml:space="preserve"> </w:t>
      </w:r>
      <w:r w:rsidRPr="00C27317">
        <w:rPr>
          <w:rFonts w:ascii="Times New Roman" w:hAnsi="Times New Roman" w:cs="Times New Roman"/>
          <w:sz w:val="24"/>
          <w:szCs w:val="24"/>
        </w:rPr>
        <w:t>the data on JFRS (for example, it did not have a right to access the consolidation adjustments performed for the purposes of Jardine Matheson's budget).</w:t>
      </w:r>
    </w:p>
    <w:p w14:paraId="13B358CF" w14:textId="77777777" w:rsidR="006B0EC2" w:rsidRDefault="006B0EC2" w:rsidP="0069394B">
      <w:pPr>
        <w:tabs>
          <w:tab w:val="left" w:pos="6696"/>
        </w:tabs>
        <w:spacing w:before="120" w:line="360" w:lineRule="auto"/>
        <w:rPr>
          <w:rFonts w:ascii="Times New Roman" w:hAnsi="Times New Roman" w:cs="Times New Roman"/>
          <w:sz w:val="24"/>
          <w:szCs w:val="24"/>
        </w:rPr>
      </w:pPr>
    </w:p>
    <w:p w14:paraId="00430176" w14:textId="29F9F2BE" w:rsidR="006B0EC2" w:rsidRDefault="00784386" w:rsidP="00FF2CBE">
      <w:pPr>
        <w:pStyle w:val="ListParagraph"/>
        <w:numPr>
          <w:ilvl w:val="0"/>
          <w:numId w:val="13"/>
        </w:numPr>
        <w:tabs>
          <w:tab w:val="left" w:pos="450"/>
        </w:tabs>
        <w:spacing w:before="120" w:line="360" w:lineRule="auto"/>
        <w:ind w:left="450" w:hanging="450"/>
        <w:jc w:val="both"/>
        <w:rPr>
          <w:rFonts w:ascii="Times New Roman" w:hAnsi="Times New Roman" w:cs="Times New Roman"/>
          <w:sz w:val="24"/>
          <w:szCs w:val="24"/>
        </w:rPr>
      </w:pPr>
      <w:r w:rsidRPr="00C27317">
        <w:rPr>
          <w:rFonts w:ascii="Times New Roman" w:hAnsi="Times New Roman" w:cs="Times New Roman"/>
          <w:sz w:val="24"/>
          <w:szCs w:val="24"/>
        </w:rPr>
        <w:t xml:space="preserve">The Court accepts Mr Parr’s evidence in this regard which appears to the Court to be rational and </w:t>
      </w:r>
      <w:r w:rsidR="001E2158" w:rsidRPr="00C27317">
        <w:rPr>
          <w:rFonts w:ascii="Times New Roman" w:hAnsi="Times New Roman" w:cs="Times New Roman"/>
          <w:sz w:val="24"/>
          <w:szCs w:val="24"/>
        </w:rPr>
        <w:t>plausible</w:t>
      </w:r>
      <w:r w:rsidR="00342E29" w:rsidRPr="00C27317">
        <w:rPr>
          <w:rFonts w:ascii="Times New Roman" w:hAnsi="Times New Roman" w:cs="Times New Roman"/>
          <w:sz w:val="24"/>
          <w:szCs w:val="24"/>
        </w:rPr>
        <w:t>.</w:t>
      </w:r>
      <w:r w:rsidR="002162B4" w:rsidRPr="00C27317">
        <w:rPr>
          <w:rFonts w:ascii="Times New Roman" w:hAnsi="Times New Roman" w:cs="Times New Roman"/>
          <w:sz w:val="24"/>
          <w:szCs w:val="24"/>
        </w:rPr>
        <w:t xml:space="preserve"> On the basis </w:t>
      </w:r>
      <w:r w:rsidR="00840B97" w:rsidRPr="00C27317">
        <w:rPr>
          <w:rFonts w:ascii="Times New Roman" w:hAnsi="Times New Roman" w:cs="Times New Roman"/>
          <w:sz w:val="24"/>
          <w:szCs w:val="24"/>
        </w:rPr>
        <w:t xml:space="preserve">that the </w:t>
      </w:r>
      <w:r w:rsidR="004F5B8A" w:rsidRPr="00C27317">
        <w:rPr>
          <w:rFonts w:ascii="Times New Roman" w:hAnsi="Times New Roman" w:cs="Times New Roman"/>
          <w:sz w:val="24"/>
          <w:szCs w:val="24"/>
        </w:rPr>
        <w:t>Principal Group Companies maintain their own separate financial databases and upload consolidated financial information from those systems onto JFRS,</w:t>
      </w:r>
      <w:r w:rsidR="0077152A" w:rsidRPr="00C27317">
        <w:rPr>
          <w:rFonts w:ascii="Times New Roman" w:hAnsi="Times New Roman" w:cs="Times New Roman"/>
          <w:sz w:val="24"/>
          <w:szCs w:val="24"/>
        </w:rPr>
        <w:t xml:space="preserve"> the Court does not consider that this </w:t>
      </w:r>
      <w:r w:rsidR="002E0B63" w:rsidRPr="00C27317">
        <w:rPr>
          <w:rFonts w:ascii="Times New Roman" w:hAnsi="Times New Roman" w:cs="Times New Roman"/>
          <w:sz w:val="24"/>
          <w:szCs w:val="24"/>
        </w:rPr>
        <w:t>provides any cogent evidence supporting the existence of an arrangement or understanding</w:t>
      </w:r>
      <w:r w:rsidR="00F40784" w:rsidRPr="00C27317">
        <w:rPr>
          <w:rFonts w:ascii="Times New Roman" w:hAnsi="Times New Roman" w:cs="Times New Roman"/>
          <w:sz w:val="24"/>
          <w:szCs w:val="24"/>
        </w:rPr>
        <w:t xml:space="preserve"> whereby the </w:t>
      </w:r>
      <w:r w:rsidR="00645F7F" w:rsidRPr="00C27317">
        <w:rPr>
          <w:rFonts w:ascii="Times New Roman" w:hAnsi="Times New Roman" w:cs="Times New Roman"/>
          <w:sz w:val="24"/>
          <w:szCs w:val="24"/>
        </w:rPr>
        <w:t>Company</w:t>
      </w:r>
      <w:r w:rsidR="00F40784" w:rsidRPr="00C27317">
        <w:rPr>
          <w:rFonts w:ascii="Times New Roman" w:hAnsi="Times New Roman" w:cs="Times New Roman"/>
          <w:sz w:val="24"/>
          <w:szCs w:val="24"/>
        </w:rPr>
        <w:t xml:space="preserve"> enjoys free </w:t>
      </w:r>
      <w:r w:rsidR="0046491B" w:rsidRPr="00C27317">
        <w:rPr>
          <w:rFonts w:ascii="Times New Roman" w:hAnsi="Times New Roman" w:cs="Times New Roman"/>
          <w:sz w:val="24"/>
          <w:szCs w:val="24"/>
        </w:rPr>
        <w:t>or</w:t>
      </w:r>
      <w:r w:rsidR="00F40784" w:rsidRPr="00C27317">
        <w:rPr>
          <w:rFonts w:ascii="Times New Roman" w:hAnsi="Times New Roman" w:cs="Times New Roman"/>
          <w:sz w:val="24"/>
          <w:szCs w:val="24"/>
        </w:rPr>
        <w:t xml:space="preserve"> unfettered access to the documents held by the Principal Group Companies</w:t>
      </w:r>
      <w:r w:rsidR="00824C67" w:rsidRPr="00C27317">
        <w:rPr>
          <w:rFonts w:ascii="Times New Roman" w:hAnsi="Times New Roman" w:cs="Times New Roman"/>
          <w:sz w:val="24"/>
          <w:szCs w:val="24"/>
        </w:rPr>
        <w:t>.</w:t>
      </w:r>
    </w:p>
    <w:p w14:paraId="25D2C122" w14:textId="77777777" w:rsidR="00B27221" w:rsidRPr="00B27221" w:rsidRDefault="00B27221" w:rsidP="00B27221">
      <w:pPr>
        <w:pStyle w:val="ListParagraph"/>
        <w:rPr>
          <w:rFonts w:ascii="Times New Roman" w:hAnsi="Times New Roman" w:cs="Times New Roman"/>
          <w:sz w:val="24"/>
          <w:szCs w:val="24"/>
        </w:rPr>
      </w:pPr>
    </w:p>
    <w:p w14:paraId="74E239DD" w14:textId="77777777" w:rsidR="00B27221" w:rsidRPr="00B27221" w:rsidRDefault="00B27221" w:rsidP="00B27221">
      <w:pPr>
        <w:tabs>
          <w:tab w:val="left" w:pos="450"/>
        </w:tabs>
        <w:spacing w:before="120" w:line="360" w:lineRule="auto"/>
        <w:jc w:val="both"/>
        <w:rPr>
          <w:rFonts w:ascii="Times New Roman" w:hAnsi="Times New Roman" w:cs="Times New Roman"/>
          <w:sz w:val="24"/>
          <w:szCs w:val="24"/>
        </w:rPr>
      </w:pPr>
    </w:p>
    <w:p w14:paraId="31349E44" w14:textId="77777777" w:rsidR="00F3697B" w:rsidRDefault="00F3697B" w:rsidP="0069394B">
      <w:pPr>
        <w:tabs>
          <w:tab w:val="left" w:pos="6696"/>
        </w:tabs>
        <w:spacing w:before="120" w:line="360" w:lineRule="auto"/>
        <w:rPr>
          <w:rFonts w:ascii="Times New Roman" w:hAnsi="Times New Roman" w:cs="Times New Roman"/>
          <w:sz w:val="24"/>
          <w:szCs w:val="24"/>
        </w:rPr>
      </w:pPr>
    </w:p>
    <w:p w14:paraId="36B3C70E" w14:textId="313D23DB" w:rsidR="00F3697B" w:rsidRDefault="005922FC" w:rsidP="00FF2CBE">
      <w:pPr>
        <w:pStyle w:val="ListParagraph"/>
        <w:numPr>
          <w:ilvl w:val="0"/>
          <w:numId w:val="8"/>
        </w:numPr>
        <w:tabs>
          <w:tab w:val="left" w:pos="6696"/>
        </w:tabs>
        <w:spacing w:before="120" w:line="360" w:lineRule="auto"/>
        <w:rPr>
          <w:rFonts w:ascii="Times New Roman" w:hAnsi="Times New Roman" w:cs="Times New Roman"/>
          <w:b/>
          <w:bCs/>
          <w:i/>
          <w:iCs/>
          <w:sz w:val="24"/>
          <w:szCs w:val="24"/>
        </w:rPr>
      </w:pPr>
      <w:r w:rsidRPr="005922FC">
        <w:rPr>
          <w:rFonts w:ascii="Times New Roman" w:hAnsi="Times New Roman" w:cs="Times New Roman"/>
          <w:b/>
          <w:bCs/>
          <w:i/>
          <w:iCs/>
          <w:sz w:val="24"/>
          <w:szCs w:val="24"/>
        </w:rPr>
        <w:t xml:space="preserve">Agreements entered into by the </w:t>
      </w:r>
      <w:r w:rsidR="00645F7F">
        <w:rPr>
          <w:rFonts w:ascii="Times New Roman" w:hAnsi="Times New Roman" w:cs="Times New Roman"/>
          <w:b/>
          <w:bCs/>
          <w:i/>
          <w:iCs/>
          <w:sz w:val="24"/>
          <w:szCs w:val="24"/>
        </w:rPr>
        <w:t>Company</w:t>
      </w:r>
    </w:p>
    <w:p w14:paraId="66E5130A" w14:textId="77777777" w:rsidR="00674F36" w:rsidRDefault="00674F36" w:rsidP="00674F36">
      <w:pPr>
        <w:tabs>
          <w:tab w:val="left" w:pos="6696"/>
        </w:tabs>
        <w:spacing w:before="120" w:line="360" w:lineRule="auto"/>
        <w:rPr>
          <w:rFonts w:ascii="Times New Roman" w:hAnsi="Times New Roman" w:cs="Times New Roman"/>
          <w:b/>
          <w:bCs/>
          <w:i/>
          <w:iCs/>
          <w:sz w:val="24"/>
          <w:szCs w:val="24"/>
        </w:rPr>
      </w:pPr>
    </w:p>
    <w:p w14:paraId="05A773D0" w14:textId="253095D6" w:rsidR="00674F36" w:rsidRDefault="008535A5" w:rsidP="00674F36">
      <w:pPr>
        <w:tabs>
          <w:tab w:val="left" w:pos="6696"/>
        </w:tabs>
        <w:spacing w:before="120" w:line="36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The </w:t>
      </w:r>
      <w:r w:rsidR="00CA09A5">
        <w:rPr>
          <w:rFonts w:ascii="Times New Roman" w:hAnsi="Times New Roman" w:cs="Times New Roman"/>
          <w:b/>
          <w:bCs/>
          <w:i/>
          <w:iCs/>
          <w:sz w:val="24"/>
          <w:szCs w:val="24"/>
        </w:rPr>
        <w:t>Evercore Agreement</w:t>
      </w:r>
    </w:p>
    <w:p w14:paraId="61402484" w14:textId="77777777" w:rsidR="00CA09A5" w:rsidRPr="00CA09A5" w:rsidRDefault="00CA09A5" w:rsidP="00674F36">
      <w:pPr>
        <w:tabs>
          <w:tab w:val="left" w:pos="6696"/>
        </w:tabs>
        <w:spacing w:before="120" w:line="360" w:lineRule="auto"/>
        <w:rPr>
          <w:rFonts w:ascii="Times New Roman" w:hAnsi="Times New Roman" w:cs="Times New Roman"/>
          <w:sz w:val="24"/>
          <w:szCs w:val="24"/>
        </w:rPr>
      </w:pPr>
    </w:p>
    <w:p w14:paraId="61434E40" w14:textId="423FC1C4" w:rsidR="00CA09A5" w:rsidRPr="00C27317" w:rsidRDefault="00CA09A5" w:rsidP="00FF2CBE">
      <w:pPr>
        <w:pStyle w:val="ListParagraph"/>
        <w:numPr>
          <w:ilvl w:val="0"/>
          <w:numId w:val="13"/>
        </w:numPr>
        <w:tabs>
          <w:tab w:val="left" w:pos="450"/>
        </w:tabs>
        <w:spacing w:before="120" w:line="360" w:lineRule="auto"/>
        <w:ind w:left="450" w:hanging="450"/>
        <w:jc w:val="both"/>
        <w:rPr>
          <w:rFonts w:ascii="Times New Roman" w:hAnsi="Times New Roman" w:cs="Times New Roman"/>
          <w:sz w:val="24"/>
          <w:szCs w:val="24"/>
        </w:rPr>
      </w:pPr>
      <w:r w:rsidRPr="00C27317">
        <w:rPr>
          <w:rFonts w:ascii="Times New Roman" w:hAnsi="Times New Roman" w:cs="Times New Roman"/>
          <w:sz w:val="24"/>
          <w:szCs w:val="24"/>
        </w:rPr>
        <w:t xml:space="preserve">The Plaintiffs assert that the board of the </w:t>
      </w:r>
      <w:r w:rsidR="00645F7F" w:rsidRPr="00C27317">
        <w:rPr>
          <w:rFonts w:ascii="Times New Roman" w:hAnsi="Times New Roman" w:cs="Times New Roman"/>
          <w:sz w:val="24"/>
          <w:szCs w:val="24"/>
        </w:rPr>
        <w:t>Company</w:t>
      </w:r>
      <w:r w:rsidRPr="00C27317">
        <w:rPr>
          <w:rFonts w:ascii="Times New Roman" w:hAnsi="Times New Roman" w:cs="Times New Roman"/>
          <w:sz w:val="24"/>
          <w:szCs w:val="24"/>
        </w:rPr>
        <w:t>,</w:t>
      </w:r>
      <w:r w:rsidR="002A5395" w:rsidRPr="00C27317">
        <w:rPr>
          <w:rFonts w:ascii="Times New Roman" w:hAnsi="Times New Roman" w:cs="Times New Roman"/>
          <w:sz w:val="24"/>
          <w:szCs w:val="24"/>
        </w:rPr>
        <w:t xml:space="preserve"> represented by its Transaction Committee, caused the </w:t>
      </w:r>
      <w:r w:rsidR="00645F7F" w:rsidRPr="00C27317">
        <w:rPr>
          <w:rFonts w:ascii="Times New Roman" w:hAnsi="Times New Roman" w:cs="Times New Roman"/>
          <w:sz w:val="24"/>
          <w:szCs w:val="24"/>
        </w:rPr>
        <w:t>Company</w:t>
      </w:r>
      <w:r w:rsidR="002A5395" w:rsidRPr="00C27317">
        <w:rPr>
          <w:rFonts w:ascii="Times New Roman" w:hAnsi="Times New Roman" w:cs="Times New Roman"/>
          <w:sz w:val="24"/>
          <w:szCs w:val="24"/>
        </w:rPr>
        <w:t xml:space="preserve"> to enter into an agreement with Evercore dated 22 February 2021 (“</w:t>
      </w:r>
      <w:r w:rsidR="002A5395" w:rsidRPr="00C27317">
        <w:rPr>
          <w:rFonts w:ascii="Times New Roman" w:hAnsi="Times New Roman" w:cs="Times New Roman"/>
          <w:b/>
          <w:bCs/>
          <w:sz w:val="24"/>
          <w:szCs w:val="24"/>
        </w:rPr>
        <w:t>Evercore Agreement</w:t>
      </w:r>
      <w:r w:rsidR="002A5395" w:rsidRPr="00C27317">
        <w:rPr>
          <w:rFonts w:ascii="Times New Roman" w:hAnsi="Times New Roman" w:cs="Times New Roman"/>
          <w:sz w:val="24"/>
          <w:szCs w:val="24"/>
        </w:rPr>
        <w:t xml:space="preserve">”) pursuant to which Evercore advised the Transaction Committee </w:t>
      </w:r>
      <w:r w:rsidR="001C1D5F" w:rsidRPr="00C27317">
        <w:rPr>
          <w:rFonts w:ascii="Times New Roman" w:hAnsi="Times New Roman" w:cs="Times New Roman"/>
          <w:sz w:val="24"/>
          <w:szCs w:val="24"/>
        </w:rPr>
        <w:t xml:space="preserve">on the proposed amalgamation. It is clear from that agreement that Transaction Committee considered that the </w:t>
      </w:r>
      <w:r w:rsidR="00645F7F" w:rsidRPr="00C27317">
        <w:rPr>
          <w:rFonts w:ascii="Times New Roman" w:hAnsi="Times New Roman" w:cs="Times New Roman"/>
          <w:sz w:val="24"/>
          <w:szCs w:val="24"/>
        </w:rPr>
        <w:t>Company</w:t>
      </w:r>
      <w:r w:rsidR="001C1D5F" w:rsidRPr="00C27317">
        <w:rPr>
          <w:rFonts w:ascii="Times New Roman" w:hAnsi="Times New Roman" w:cs="Times New Roman"/>
          <w:sz w:val="24"/>
          <w:szCs w:val="24"/>
        </w:rPr>
        <w:t xml:space="preserve"> had very wide access to the documents held by the </w:t>
      </w:r>
      <w:r w:rsidR="00645F7F" w:rsidRPr="00C27317">
        <w:rPr>
          <w:rFonts w:ascii="Times New Roman" w:hAnsi="Times New Roman" w:cs="Times New Roman"/>
          <w:sz w:val="24"/>
          <w:szCs w:val="24"/>
        </w:rPr>
        <w:t>Company</w:t>
      </w:r>
      <w:r w:rsidR="001C1D5F" w:rsidRPr="00C27317">
        <w:rPr>
          <w:rFonts w:ascii="Times New Roman" w:hAnsi="Times New Roman" w:cs="Times New Roman"/>
          <w:sz w:val="24"/>
          <w:szCs w:val="24"/>
        </w:rPr>
        <w:t>’s subsidiaries and other Group companies.</w:t>
      </w:r>
    </w:p>
    <w:p w14:paraId="03F4A685" w14:textId="77777777" w:rsidR="00FC0D08" w:rsidRDefault="00FC0D08" w:rsidP="001C1D5F">
      <w:pPr>
        <w:tabs>
          <w:tab w:val="left" w:pos="6696"/>
        </w:tabs>
        <w:spacing w:before="120" w:line="360" w:lineRule="auto"/>
        <w:rPr>
          <w:rFonts w:ascii="Times New Roman" w:hAnsi="Times New Roman" w:cs="Times New Roman"/>
          <w:sz w:val="24"/>
          <w:szCs w:val="24"/>
        </w:rPr>
      </w:pPr>
    </w:p>
    <w:p w14:paraId="661D6F94" w14:textId="77777777" w:rsidR="003930A9" w:rsidRPr="00C27317" w:rsidRDefault="002E67F3" w:rsidP="00FF2CBE">
      <w:pPr>
        <w:pStyle w:val="ListParagraph"/>
        <w:numPr>
          <w:ilvl w:val="0"/>
          <w:numId w:val="13"/>
        </w:numPr>
        <w:tabs>
          <w:tab w:val="left" w:pos="450"/>
        </w:tabs>
        <w:spacing w:before="120" w:line="360" w:lineRule="auto"/>
        <w:ind w:left="450" w:hanging="450"/>
        <w:jc w:val="both"/>
        <w:rPr>
          <w:rFonts w:ascii="Times New Roman" w:hAnsi="Times New Roman" w:cs="Times New Roman"/>
          <w:sz w:val="24"/>
          <w:szCs w:val="24"/>
        </w:rPr>
      </w:pPr>
      <w:r w:rsidRPr="00C27317">
        <w:rPr>
          <w:rFonts w:ascii="Times New Roman" w:hAnsi="Times New Roman" w:cs="Times New Roman"/>
          <w:sz w:val="24"/>
          <w:szCs w:val="24"/>
        </w:rPr>
        <w:t xml:space="preserve">The Evercore Agreement incorporated in a schedule a number of terms concerning the provision of information to Evercore, including the following: </w:t>
      </w:r>
    </w:p>
    <w:p w14:paraId="26C58689" w14:textId="625C843A" w:rsidR="002E67F3" w:rsidRPr="003930A9" w:rsidRDefault="002E67F3" w:rsidP="008F272D">
      <w:pPr>
        <w:tabs>
          <w:tab w:val="left" w:pos="6696"/>
        </w:tabs>
        <w:spacing w:before="120" w:line="276" w:lineRule="auto"/>
        <w:ind w:left="720"/>
        <w:rPr>
          <w:rFonts w:ascii="Times New Roman" w:hAnsi="Times New Roman" w:cs="Times New Roman"/>
          <w:sz w:val="24"/>
          <w:szCs w:val="24"/>
        </w:rPr>
      </w:pPr>
      <w:r w:rsidRPr="002E67F3">
        <w:rPr>
          <w:rFonts w:ascii="Times New Roman" w:hAnsi="Times New Roman" w:cs="Times New Roman"/>
          <w:sz w:val="24"/>
          <w:szCs w:val="24"/>
        </w:rPr>
        <w:t>“</w:t>
      </w:r>
      <w:r w:rsidRPr="00265F17">
        <w:rPr>
          <w:rFonts w:ascii="Times New Roman" w:hAnsi="Times New Roman" w:cs="Times New Roman"/>
          <w:i/>
          <w:iCs/>
          <w:sz w:val="24"/>
          <w:szCs w:val="24"/>
        </w:rPr>
        <w:t xml:space="preserve">5.1 The </w:t>
      </w:r>
      <w:r w:rsidR="00645F7F">
        <w:rPr>
          <w:rFonts w:ascii="Times New Roman" w:hAnsi="Times New Roman" w:cs="Times New Roman"/>
          <w:i/>
          <w:iCs/>
          <w:sz w:val="24"/>
          <w:szCs w:val="24"/>
        </w:rPr>
        <w:t>Company</w:t>
      </w:r>
      <w:r w:rsidRPr="00265F17">
        <w:rPr>
          <w:rFonts w:ascii="Times New Roman" w:hAnsi="Times New Roman" w:cs="Times New Roman"/>
          <w:i/>
          <w:iCs/>
          <w:sz w:val="24"/>
          <w:szCs w:val="24"/>
        </w:rPr>
        <w:t xml:space="preserve"> agrees that Evercore will have access to the </w:t>
      </w:r>
      <w:r w:rsidR="00645F7F">
        <w:rPr>
          <w:rFonts w:ascii="Times New Roman" w:hAnsi="Times New Roman" w:cs="Times New Roman"/>
          <w:i/>
          <w:iCs/>
          <w:sz w:val="24"/>
          <w:szCs w:val="24"/>
        </w:rPr>
        <w:t>Company</w:t>
      </w:r>
      <w:r w:rsidRPr="00265F17">
        <w:rPr>
          <w:rFonts w:ascii="Times New Roman" w:hAnsi="Times New Roman" w:cs="Times New Roman"/>
          <w:i/>
          <w:iCs/>
          <w:sz w:val="24"/>
          <w:szCs w:val="24"/>
        </w:rPr>
        <w:t xml:space="preserve">, its Associates (as appropriate) and their respective directors, senior management, auditors, accountants, legal advisers and other advisers and to any information or documents that it requires to perform the Services. </w:t>
      </w:r>
    </w:p>
    <w:p w14:paraId="633F3D04" w14:textId="608C9F19" w:rsidR="00FC0D08" w:rsidRDefault="002E67F3" w:rsidP="008F272D">
      <w:pPr>
        <w:tabs>
          <w:tab w:val="left" w:pos="6696"/>
        </w:tabs>
        <w:spacing w:before="120" w:line="276" w:lineRule="auto"/>
        <w:ind w:left="720"/>
        <w:rPr>
          <w:rFonts w:ascii="Times New Roman" w:hAnsi="Times New Roman" w:cs="Times New Roman"/>
          <w:sz w:val="24"/>
          <w:szCs w:val="24"/>
        </w:rPr>
      </w:pPr>
      <w:r w:rsidRPr="00265F17">
        <w:rPr>
          <w:rFonts w:ascii="Times New Roman" w:hAnsi="Times New Roman" w:cs="Times New Roman"/>
          <w:i/>
          <w:iCs/>
          <w:sz w:val="24"/>
          <w:szCs w:val="24"/>
        </w:rPr>
        <w:t xml:space="preserve">5.2 The </w:t>
      </w:r>
      <w:r w:rsidR="00645F7F">
        <w:rPr>
          <w:rFonts w:ascii="Times New Roman" w:hAnsi="Times New Roman" w:cs="Times New Roman"/>
          <w:i/>
          <w:iCs/>
          <w:sz w:val="24"/>
          <w:szCs w:val="24"/>
        </w:rPr>
        <w:t>Company</w:t>
      </w:r>
      <w:r w:rsidRPr="00265F17">
        <w:rPr>
          <w:rFonts w:ascii="Times New Roman" w:hAnsi="Times New Roman" w:cs="Times New Roman"/>
          <w:i/>
          <w:iCs/>
          <w:sz w:val="24"/>
          <w:szCs w:val="24"/>
        </w:rPr>
        <w:t xml:space="preserve"> will promptly provide Evercore with all information</w:t>
      </w:r>
      <w:r w:rsidR="00647934" w:rsidRPr="00265F17">
        <w:rPr>
          <w:rFonts w:ascii="Times New Roman" w:hAnsi="Times New Roman" w:cs="Times New Roman"/>
          <w:i/>
          <w:iCs/>
          <w:sz w:val="24"/>
          <w:szCs w:val="24"/>
        </w:rPr>
        <w:t xml:space="preserve"> </w:t>
      </w:r>
      <w:r w:rsidRPr="00265F17">
        <w:rPr>
          <w:rFonts w:ascii="Times New Roman" w:hAnsi="Times New Roman" w:cs="Times New Roman"/>
          <w:i/>
          <w:iCs/>
          <w:sz w:val="24"/>
          <w:szCs w:val="24"/>
        </w:rPr>
        <w:t xml:space="preserve">which might reasonably be expected to be relevant to enable Evercore to fulfil its responsibilities in carrying out the Services to the best of its ability, whether created or acquired by the </w:t>
      </w:r>
      <w:r w:rsidR="00645F7F">
        <w:rPr>
          <w:rFonts w:ascii="Times New Roman" w:hAnsi="Times New Roman" w:cs="Times New Roman"/>
          <w:i/>
          <w:iCs/>
          <w:sz w:val="24"/>
          <w:szCs w:val="24"/>
        </w:rPr>
        <w:t>Company</w:t>
      </w:r>
      <w:r w:rsidRPr="00265F17">
        <w:rPr>
          <w:rFonts w:ascii="Times New Roman" w:hAnsi="Times New Roman" w:cs="Times New Roman"/>
          <w:i/>
          <w:iCs/>
          <w:sz w:val="24"/>
          <w:szCs w:val="24"/>
        </w:rPr>
        <w:t xml:space="preserve"> or by anyone acting on its behalf. The </w:t>
      </w:r>
      <w:r w:rsidR="00645F7F">
        <w:rPr>
          <w:rFonts w:ascii="Times New Roman" w:hAnsi="Times New Roman" w:cs="Times New Roman"/>
          <w:i/>
          <w:iCs/>
          <w:sz w:val="24"/>
          <w:szCs w:val="24"/>
        </w:rPr>
        <w:t>Company</w:t>
      </w:r>
      <w:r w:rsidRPr="00265F17">
        <w:rPr>
          <w:rFonts w:ascii="Times New Roman" w:hAnsi="Times New Roman" w:cs="Times New Roman"/>
          <w:i/>
          <w:iCs/>
          <w:sz w:val="24"/>
          <w:szCs w:val="24"/>
        </w:rPr>
        <w:t xml:space="preserve"> represents that all information provided and statements made by it or on its behalf, or by or on behalf of its Associates, to Evercore and/or its Associates will be accurate and complete in all material respects</w:t>
      </w:r>
      <w:r w:rsidRPr="002E67F3">
        <w:rPr>
          <w:rFonts w:ascii="Times New Roman" w:hAnsi="Times New Roman" w:cs="Times New Roman"/>
          <w:sz w:val="24"/>
          <w:szCs w:val="24"/>
        </w:rPr>
        <w:t>.”</w:t>
      </w:r>
    </w:p>
    <w:p w14:paraId="23191635" w14:textId="77777777" w:rsidR="00265F17" w:rsidRDefault="00265F17" w:rsidP="008F272D">
      <w:pPr>
        <w:tabs>
          <w:tab w:val="left" w:pos="6696"/>
        </w:tabs>
        <w:spacing w:before="120" w:line="276" w:lineRule="auto"/>
        <w:ind w:left="720"/>
        <w:rPr>
          <w:rFonts w:ascii="Times New Roman" w:hAnsi="Times New Roman" w:cs="Times New Roman"/>
          <w:sz w:val="24"/>
          <w:szCs w:val="24"/>
        </w:rPr>
      </w:pPr>
    </w:p>
    <w:p w14:paraId="0282F3FE" w14:textId="1245BB90" w:rsidR="00265F17" w:rsidRPr="00C27317" w:rsidRDefault="00D66E74" w:rsidP="00FF2CBE">
      <w:pPr>
        <w:pStyle w:val="ListParagraph"/>
        <w:numPr>
          <w:ilvl w:val="0"/>
          <w:numId w:val="13"/>
        </w:numPr>
        <w:tabs>
          <w:tab w:val="left" w:pos="450"/>
        </w:tabs>
        <w:spacing w:before="120" w:line="360" w:lineRule="auto"/>
        <w:ind w:left="450" w:hanging="450"/>
        <w:jc w:val="both"/>
        <w:rPr>
          <w:rFonts w:ascii="Times New Roman" w:hAnsi="Times New Roman" w:cs="Times New Roman"/>
          <w:sz w:val="24"/>
          <w:szCs w:val="24"/>
        </w:rPr>
      </w:pPr>
      <w:r w:rsidRPr="00C27317">
        <w:rPr>
          <w:rFonts w:ascii="Times New Roman" w:hAnsi="Times New Roman" w:cs="Times New Roman"/>
          <w:sz w:val="24"/>
          <w:szCs w:val="24"/>
        </w:rPr>
        <w:t>The definition of Associates in clause 1.2(a) of the schedule provided that “</w:t>
      </w:r>
      <w:r w:rsidRPr="00C27317">
        <w:rPr>
          <w:rFonts w:ascii="Times New Roman" w:hAnsi="Times New Roman" w:cs="Times New Roman"/>
          <w:i/>
          <w:iCs/>
          <w:sz w:val="24"/>
          <w:szCs w:val="24"/>
        </w:rPr>
        <w:t xml:space="preserve">Associates shall mean, in relation to any person, … (ii) the subsidiaries and holding companies (if any) from time of such person, (iii) each of the subsidiaries of any such holding </w:t>
      </w:r>
      <w:r w:rsidR="00645F7F" w:rsidRPr="00C27317">
        <w:rPr>
          <w:rFonts w:ascii="Times New Roman" w:hAnsi="Times New Roman" w:cs="Times New Roman"/>
          <w:i/>
          <w:iCs/>
          <w:sz w:val="24"/>
          <w:szCs w:val="24"/>
        </w:rPr>
        <w:t>Company</w:t>
      </w:r>
      <w:r w:rsidRPr="00C27317">
        <w:rPr>
          <w:rFonts w:ascii="Times New Roman" w:hAnsi="Times New Roman" w:cs="Times New Roman"/>
          <w:i/>
          <w:iCs/>
          <w:sz w:val="24"/>
          <w:szCs w:val="24"/>
        </w:rPr>
        <w:t xml:space="preserve"> from time to time, and (iv) the officers, directors, employees, subcontractors, advisors, representatives and agents from time to time of any subsidiary or holding </w:t>
      </w:r>
      <w:r w:rsidR="00645F7F" w:rsidRPr="00C27317">
        <w:rPr>
          <w:rFonts w:ascii="Times New Roman" w:hAnsi="Times New Roman" w:cs="Times New Roman"/>
          <w:i/>
          <w:iCs/>
          <w:sz w:val="24"/>
          <w:szCs w:val="24"/>
        </w:rPr>
        <w:t>Company</w:t>
      </w:r>
      <w:r w:rsidRPr="00C27317">
        <w:rPr>
          <w:rFonts w:ascii="Times New Roman" w:hAnsi="Times New Roman" w:cs="Times New Roman"/>
          <w:i/>
          <w:iCs/>
          <w:sz w:val="24"/>
          <w:szCs w:val="24"/>
        </w:rPr>
        <w:t xml:space="preserve"> which is itself an Associate</w:t>
      </w:r>
      <w:r w:rsidRPr="00C27317">
        <w:rPr>
          <w:rFonts w:ascii="Times New Roman" w:hAnsi="Times New Roman" w:cs="Times New Roman"/>
          <w:sz w:val="24"/>
          <w:szCs w:val="24"/>
        </w:rPr>
        <w:t>”.</w:t>
      </w:r>
    </w:p>
    <w:p w14:paraId="6D1A6FFF" w14:textId="77777777" w:rsidR="003638B1" w:rsidRDefault="003638B1" w:rsidP="00D66E74">
      <w:pPr>
        <w:tabs>
          <w:tab w:val="left" w:pos="6696"/>
        </w:tabs>
        <w:spacing w:before="120" w:line="360" w:lineRule="auto"/>
        <w:rPr>
          <w:rFonts w:ascii="Times New Roman" w:hAnsi="Times New Roman" w:cs="Times New Roman"/>
          <w:sz w:val="24"/>
          <w:szCs w:val="24"/>
        </w:rPr>
      </w:pPr>
    </w:p>
    <w:p w14:paraId="11CE197B" w14:textId="50EF9CAE" w:rsidR="003638B1" w:rsidRPr="00C27317" w:rsidRDefault="00242E4A" w:rsidP="00FF2CBE">
      <w:pPr>
        <w:pStyle w:val="ListParagraph"/>
        <w:numPr>
          <w:ilvl w:val="0"/>
          <w:numId w:val="13"/>
        </w:numPr>
        <w:tabs>
          <w:tab w:val="left" w:pos="450"/>
        </w:tabs>
        <w:spacing w:before="120" w:line="360" w:lineRule="auto"/>
        <w:ind w:left="450" w:hanging="450"/>
        <w:jc w:val="both"/>
        <w:rPr>
          <w:rFonts w:ascii="Times New Roman" w:hAnsi="Times New Roman" w:cs="Times New Roman"/>
          <w:sz w:val="24"/>
          <w:szCs w:val="24"/>
        </w:rPr>
      </w:pPr>
      <w:r w:rsidRPr="00C27317">
        <w:rPr>
          <w:rFonts w:ascii="Times New Roman" w:hAnsi="Times New Roman" w:cs="Times New Roman"/>
          <w:sz w:val="24"/>
          <w:szCs w:val="24"/>
        </w:rPr>
        <w:t>The Plaintiffs contend that</w:t>
      </w:r>
      <w:r w:rsidR="00906B94" w:rsidRPr="00C27317">
        <w:rPr>
          <w:rFonts w:ascii="Times New Roman" w:hAnsi="Times New Roman" w:cs="Times New Roman"/>
          <w:sz w:val="24"/>
          <w:szCs w:val="24"/>
        </w:rPr>
        <w:t xml:space="preserve"> it is apparent from these provisions that the members of the Transaction Committee of the </w:t>
      </w:r>
      <w:r w:rsidR="00645F7F" w:rsidRPr="00C27317">
        <w:rPr>
          <w:rFonts w:ascii="Times New Roman" w:hAnsi="Times New Roman" w:cs="Times New Roman"/>
          <w:sz w:val="24"/>
          <w:szCs w:val="24"/>
        </w:rPr>
        <w:t>Company</w:t>
      </w:r>
      <w:r w:rsidR="00906B94" w:rsidRPr="00C27317">
        <w:rPr>
          <w:rFonts w:ascii="Times New Roman" w:hAnsi="Times New Roman" w:cs="Times New Roman"/>
          <w:sz w:val="24"/>
          <w:szCs w:val="24"/>
        </w:rPr>
        <w:t xml:space="preserve">’s board believed that they would be in a position to provide Evercore with access to any information or documents which it required to perform the services under the Evercore Agreement, including the information and documents of the </w:t>
      </w:r>
      <w:r w:rsidR="00645F7F" w:rsidRPr="00C27317">
        <w:rPr>
          <w:rFonts w:ascii="Times New Roman" w:hAnsi="Times New Roman" w:cs="Times New Roman"/>
          <w:sz w:val="24"/>
          <w:szCs w:val="24"/>
        </w:rPr>
        <w:t>Company</w:t>
      </w:r>
      <w:r w:rsidR="00906B94" w:rsidRPr="00C27317">
        <w:rPr>
          <w:rFonts w:ascii="Times New Roman" w:hAnsi="Times New Roman" w:cs="Times New Roman"/>
          <w:sz w:val="24"/>
          <w:szCs w:val="24"/>
        </w:rPr>
        <w:t xml:space="preserve">’s subsidiaries and holding </w:t>
      </w:r>
      <w:r w:rsidR="00645F7F" w:rsidRPr="00C27317">
        <w:rPr>
          <w:rFonts w:ascii="Times New Roman" w:hAnsi="Times New Roman" w:cs="Times New Roman"/>
          <w:sz w:val="24"/>
          <w:szCs w:val="24"/>
        </w:rPr>
        <w:t>Company</w:t>
      </w:r>
      <w:r w:rsidR="00906B94" w:rsidRPr="00C27317">
        <w:rPr>
          <w:rFonts w:ascii="Times New Roman" w:hAnsi="Times New Roman" w:cs="Times New Roman"/>
          <w:sz w:val="24"/>
          <w:szCs w:val="24"/>
        </w:rPr>
        <w:t>, together with access to the directors, officers and employees of such subsidiaries and holding companies.</w:t>
      </w:r>
    </w:p>
    <w:p w14:paraId="19FD5D9C" w14:textId="77777777" w:rsidR="005F2EA5" w:rsidRDefault="005F2EA5" w:rsidP="00906B94">
      <w:pPr>
        <w:tabs>
          <w:tab w:val="left" w:pos="6696"/>
        </w:tabs>
        <w:spacing w:before="120" w:line="360" w:lineRule="auto"/>
        <w:rPr>
          <w:rFonts w:ascii="Times New Roman" w:hAnsi="Times New Roman" w:cs="Times New Roman"/>
          <w:sz w:val="24"/>
          <w:szCs w:val="24"/>
        </w:rPr>
      </w:pPr>
    </w:p>
    <w:p w14:paraId="196E9BD6" w14:textId="106EE399" w:rsidR="009E36ED" w:rsidRPr="00C27317" w:rsidRDefault="006B7945" w:rsidP="00FF2CBE">
      <w:pPr>
        <w:pStyle w:val="ListParagraph"/>
        <w:numPr>
          <w:ilvl w:val="0"/>
          <w:numId w:val="13"/>
        </w:numPr>
        <w:tabs>
          <w:tab w:val="left" w:pos="450"/>
        </w:tabs>
        <w:spacing w:before="120" w:line="360" w:lineRule="auto"/>
        <w:ind w:left="450" w:hanging="450"/>
        <w:jc w:val="both"/>
        <w:rPr>
          <w:rFonts w:ascii="Times New Roman" w:hAnsi="Times New Roman" w:cs="Times New Roman"/>
          <w:sz w:val="24"/>
          <w:szCs w:val="24"/>
        </w:rPr>
      </w:pPr>
      <w:r w:rsidRPr="00C27317">
        <w:rPr>
          <w:rFonts w:ascii="Times New Roman" w:hAnsi="Times New Roman" w:cs="Times New Roman"/>
          <w:sz w:val="24"/>
          <w:szCs w:val="24"/>
        </w:rPr>
        <w:t>In response Mr Pa</w:t>
      </w:r>
      <w:r w:rsidR="00925467" w:rsidRPr="00C27317">
        <w:rPr>
          <w:rFonts w:ascii="Times New Roman" w:hAnsi="Times New Roman" w:cs="Times New Roman"/>
          <w:sz w:val="24"/>
          <w:szCs w:val="24"/>
        </w:rPr>
        <w:t>rr</w:t>
      </w:r>
      <w:r w:rsidRPr="00C27317">
        <w:rPr>
          <w:rFonts w:ascii="Times New Roman" w:hAnsi="Times New Roman" w:cs="Times New Roman"/>
          <w:sz w:val="24"/>
          <w:szCs w:val="24"/>
        </w:rPr>
        <w:t xml:space="preserve"> says that</w:t>
      </w:r>
      <w:r w:rsidR="00D91B57" w:rsidRPr="00C27317">
        <w:rPr>
          <w:rFonts w:ascii="Times New Roman" w:hAnsi="Times New Roman" w:cs="Times New Roman"/>
          <w:sz w:val="24"/>
          <w:szCs w:val="24"/>
        </w:rPr>
        <w:t xml:space="preserve"> the provisions of the Ever</w:t>
      </w:r>
      <w:r w:rsidR="00492E26" w:rsidRPr="00C27317">
        <w:rPr>
          <w:rFonts w:ascii="Times New Roman" w:hAnsi="Times New Roman" w:cs="Times New Roman"/>
          <w:sz w:val="24"/>
          <w:szCs w:val="24"/>
        </w:rPr>
        <w:t>core Agreement</w:t>
      </w:r>
      <w:r w:rsidR="00861401" w:rsidRPr="00C27317">
        <w:rPr>
          <w:rFonts w:ascii="Times New Roman" w:hAnsi="Times New Roman" w:cs="Times New Roman"/>
          <w:sz w:val="24"/>
          <w:szCs w:val="24"/>
        </w:rPr>
        <w:t xml:space="preserve"> are standard terms and conditions or boilerplate clauses. </w:t>
      </w:r>
      <w:r w:rsidR="00F83763" w:rsidRPr="00C27317">
        <w:rPr>
          <w:rFonts w:ascii="Times New Roman" w:hAnsi="Times New Roman" w:cs="Times New Roman"/>
          <w:sz w:val="24"/>
          <w:szCs w:val="24"/>
        </w:rPr>
        <w:t>In the Court’s view</w:t>
      </w:r>
      <w:r w:rsidR="0032654B" w:rsidRPr="00C27317">
        <w:rPr>
          <w:rFonts w:ascii="Times New Roman" w:hAnsi="Times New Roman" w:cs="Times New Roman"/>
          <w:sz w:val="24"/>
          <w:szCs w:val="24"/>
        </w:rPr>
        <w:t xml:space="preserve"> the provisions of the </w:t>
      </w:r>
      <w:r w:rsidR="00004ABF" w:rsidRPr="00C27317">
        <w:rPr>
          <w:rFonts w:ascii="Times New Roman" w:hAnsi="Times New Roman" w:cs="Times New Roman"/>
          <w:sz w:val="24"/>
          <w:szCs w:val="24"/>
        </w:rPr>
        <w:t>Ever</w:t>
      </w:r>
      <w:r w:rsidR="0032654B" w:rsidRPr="00C27317">
        <w:rPr>
          <w:rFonts w:ascii="Times New Roman" w:hAnsi="Times New Roman" w:cs="Times New Roman"/>
          <w:sz w:val="24"/>
          <w:szCs w:val="24"/>
        </w:rPr>
        <w:t xml:space="preserve">core Agreement relied upon by the Plaintiffs </w:t>
      </w:r>
      <w:r w:rsidR="00F17D21" w:rsidRPr="00C27317">
        <w:rPr>
          <w:rFonts w:ascii="Times New Roman" w:hAnsi="Times New Roman" w:cs="Times New Roman"/>
          <w:sz w:val="24"/>
          <w:szCs w:val="24"/>
        </w:rPr>
        <w:t xml:space="preserve">do not, standing alone, establish that there was an arrangement or understanding between the </w:t>
      </w:r>
      <w:r w:rsidR="00645F7F" w:rsidRPr="00C27317">
        <w:rPr>
          <w:rFonts w:ascii="Times New Roman" w:hAnsi="Times New Roman" w:cs="Times New Roman"/>
          <w:sz w:val="24"/>
          <w:szCs w:val="24"/>
        </w:rPr>
        <w:t>Company</w:t>
      </w:r>
      <w:r w:rsidR="00F17D21" w:rsidRPr="00C27317">
        <w:rPr>
          <w:rFonts w:ascii="Times New Roman" w:hAnsi="Times New Roman" w:cs="Times New Roman"/>
          <w:sz w:val="24"/>
          <w:szCs w:val="24"/>
        </w:rPr>
        <w:t xml:space="preserve"> and the Principal Group Companies</w:t>
      </w:r>
      <w:r w:rsidR="00D71744" w:rsidRPr="00C27317">
        <w:rPr>
          <w:rFonts w:ascii="Times New Roman" w:hAnsi="Times New Roman" w:cs="Times New Roman"/>
          <w:sz w:val="24"/>
          <w:szCs w:val="24"/>
        </w:rPr>
        <w:t xml:space="preserve"> providing to the </w:t>
      </w:r>
      <w:r w:rsidR="00645F7F" w:rsidRPr="00C27317">
        <w:rPr>
          <w:rFonts w:ascii="Times New Roman" w:hAnsi="Times New Roman" w:cs="Times New Roman"/>
          <w:sz w:val="24"/>
          <w:szCs w:val="24"/>
        </w:rPr>
        <w:t>Company</w:t>
      </w:r>
      <w:r w:rsidR="00D71744" w:rsidRPr="00C27317">
        <w:rPr>
          <w:rFonts w:ascii="Times New Roman" w:hAnsi="Times New Roman" w:cs="Times New Roman"/>
          <w:sz w:val="24"/>
          <w:szCs w:val="24"/>
        </w:rPr>
        <w:t xml:space="preserve"> free </w:t>
      </w:r>
      <w:r w:rsidR="0046491B" w:rsidRPr="00C27317">
        <w:rPr>
          <w:rFonts w:ascii="Times New Roman" w:hAnsi="Times New Roman" w:cs="Times New Roman"/>
          <w:sz w:val="24"/>
          <w:szCs w:val="24"/>
        </w:rPr>
        <w:t>or</w:t>
      </w:r>
      <w:r w:rsidR="00D71744" w:rsidRPr="00C27317">
        <w:rPr>
          <w:rFonts w:ascii="Times New Roman" w:hAnsi="Times New Roman" w:cs="Times New Roman"/>
          <w:sz w:val="24"/>
          <w:szCs w:val="24"/>
        </w:rPr>
        <w:t xml:space="preserve"> unfettered access to the</w:t>
      </w:r>
      <w:r w:rsidR="00154CF5" w:rsidRPr="00C27317">
        <w:rPr>
          <w:rFonts w:ascii="Times New Roman" w:hAnsi="Times New Roman" w:cs="Times New Roman"/>
          <w:sz w:val="24"/>
          <w:szCs w:val="24"/>
        </w:rPr>
        <w:t xml:space="preserve"> Principal Group Companies. </w:t>
      </w:r>
      <w:r w:rsidR="00056A29" w:rsidRPr="00C27317">
        <w:rPr>
          <w:rFonts w:ascii="Times New Roman" w:hAnsi="Times New Roman" w:cs="Times New Roman"/>
          <w:sz w:val="24"/>
          <w:szCs w:val="24"/>
        </w:rPr>
        <w:t>The Court accepts</w:t>
      </w:r>
      <w:r w:rsidR="00E406EF" w:rsidRPr="00C27317">
        <w:rPr>
          <w:rFonts w:ascii="Times New Roman" w:hAnsi="Times New Roman" w:cs="Times New Roman"/>
          <w:sz w:val="24"/>
          <w:szCs w:val="24"/>
        </w:rPr>
        <w:t xml:space="preserve"> that the </w:t>
      </w:r>
      <w:r w:rsidR="00645F7F" w:rsidRPr="00C27317">
        <w:rPr>
          <w:rFonts w:ascii="Times New Roman" w:hAnsi="Times New Roman" w:cs="Times New Roman"/>
          <w:sz w:val="24"/>
          <w:szCs w:val="24"/>
        </w:rPr>
        <w:t>Company</w:t>
      </w:r>
      <w:r w:rsidR="0085092C" w:rsidRPr="00C27317">
        <w:rPr>
          <w:rFonts w:ascii="Times New Roman" w:hAnsi="Times New Roman" w:cs="Times New Roman"/>
          <w:sz w:val="24"/>
          <w:szCs w:val="24"/>
        </w:rPr>
        <w:t xml:space="preserve"> had </w:t>
      </w:r>
      <w:r w:rsidR="0085092C" w:rsidRPr="00C27317">
        <w:rPr>
          <w:rFonts w:ascii="Times New Roman" w:hAnsi="Times New Roman" w:cs="Times New Roman"/>
          <w:i/>
          <w:iCs/>
          <w:sz w:val="24"/>
          <w:szCs w:val="24"/>
        </w:rPr>
        <w:t>an expectation</w:t>
      </w:r>
      <w:r w:rsidR="0085092C" w:rsidRPr="00C27317">
        <w:rPr>
          <w:rFonts w:ascii="Times New Roman" w:hAnsi="Times New Roman" w:cs="Times New Roman"/>
          <w:sz w:val="24"/>
          <w:szCs w:val="24"/>
        </w:rPr>
        <w:t xml:space="preserve"> that the Principal Group Companies would</w:t>
      </w:r>
      <w:r w:rsidR="00BE3A44" w:rsidRPr="00C27317">
        <w:rPr>
          <w:rFonts w:ascii="Times New Roman" w:hAnsi="Times New Roman" w:cs="Times New Roman"/>
          <w:sz w:val="24"/>
          <w:szCs w:val="24"/>
        </w:rPr>
        <w:t xml:space="preserve"> provide the relevant documents </w:t>
      </w:r>
      <w:r w:rsidR="00E51BD0" w:rsidRPr="00C27317">
        <w:rPr>
          <w:rFonts w:ascii="Times New Roman" w:hAnsi="Times New Roman" w:cs="Times New Roman"/>
          <w:sz w:val="24"/>
          <w:szCs w:val="24"/>
        </w:rPr>
        <w:t xml:space="preserve">under the </w:t>
      </w:r>
      <w:r w:rsidR="00BE3A44" w:rsidRPr="00C27317">
        <w:rPr>
          <w:rFonts w:ascii="Times New Roman" w:hAnsi="Times New Roman" w:cs="Times New Roman"/>
          <w:sz w:val="24"/>
          <w:szCs w:val="24"/>
        </w:rPr>
        <w:t xml:space="preserve">provisions of the </w:t>
      </w:r>
      <w:r w:rsidR="00E51BD0" w:rsidRPr="00C27317">
        <w:rPr>
          <w:rFonts w:ascii="Times New Roman" w:hAnsi="Times New Roman" w:cs="Times New Roman"/>
          <w:sz w:val="24"/>
          <w:szCs w:val="24"/>
        </w:rPr>
        <w:t>Evercore</w:t>
      </w:r>
      <w:r w:rsidR="009E36ED" w:rsidRPr="00C27317">
        <w:rPr>
          <w:rFonts w:ascii="Times New Roman" w:hAnsi="Times New Roman" w:cs="Times New Roman"/>
          <w:sz w:val="24"/>
          <w:szCs w:val="24"/>
        </w:rPr>
        <w:t xml:space="preserve"> Agreement</w:t>
      </w:r>
      <w:r w:rsidR="00870A5D" w:rsidRPr="00C27317">
        <w:rPr>
          <w:rFonts w:ascii="Times New Roman" w:hAnsi="Times New Roman" w:cs="Times New Roman"/>
          <w:sz w:val="24"/>
          <w:szCs w:val="24"/>
        </w:rPr>
        <w:t xml:space="preserve"> (</w:t>
      </w:r>
      <w:r w:rsidR="0030610B" w:rsidRPr="00C27317">
        <w:rPr>
          <w:rFonts w:ascii="Times New Roman" w:hAnsi="Times New Roman" w:cs="Times New Roman"/>
          <w:sz w:val="24"/>
          <w:szCs w:val="24"/>
        </w:rPr>
        <w:t xml:space="preserve">as explained in </w:t>
      </w:r>
      <w:r w:rsidR="00870A5D" w:rsidRPr="00C27317">
        <w:rPr>
          <w:rFonts w:ascii="Times New Roman" w:hAnsi="Times New Roman" w:cs="Times New Roman"/>
          <w:i/>
          <w:iCs/>
          <w:sz w:val="24"/>
          <w:szCs w:val="24"/>
        </w:rPr>
        <w:t>Lonrho</w:t>
      </w:r>
      <w:r w:rsidR="00870A5D" w:rsidRPr="00C27317">
        <w:rPr>
          <w:rFonts w:ascii="Times New Roman" w:hAnsi="Times New Roman" w:cs="Times New Roman"/>
          <w:sz w:val="24"/>
          <w:szCs w:val="24"/>
        </w:rPr>
        <w:t xml:space="preserve">, </w:t>
      </w:r>
      <w:r w:rsidR="00870A5D" w:rsidRPr="00C27317">
        <w:rPr>
          <w:rFonts w:ascii="Times New Roman" w:hAnsi="Times New Roman" w:cs="Times New Roman"/>
          <w:i/>
          <w:iCs/>
          <w:sz w:val="24"/>
          <w:szCs w:val="24"/>
        </w:rPr>
        <w:t xml:space="preserve">Schlumberger </w:t>
      </w:r>
      <w:r w:rsidR="00870A5D" w:rsidRPr="00C27317">
        <w:rPr>
          <w:rFonts w:ascii="Times New Roman" w:hAnsi="Times New Roman" w:cs="Times New Roman"/>
          <w:sz w:val="24"/>
          <w:szCs w:val="24"/>
        </w:rPr>
        <w:t xml:space="preserve">at [21], and </w:t>
      </w:r>
      <w:r w:rsidR="00870A5D" w:rsidRPr="00C27317">
        <w:rPr>
          <w:rFonts w:ascii="Times New Roman" w:hAnsi="Times New Roman" w:cs="Times New Roman"/>
          <w:i/>
          <w:iCs/>
          <w:sz w:val="24"/>
          <w:szCs w:val="24"/>
        </w:rPr>
        <w:t>Ardila</w:t>
      </w:r>
      <w:r w:rsidR="00870A5D" w:rsidRPr="00C27317">
        <w:rPr>
          <w:rFonts w:ascii="Times New Roman" w:hAnsi="Times New Roman" w:cs="Times New Roman"/>
          <w:sz w:val="24"/>
          <w:szCs w:val="24"/>
        </w:rPr>
        <w:t xml:space="preserve"> at [13]</w:t>
      </w:r>
      <w:r w:rsidR="001B31A2" w:rsidRPr="00C27317">
        <w:rPr>
          <w:rFonts w:ascii="Times New Roman" w:hAnsi="Times New Roman" w:cs="Times New Roman"/>
          <w:sz w:val="24"/>
          <w:szCs w:val="24"/>
        </w:rPr>
        <w:t>).</w:t>
      </w:r>
      <w:r w:rsidR="009E36ED" w:rsidRPr="00C27317">
        <w:rPr>
          <w:rFonts w:ascii="Times New Roman" w:hAnsi="Times New Roman" w:cs="Times New Roman"/>
          <w:sz w:val="24"/>
          <w:szCs w:val="24"/>
        </w:rPr>
        <w:t xml:space="preserve"> However, there is no evidence</w:t>
      </w:r>
      <w:r w:rsidR="007C4639" w:rsidRPr="00C27317">
        <w:rPr>
          <w:rFonts w:ascii="Times New Roman" w:hAnsi="Times New Roman" w:cs="Times New Roman"/>
          <w:sz w:val="24"/>
          <w:szCs w:val="24"/>
        </w:rPr>
        <w:t xml:space="preserve"> from the Principal Group Companies in relation to this issue at all.</w:t>
      </w:r>
      <w:r w:rsidR="0005514D" w:rsidRPr="00C27317">
        <w:rPr>
          <w:rFonts w:ascii="Times New Roman" w:hAnsi="Times New Roman" w:cs="Times New Roman"/>
          <w:sz w:val="24"/>
          <w:szCs w:val="24"/>
        </w:rPr>
        <w:t xml:space="preserve"> There is no evidence that the Principal Group Companies were asked to provide any information or documents</w:t>
      </w:r>
      <w:r w:rsidR="00B63582" w:rsidRPr="00C27317">
        <w:rPr>
          <w:rFonts w:ascii="Times New Roman" w:hAnsi="Times New Roman" w:cs="Times New Roman"/>
          <w:sz w:val="24"/>
          <w:szCs w:val="24"/>
        </w:rPr>
        <w:t xml:space="preserve"> pursuant to the Evercore Agreement</w:t>
      </w:r>
      <w:r w:rsidR="007E0963" w:rsidRPr="00C27317">
        <w:rPr>
          <w:rFonts w:ascii="Times New Roman" w:hAnsi="Times New Roman" w:cs="Times New Roman"/>
          <w:sz w:val="24"/>
          <w:szCs w:val="24"/>
        </w:rPr>
        <w:t xml:space="preserve"> or whether they</w:t>
      </w:r>
      <w:r w:rsidR="00195C59" w:rsidRPr="00C27317">
        <w:rPr>
          <w:rFonts w:ascii="Times New Roman" w:hAnsi="Times New Roman" w:cs="Times New Roman"/>
          <w:sz w:val="24"/>
          <w:szCs w:val="24"/>
        </w:rPr>
        <w:t xml:space="preserve"> in fact</w:t>
      </w:r>
      <w:r w:rsidR="007E0963" w:rsidRPr="00C27317">
        <w:rPr>
          <w:rFonts w:ascii="Times New Roman" w:hAnsi="Times New Roman" w:cs="Times New Roman"/>
          <w:sz w:val="24"/>
          <w:szCs w:val="24"/>
        </w:rPr>
        <w:t xml:space="preserve"> </w:t>
      </w:r>
      <w:r w:rsidR="00E412D1" w:rsidRPr="00C27317">
        <w:rPr>
          <w:rFonts w:ascii="Times New Roman" w:hAnsi="Times New Roman" w:cs="Times New Roman"/>
          <w:sz w:val="24"/>
          <w:szCs w:val="24"/>
        </w:rPr>
        <w:t xml:space="preserve">provided any information or documents to either the </w:t>
      </w:r>
      <w:r w:rsidR="00645F7F" w:rsidRPr="00C27317">
        <w:rPr>
          <w:rFonts w:ascii="Times New Roman" w:hAnsi="Times New Roman" w:cs="Times New Roman"/>
          <w:sz w:val="24"/>
          <w:szCs w:val="24"/>
        </w:rPr>
        <w:t>Company</w:t>
      </w:r>
      <w:r w:rsidR="00132739" w:rsidRPr="00C27317">
        <w:rPr>
          <w:rFonts w:ascii="Times New Roman" w:hAnsi="Times New Roman" w:cs="Times New Roman"/>
          <w:sz w:val="24"/>
          <w:szCs w:val="24"/>
        </w:rPr>
        <w:t xml:space="preserve"> or Evercore.</w:t>
      </w:r>
    </w:p>
    <w:p w14:paraId="53FFB5E1" w14:textId="77777777" w:rsidR="00132739" w:rsidRDefault="00132739" w:rsidP="00C467CE">
      <w:pPr>
        <w:tabs>
          <w:tab w:val="left" w:pos="6696"/>
        </w:tabs>
        <w:spacing w:before="120" w:line="360" w:lineRule="auto"/>
        <w:rPr>
          <w:rFonts w:ascii="Times New Roman" w:hAnsi="Times New Roman" w:cs="Times New Roman"/>
          <w:sz w:val="24"/>
          <w:szCs w:val="24"/>
        </w:rPr>
      </w:pPr>
    </w:p>
    <w:p w14:paraId="45BFC19B" w14:textId="25C16F16" w:rsidR="00A83604" w:rsidRDefault="00221740" w:rsidP="00906B94">
      <w:pPr>
        <w:tabs>
          <w:tab w:val="left" w:pos="6696"/>
        </w:tabs>
        <w:spacing w:before="120" w:line="360" w:lineRule="auto"/>
        <w:rPr>
          <w:rFonts w:ascii="Times New Roman" w:hAnsi="Times New Roman" w:cs="Times New Roman"/>
          <w:b/>
          <w:bCs/>
          <w:i/>
          <w:iCs/>
          <w:sz w:val="24"/>
          <w:szCs w:val="24"/>
        </w:rPr>
      </w:pPr>
      <w:r w:rsidRPr="00221740">
        <w:rPr>
          <w:rFonts w:ascii="Times New Roman" w:hAnsi="Times New Roman" w:cs="Times New Roman"/>
          <w:b/>
          <w:bCs/>
          <w:i/>
          <w:iCs/>
          <w:sz w:val="24"/>
          <w:szCs w:val="24"/>
        </w:rPr>
        <w:t>The Implementation Agreement</w:t>
      </w:r>
    </w:p>
    <w:p w14:paraId="47F65367" w14:textId="77777777" w:rsidR="00D73EF6" w:rsidRDefault="00D73EF6" w:rsidP="00906B94">
      <w:pPr>
        <w:tabs>
          <w:tab w:val="left" w:pos="6696"/>
        </w:tabs>
        <w:spacing w:before="120" w:line="360" w:lineRule="auto"/>
        <w:rPr>
          <w:rFonts w:ascii="Times New Roman" w:hAnsi="Times New Roman" w:cs="Times New Roman"/>
          <w:b/>
          <w:bCs/>
          <w:i/>
          <w:iCs/>
          <w:sz w:val="24"/>
          <w:szCs w:val="24"/>
        </w:rPr>
      </w:pPr>
    </w:p>
    <w:p w14:paraId="4AF9A5B1" w14:textId="75555AD7" w:rsidR="00DA4CBC" w:rsidRPr="00C27317" w:rsidRDefault="008406BA" w:rsidP="00FF2CBE">
      <w:pPr>
        <w:pStyle w:val="ListParagraph"/>
        <w:numPr>
          <w:ilvl w:val="0"/>
          <w:numId w:val="13"/>
        </w:numPr>
        <w:tabs>
          <w:tab w:val="left" w:pos="450"/>
        </w:tabs>
        <w:spacing w:before="120" w:line="360" w:lineRule="auto"/>
        <w:ind w:left="450" w:hanging="450"/>
        <w:jc w:val="both"/>
        <w:rPr>
          <w:rFonts w:ascii="Times New Roman" w:hAnsi="Times New Roman" w:cs="Times New Roman"/>
          <w:sz w:val="24"/>
          <w:szCs w:val="24"/>
        </w:rPr>
      </w:pPr>
      <w:r w:rsidRPr="00C27317">
        <w:rPr>
          <w:rFonts w:ascii="Times New Roman" w:hAnsi="Times New Roman" w:cs="Times New Roman"/>
          <w:sz w:val="24"/>
          <w:szCs w:val="24"/>
        </w:rPr>
        <w:t xml:space="preserve">The Implementation Agreement provided for the preparation by the </w:t>
      </w:r>
      <w:r w:rsidR="00645F7F" w:rsidRPr="00C27317">
        <w:rPr>
          <w:rFonts w:ascii="Times New Roman" w:hAnsi="Times New Roman" w:cs="Times New Roman"/>
          <w:sz w:val="24"/>
          <w:szCs w:val="24"/>
        </w:rPr>
        <w:t>Company</w:t>
      </w:r>
      <w:r w:rsidRPr="00C27317">
        <w:rPr>
          <w:rFonts w:ascii="Times New Roman" w:hAnsi="Times New Roman" w:cs="Times New Roman"/>
          <w:sz w:val="24"/>
          <w:szCs w:val="24"/>
        </w:rPr>
        <w:t xml:space="preserve"> of a “</w:t>
      </w:r>
      <w:r w:rsidRPr="00C27317">
        <w:rPr>
          <w:rFonts w:ascii="Times New Roman" w:hAnsi="Times New Roman" w:cs="Times New Roman"/>
          <w:i/>
          <w:iCs/>
          <w:sz w:val="24"/>
          <w:szCs w:val="24"/>
        </w:rPr>
        <w:t>Circular</w:t>
      </w:r>
      <w:r w:rsidRPr="00C27317">
        <w:rPr>
          <w:rFonts w:ascii="Times New Roman" w:hAnsi="Times New Roman" w:cs="Times New Roman"/>
          <w:sz w:val="24"/>
          <w:szCs w:val="24"/>
        </w:rPr>
        <w:t xml:space="preserve">” to be </w:t>
      </w:r>
      <w:r w:rsidR="00C81AC4" w:rsidRPr="00C27317">
        <w:rPr>
          <w:rFonts w:ascii="Times New Roman" w:hAnsi="Times New Roman" w:cs="Times New Roman"/>
          <w:sz w:val="24"/>
          <w:szCs w:val="24"/>
        </w:rPr>
        <w:t>dispatched</w:t>
      </w:r>
      <w:r w:rsidRPr="00C27317">
        <w:rPr>
          <w:rFonts w:ascii="Times New Roman" w:hAnsi="Times New Roman" w:cs="Times New Roman"/>
          <w:sz w:val="24"/>
          <w:szCs w:val="24"/>
        </w:rPr>
        <w:t xml:space="preserve"> to the shareholders of the </w:t>
      </w:r>
      <w:r w:rsidR="00645F7F" w:rsidRPr="00C27317">
        <w:rPr>
          <w:rFonts w:ascii="Times New Roman" w:hAnsi="Times New Roman" w:cs="Times New Roman"/>
          <w:sz w:val="24"/>
          <w:szCs w:val="24"/>
        </w:rPr>
        <w:t>Company</w:t>
      </w:r>
      <w:r w:rsidRPr="00C27317">
        <w:rPr>
          <w:rFonts w:ascii="Times New Roman" w:hAnsi="Times New Roman" w:cs="Times New Roman"/>
          <w:sz w:val="24"/>
          <w:szCs w:val="24"/>
        </w:rPr>
        <w:t xml:space="preserve"> in connection with the acquisition contemplated by the agreement, which would include within it various information as set out in the definition in clause 1.1. Clause 7.6 of the Implementation Agreement provided as follows:</w:t>
      </w:r>
    </w:p>
    <w:p w14:paraId="3033EFFB" w14:textId="34DB3CCF" w:rsidR="007569F0" w:rsidRDefault="008406BA" w:rsidP="00D20233">
      <w:pPr>
        <w:tabs>
          <w:tab w:val="left" w:pos="6696"/>
        </w:tabs>
        <w:spacing w:before="120" w:line="276" w:lineRule="auto"/>
        <w:ind w:left="720"/>
        <w:rPr>
          <w:rFonts w:ascii="Times New Roman" w:hAnsi="Times New Roman" w:cs="Times New Roman"/>
          <w:sz w:val="24"/>
          <w:szCs w:val="24"/>
        </w:rPr>
      </w:pPr>
      <w:r w:rsidRPr="000C27DC">
        <w:rPr>
          <w:rFonts w:ascii="Times New Roman" w:hAnsi="Times New Roman" w:cs="Times New Roman"/>
          <w:i/>
          <w:iCs/>
          <w:sz w:val="24"/>
          <w:szCs w:val="24"/>
        </w:rPr>
        <w:t xml:space="preserve">7.6 Provision of Information </w:t>
      </w:r>
    </w:p>
    <w:p w14:paraId="2E1FA067" w14:textId="1B897BB0" w:rsidR="008406BA" w:rsidRPr="008406BA" w:rsidRDefault="008406BA" w:rsidP="00D20233">
      <w:pPr>
        <w:tabs>
          <w:tab w:val="left" w:pos="6696"/>
        </w:tabs>
        <w:spacing w:before="120" w:line="276" w:lineRule="auto"/>
        <w:ind w:left="720"/>
        <w:rPr>
          <w:rFonts w:ascii="Times New Roman" w:hAnsi="Times New Roman" w:cs="Times New Roman"/>
          <w:sz w:val="24"/>
          <w:szCs w:val="24"/>
        </w:rPr>
      </w:pPr>
      <w:r w:rsidRPr="000C27DC">
        <w:rPr>
          <w:rFonts w:ascii="Times New Roman" w:hAnsi="Times New Roman" w:cs="Times New Roman"/>
          <w:i/>
          <w:iCs/>
          <w:sz w:val="24"/>
          <w:szCs w:val="24"/>
        </w:rPr>
        <w:t>Each party undertakes to provide as soon as reasonably practicable to the other all such information about itself, its Group and its directors as may be reasonably requested and which is required for the purpose of inclusion in the Circular or any other document required to implement the Acquisition and to provide all other assistance which may be reasonably required with the preparation of the Circular and such other documents including access to, and ensuring reasonable assistance is provided by, the relevant professional advisers</w:t>
      </w:r>
      <w:r w:rsidRPr="008406BA">
        <w:rPr>
          <w:rFonts w:ascii="Times New Roman" w:hAnsi="Times New Roman" w:cs="Times New Roman"/>
          <w:sz w:val="24"/>
          <w:szCs w:val="24"/>
        </w:rPr>
        <w:t>.</w:t>
      </w:r>
    </w:p>
    <w:p w14:paraId="0E596763" w14:textId="77777777" w:rsidR="008406BA" w:rsidRPr="008406BA" w:rsidRDefault="008406BA" w:rsidP="008406BA">
      <w:pPr>
        <w:tabs>
          <w:tab w:val="left" w:pos="6696"/>
        </w:tabs>
        <w:spacing w:before="120" w:line="360" w:lineRule="auto"/>
        <w:rPr>
          <w:rFonts w:ascii="Times New Roman" w:hAnsi="Times New Roman" w:cs="Times New Roman"/>
          <w:sz w:val="24"/>
          <w:szCs w:val="24"/>
        </w:rPr>
      </w:pPr>
    </w:p>
    <w:p w14:paraId="1880C87D" w14:textId="77777777" w:rsidR="00AD245D" w:rsidRPr="00C27317" w:rsidRDefault="008406BA" w:rsidP="00FF2CBE">
      <w:pPr>
        <w:pStyle w:val="ListParagraph"/>
        <w:numPr>
          <w:ilvl w:val="0"/>
          <w:numId w:val="13"/>
        </w:numPr>
        <w:tabs>
          <w:tab w:val="left" w:pos="450"/>
        </w:tabs>
        <w:spacing w:before="120" w:line="360" w:lineRule="auto"/>
        <w:rPr>
          <w:rFonts w:ascii="Times New Roman" w:hAnsi="Times New Roman" w:cs="Times New Roman"/>
          <w:sz w:val="24"/>
          <w:szCs w:val="24"/>
        </w:rPr>
      </w:pPr>
      <w:r w:rsidRPr="00C27317">
        <w:rPr>
          <w:rFonts w:ascii="Times New Roman" w:hAnsi="Times New Roman" w:cs="Times New Roman"/>
          <w:sz w:val="24"/>
          <w:szCs w:val="24"/>
        </w:rPr>
        <w:t>The term “Group” is defined in clause 1.1. of the Implementation Agreement as follows</w:t>
      </w:r>
      <w:r w:rsidR="004E3ABC" w:rsidRPr="00C27317">
        <w:rPr>
          <w:rFonts w:ascii="Times New Roman" w:hAnsi="Times New Roman" w:cs="Times New Roman"/>
          <w:sz w:val="24"/>
          <w:szCs w:val="24"/>
        </w:rPr>
        <w:t>:</w:t>
      </w:r>
    </w:p>
    <w:p w14:paraId="16CC1473" w14:textId="77F8A523" w:rsidR="004E3ABC" w:rsidRPr="00AD245D" w:rsidRDefault="00776BAD" w:rsidP="0004016D">
      <w:pPr>
        <w:tabs>
          <w:tab w:val="left" w:pos="6696"/>
        </w:tabs>
        <w:spacing w:before="120" w:line="276" w:lineRule="auto"/>
        <w:ind w:left="720"/>
        <w:rPr>
          <w:rFonts w:ascii="Times New Roman" w:hAnsi="Times New Roman" w:cs="Times New Roman"/>
          <w:sz w:val="24"/>
          <w:szCs w:val="24"/>
        </w:rPr>
      </w:pPr>
      <w:r w:rsidRPr="000C27DC">
        <w:rPr>
          <w:rFonts w:ascii="Times New Roman" w:hAnsi="Times New Roman" w:cs="Times New Roman"/>
          <w:i/>
          <w:iCs/>
          <w:sz w:val="24"/>
          <w:szCs w:val="24"/>
        </w:rPr>
        <w:t xml:space="preserve">"Group" means, in relation to any person, its subsidiaries, subsidiary undertakings, holding companies and parent undertakings and the subsidiaries and subsidiary undertakings of any such holding </w:t>
      </w:r>
      <w:r w:rsidR="00645F7F">
        <w:rPr>
          <w:rFonts w:ascii="Times New Roman" w:hAnsi="Times New Roman" w:cs="Times New Roman"/>
          <w:i/>
          <w:iCs/>
          <w:sz w:val="24"/>
          <w:szCs w:val="24"/>
        </w:rPr>
        <w:t>Company</w:t>
      </w:r>
      <w:r w:rsidRPr="000C27DC">
        <w:rPr>
          <w:rFonts w:ascii="Times New Roman" w:hAnsi="Times New Roman" w:cs="Times New Roman"/>
          <w:i/>
          <w:iCs/>
          <w:sz w:val="24"/>
          <w:szCs w:val="24"/>
        </w:rPr>
        <w:t xml:space="preserve"> or parent undertaking.</w:t>
      </w:r>
    </w:p>
    <w:p w14:paraId="64AC0317" w14:textId="77777777" w:rsidR="00A73F02" w:rsidRDefault="00A73F02" w:rsidP="000C27DC">
      <w:pPr>
        <w:tabs>
          <w:tab w:val="left" w:pos="6696"/>
        </w:tabs>
        <w:spacing w:before="120" w:line="360" w:lineRule="auto"/>
        <w:ind w:left="720"/>
        <w:rPr>
          <w:rFonts w:ascii="Times New Roman" w:hAnsi="Times New Roman" w:cs="Times New Roman"/>
          <w:i/>
          <w:iCs/>
          <w:sz w:val="24"/>
          <w:szCs w:val="24"/>
        </w:rPr>
      </w:pPr>
    </w:p>
    <w:p w14:paraId="2308B5C4" w14:textId="72979E49" w:rsidR="00A73F02" w:rsidRPr="00C27317" w:rsidRDefault="00A73F02" w:rsidP="00FF2CBE">
      <w:pPr>
        <w:pStyle w:val="ListParagraph"/>
        <w:numPr>
          <w:ilvl w:val="0"/>
          <w:numId w:val="13"/>
        </w:numPr>
        <w:tabs>
          <w:tab w:val="left" w:pos="450"/>
        </w:tabs>
        <w:spacing w:before="120" w:line="360" w:lineRule="auto"/>
        <w:ind w:left="450" w:hanging="450"/>
        <w:jc w:val="both"/>
        <w:rPr>
          <w:rFonts w:ascii="Times New Roman" w:hAnsi="Times New Roman" w:cs="Times New Roman"/>
          <w:sz w:val="24"/>
          <w:szCs w:val="24"/>
        </w:rPr>
      </w:pPr>
      <w:r w:rsidRPr="00C27317">
        <w:rPr>
          <w:rFonts w:ascii="Times New Roman" w:hAnsi="Times New Roman" w:cs="Times New Roman"/>
          <w:sz w:val="24"/>
          <w:szCs w:val="24"/>
        </w:rPr>
        <w:t xml:space="preserve">The </w:t>
      </w:r>
      <w:r w:rsidR="006C79DC" w:rsidRPr="00C27317">
        <w:rPr>
          <w:rFonts w:ascii="Times New Roman" w:hAnsi="Times New Roman" w:cs="Times New Roman"/>
          <w:sz w:val="24"/>
          <w:szCs w:val="24"/>
        </w:rPr>
        <w:t>Plaintiffs</w:t>
      </w:r>
      <w:r w:rsidRPr="00C27317">
        <w:rPr>
          <w:rFonts w:ascii="Times New Roman" w:hAnsi="Times New Roman" w:cs="Times New Roman"/>
          <w:sz w:val="24"/>
          <w:szCs w:val="24"/>
        </w:rPr>
        <w:t xml:space="preserve"> contend that</w:t>
      </w:r>
      <w:r w:rsidR="00D466C9" w:rsidRPr="00C27317">
        <w:rPr>
          <w:rFonts w:ascii="Times New Roman" w:hAnsi="Times New Roman" w:cs="Times New Roman"/>
          <w:sz w:val="24"/>
          <w:szCs w:val="24"/>
        </w:rPr>
        <w:t xml:space="preserve"> these provisions sh</w:t>
      </w:r>
      <w:r w:rsidR="008E058D" w:rsidRPr="00C27317">
        <w:rPr>
          <w:rFonts w:ascii="Times New Roman" w:hAnsi="Times New Roman" w:cs="Times New Roman"/>
          <w:sz w:val="24"/>
          <w:szCs w:val="24"/>
        </w:rPr>
        <w:t>ow</w:t>
      </w:r>
      <w:r w:rsidR="00D466C9" w:rsidRPr="00C27317">
        <w:rPr>
          <w:rFonts w:ascii="Times New Roman" w:hAnsi="Times New Roman" w:cs="Times New Roman"/>
          <w:sz w:val="24"/>
          <w:szCs w:val="24"/>
        </w:rPr>
        <w:t xml:space="preserve"> that the </w:t>
      </w:r>
      <w:r w:rsidR="00645F7F" w:rsidRPr="00C27317">
        <w:rPr>
          <w:rFonts w:ascii="Times New Roman" w:hAnsi="Times New Roman" w:cs="Times New Roman"/>
          <w:sz w:val="24"/>
          <w:szCs w:val="24"/>
        </w:rPr>
        <w:t>Company</w:t>
      </w:r>
      <w:r w:rsidR="00D466C9" w:rsidRPr="00C27317">
        <w:rPr>
          <w:rFonts w:ascii="Times New Roman" w:hAnsi="Times New Roman" w:cs="Times New Roman"/>
          <w:sz w:val="24"/>
          <w:szCs w:val="24"/>
        </w:rPr>
        <w:t xml:space="preserve">’s board was content to undertake to provide information about both itself and its subsidiaries, amongst others, which was required for inclusion in the Circular and to facilitate obtaining assistance from professional advisors (such as Evercore). </w:t>
      </w:r>
      <w:r w:rsidR="0056105C" w:rsidRPr="00C27317">
        <w:rPr>
          <w:rFonts w:ascii="Times New Roman" w:hAnsi="Times New Roman" w:cs="Times New Roman"/>
          <w:sz w:val="24"/>
          <w:szCs w:val="24"/>
        </w:rPr>
        <w:t>It is submitted</w:t>
      </w:r>
      <w:r w:rsidR="00C06015" w:rsidRPr="00C27317">
        <w:rPr>
          <w:rFonts w:ascii="Times New Roman" w:hAnsi="Times New Roman" w:cs="Times New Roman"/>
          <w:sz w:val="24"/>
          <w:szCs w:val="24"/>
        </w:rPr>
        <w:t>,</w:t>
      </w:r>
      <w:r w:rsidR="0056105C" w:rsidRPr="00C27317">
        <w:rPr>
          <w:rFonts w:ascii="Times New Roman" w:hAnsi="Times New Roman" w:cs="Times New Roman"/>
          <w:sz w:val="24"/>
          <w:szCs w:val="24"/>
        </w:rPr>
        <w:t xml:space="preserve"> on behalf of the </w:t>
      </w:r>
      <w:r w:rsidR="0074634A" w:rsidRPr="00C27317">
        <w:rPr>
          <w:rFonts w:ascii="Times New Roman" w:hAnsi="Times New Roman" w:cs="Times New Roman"/>
          <w:sz w:val="24"/>
          <w:szCs w:val="24"/>
        </w:rPr>
        <w:t>Plaintiffs</w:t>
      </w:r>
      <w:r w:rsidR="00C06015" w:rsidRPr="00C27317">
        <w:rPr>
          <w:rFonts w:ascii="Times New Roman" w:hAnsi="Times New Roman" w:cs="Times New Roman"/>
          <w:sz w:val="24"/>
          <w:szCs w:val="24"/>
        </w:rPr>
        <w:t>,</w:t>
      </w:r>
      <w:r w:rsidR="0056105C" w:rsidRPr="00C27317">
        <w:rPr>
          <w:rFonts w:ascii="Times New Roman" w:hAnsi="Times New Roman" w:cs="Times New Roman"/>
          <w:sz w:val="24"/>
          <w:szCs w:val="24"/>
        </w:rPr>
        <w:t xml:space="preserve"> </w:t>
      </w:r>
      <w:r w:rsidR="00C06015" w:rsidRPr="00C27317">
        <w:rPr>
          <w:rFonts w:ascii="Times New Roman" w:hAnsi="Times New Roman" w:cs="Times New Roman"/>
          <w:sz w:val="24"/>
          <w:szCs w:val="24"/>
        </w:rPr>
        <w:t>t</w:t>
      </w:r>
      <w:r w:rsidR="00D466C9" w:rsidRPr="00C27317">
        <w:rPr>
          <w:rFonts w:ascii="Times New Roman" w:hAnsi="Times New Roman" w:cs="Times New Roman"/>
          <w:sz w:val="24"/>
          <w:szCs w:val="24"/>
        </w:rPr>
        <w:t xml:space="preserve">hat </w:t>
      </w:r>
      <w:r w:rsidR="00A26A3C" w:rsidRPr="00C27317">
        <w:rPr>
          <w:rFonts w:ascii="Times New Roman" w:hAnsi="Times New Roman" w:cs="Times New Roman"/>
          <w:sz w:val="24"/>
          <w:szCs w:val="24"/>
        </w:rPr>
        <w:t xml:space="preserve">it is </w:t>
      </w:r>
      <w:r w:rsidR="00D466C9" w:rsidRPr="00C27317">
        <w:rPr>
          <w:rFonts w:ascii="Times New Roman" w:hAnsi="Times New Roman" w:cs="Times New Roman"/>
          <w:sz w:val="24"/>
          <w:szCs w:val="24"/>
        </w:rPr>
        <w:t xml:space="preserve">clear that the </w:t>
      </w:r>
      <w:r w:rsidR="00645F7F" w:rsidRPr="00C27317">
        <w:rPr>
          <w:rFonts w:ascii="Times New Roman" w:hAnsi="Times New Roman" w:cs="Times New Roman"/>
          <w:sz w:val="24"/>
          <w:szCs w:val="24"/>
        </w:rPr>
        <w:t>Company</w:t>
      </w:r>
      <w:r w:rsidR="00D466C9" w:rsidRPr="00C27317">
        <w:rPr>
          <w:rFonts w:ascii="Times New Roman" w:hAnsi="Times New Roman" w:cs="Times New Roman"/>
          <w:sz w:val="24"/>
          <w:szCs w:val="24"/>
        </w:rPr>
        <w:t>’s board believed that, in practice, it had access to such information.</w:t>
      </w:r>
    </w:p>
    <w:p w14:paraId="1D6DC3AC" w14:textId="77777777" w:rsidR="00FC2143" w:rsidRDefault="00FC2143" w:rsidP="00D466C9">
      <w:pPr>
        <w:tabs>
          <w:tab w:val="left" w:pos="6696"/>
        </w:tabs>
        <w:spacing w:before="120" w:line="360" w:lineRule="auto"/>
        <w:rPr>
          <w:rFonts w:ascii="Times New Roman" w:hAnsi="Times New Roman" w:cs="Times New Roman"/>
          <w:sz w:val="24"/>
          <w:szCs w:val="24"/>
        </w:rPr>
      </w:pPr>
    </w:p>
    <w:p w14:paraId="2EF60A0B" w14:textId="283889B9" w:rsidR="005323EC" w:rsidRPr="00C27317" w:rsidRDefault="006F64C6" w:rsidP="00FF2CBE">
      <w:pPr>
        <w:pStyle w:val="ListParagraph"/>
        <w:numPr>
          <w:ilvl w:val="0"/>
          <w:numId w:val="13"/>
        </w:numPr>
        <w:tabs>
          <w:tab w:val="left" w:pos="450"/>
        </w:tabs>
        <w:spacing w:before="120" w:line="360" w:lineRule="auto"/>
        <w:ind w:left="450" w:hanging="450"/>
        <w:jc w:val="both"/>
        <w:rPr>
          <w:rFonts w:ascii="Times New Roman" w:hAnsi="Times New Roman" w:cs="Times New Roman"/>
          <w:sz w:val="24"/>
          <w:szCs w:val="24"/>
        </w:rPr>
      </w:pPr>
      <w:r w:rsidRPr="00C27317">
        <w:rPr>
          <w:rFonts w:ascii="Times New Roman" w:hAnsi="Times New Roman" w:cs="Times New Roman"/>
          <w:sz w:val="24"/>
          <w:szCs w:val="24"/>
        </w:rPr>
        <w:t xml:space="preserve">The Implementation </w:t>
      </w:r>
      <w:r w:rsidR="008B50C3" w:rsidRPr="00C27317">
        <w:rPr>
          <w:rFonts w:ascii="Times New Roman" w:hAnsi="Times New Roman" w:cs="Times New Roman"/>
          <w:sz w:val="24"/>
          <w:szCs w:val="24"/>
        </w:rPr>
        <w:t>A</w:t>
      </w:r>
      <w:r w:rsidRPr="00C27317">
        <w:rPr>
          <w:rFonts w:ascii="Times New Roman" w:hAnsi="Times New Roman" w:cs="Times New Roman"/>
          <w:sz w:val="24"/>
          <w:szCs w:val="24"/>
        </w:rPr>
        <w:t>greement</w:t>
      </w:r>
      <w:r w:rsidR="008B50C3" w:rsidRPr="00C27317">
        <w:rPr>
          <w:rFonts w:ascii="Times New Roman" w:hAnsi="Times New Roman" w:cs="Times New Roman"/>
          <w:sz w:val="24"/>
          <w:szCs w:val="24"/>
        </w:rPr>
        <w:t xml:space="preserve"> is an agreement between Jardine Matheson and the </w:t>
      </w:r>
      <w:r w:rsidR="00645F7F" w:rsidRPr="00C27317">
        <w:rPr>
          <w:rFonts w:ascii="Times New Roman" w:hAnsi="Times New Roman" w:cs="Times New Roman"/>
          <w:sz w:val="24"/>
          <w:szCs w:val="24"/>
        </w:rPr>
        <w:t>Company</w:t>
      </w:r>
      <w:r w:rsidR="008B50C3" w:rsidRPr="00C27317">
        <w:rPr>
          <w:rFonts w:ascii="Times New Roman" w:hAnsi="Times New Roman" w:cs="Times New Roman"/>
          <w:sz w:val="24"/>
          <w:szCs w:val="24"/>
        </w:rPr>
        <w:t xml:space="preserve">. </w:t>
      </w:r>
      <w:r w:rsidRPr="00C27317">
        <w:rPr>
          <w:rFonts w:ascii="Times New Roman" w:hAnsi="Times New Roman" w:cs="Times New Roman"/>
          <w:sz w:val="24"/>
          <w:szCs w:val="24"/>
        </w:rPr>
        <w:t xml:space="preserve"> </w:t>
      </w:r>
      <w:r w:rsidR="00881DE4" w:rsidRPr="00C27317">
        <w:rPr>
          <w:rFonts w:ascii="Times New Roman" w:hAnsi="Times New Roman" w:cs="Times New Roman"/>
          <w:sz w:val="24"/>
          <w:szCs w:val="24"/>
        </w:rPr>
        <w:t>In the Court’s view, the</w:t>
      </w:r>
      <w:r w:rsidR="00E9100E" w:rsidRPr="00C27317">
        <w:rPr>
          <w:rFonts w:ascii="Times New Roman" w:hAnsi="Times New Roman" w:cs="Times New Roman"/>
          <w:sz w:val="24"/>
          <w:szCs w:val="24"/>
        </w:rPr>
        <w:t xml:space="preserve"> Implementation Agreement, like the Evercore Agreement,</w:t>
      </w:r>
      <w:r w:rsidR="001E21B9" w:rsidRPr="00C27317">
        <w:rPr>
          <w:rFonts w:ascii="Times New Roman" w:hAnsi="Times New Roman" w:cs="Times New Roman"/>
          <w:sz w:val="24"/>
          <w:szCs w:val="24"/>
        </w:rPr>
        <w:t xml:space="preserve"> does </w:t>
      </w:r>
      <w:r w:rsidR="00DE4E58" w:rsidRPr="00C27317">
        <w:rPr>
          <w:rFonts w:ascii="Times New Roman" w:hAnsi="Times New Roman" w:cs="Times New Roman"/>
          <w:sz w:val="24"/>
          <w:szCs w:val="24"/>
        </w:rPr>
        <w:t>not, establish</w:t>
      </w:r>
      <w:r w:rsidR="005323EC" w:rsidRPr="00C27317">
        <w:rPr>
          <w:rFonts w:ascii="Times New Roman" w:hAnsi="Times New Roman" w:cs="Times New Roman"/>
          <w:sz w:val="24"/>
          <w:szCs w:val="24"/>
        </w:rPr>
        <w:t xml:space="preserve"> that there was an arrangement or understanding between the </w:t>
      </w:r>
      <w:r w:rsidR="00645F7F" w:rsidRPr="00C27317">
        <w:rPr>
          <w:rFonts w:ascii="Times New Roman" w:hAnsi="Times New Roman" w:cs="Times New Roman"/>
          <w:sz w:val="24"/>
          <w:szCs w:val="24"/>
        </w:rPr>
        <w:t>Company</w:t>
      </w:r>
      <w:r w:rsidR="005323EC" w:rsidRPr="00C27317">
        <w:rPr>
          <w:rFonts w:ascii="Times New Roman" w:hAnsi="Times New Roman" w:cs="Times New Roman"/>
          <w:sz w:val="24"/>
          <w:szCs w:val="24"/>
        </w:rPr>
        <w:t xml:space="preserve"> and the Principal Group Companies providing to the </w:t>
      </w:r>
      <w:r w:rsidR="00645F7F" w:rsidRPr="00C27317">
        <w:rPr>
          <w:rFonts w:ascii="Times New Roman" w:hAnsi="Times New Roman" w:cs="Times New Roman"/>
          <w:sz w:val="24"/>
          <w:szCs w:val="24"/>
        </w:rPr>
        <w:t>Company</w:t>
      </w:r>
      <w:r w:rsidR="005323EC" w:rsidRPr="00C27317">
        <w:rPr>
          <w:rFonts w:ascii="Times New Roman" w:hAnsi="Times New Roman" w:cs="Times New Roman"/>
          <w:sz w:val="24"/>
          <w:szCs w:val="24"/>
        </w:rPr>
        <w:t xml:space="preserve"> free </w:t>
      </w:r>
      <w:r w:rsidR="0046491B" w:rsidRPr="00C27317">
        <w:rPr>
          <w:rFonts w:ascii="Times New Roman" w:hAnsi="Times New Roman" w:cs="Times New Roman"/>
          <w:sz w:val="24"/>
          <w:szCs w:val="24"/>
        </w:rPr>
        <w:t>or</w:t>
      </w:r>
      <w:r w:rsidR="005323EC" w:rsidRPr="00C27317">
        <w:rPr>
          <w:rFonts w:ascii="Times New Roman" w:hAnsi="Times New Roman" w:cs="Times New Roman"/>
          <w:sz w:val="24"/>
          <w:szCs w:val="24"/>
        </w:rPr>
        <w:t xml:space="preserve"> unfettered access to the</w:t>
      </w:r>
      <w:r w:rsidR="005B7C63" w:rsidRPr="00C27317">
        <w:rPr>
          <w:rFonts w:ascii="Times New Roman" w:hAnsi="Times New Roman" w:cs="Times New Roman"/>
          <w:sz w:val="24"/>
          <w:szCs w:val="24"/>
        </w:rPr>
        <w:t xml:space="preserve"> documents of</w:t>
      </w:r>
      <w:r w:rsidR="005323EC" w:rsidRPr="00C27317">
        <w:rPr>
          <w:rFonts w:ascii="Times New Roman" w:hAnsi="Times New Roman" w:cs="Times New Roman"/>
          <w:sz w:val="24"/>
          <w:szCs w:val="24"/>
        </w:rPr>
        <w:t xml:space="preserve"> </w:t>
      </w:r>
      <w:r w:rsidR="005B7C63" w:rsidRPr="00C27317">
        <w:rPr>
          <w:rFonts w:ascii="Times New Roman" w:hAnsi="Times New Roman" w:cs="Times New Roman"/>
          <w:sz w:val="24"/>
          <w:szCs w:val="24"/>
        </w:rPr>
        <w:t xml:space="preserve">the </w:t>
      </w:r>
      <w:r w:rsidR="005323EC" w:rsidRPr="00C27317">
        <w:rPr>
          <w:rFonts w:ascii="Times New Roman" w:hAnsi="Times New Roman" w:cs="Times New Roman"/>
          <w:sz w:val="24"/>
          <w:szCs w:val="24"/>
        </w:rPr>
        <w:t>Principal Group Companies.</w:t>
      </w:r>
      <w:r w:rsidR="004C55AC" w:rsidRPr="00C27317">
        <w:rPr>
          <w:rFonts w:ascii="Times New Roman" w:hAnsi="Times New Roman" w:cs="Times New Roman"/>
          <w:sz w:val="24"/>
          <w:szCs w:val="24"/>
        </w:rPr>
        <w:t xml:space="preserve"> </w:t>
      </w:r>
      <w:r w:rsidR="005323EC" w:rsidRPr="00C27317">
        <w:rPr>
          <w:rFonts w:ascii="Times New Roman" w:hAnsi="Times New Roman" w:cs="Times New Roman"/>
          <w:sz w:val="24"/>
          <w:szCs w:val="24"/>
        </w:rPr>
        <w:t xml:space="preserve">The Court accepts that the </w:t>
      </w:r>
      <w:r w:rsidR="00645F7F" w:rsidRPr="00C27317">
        <w:rPr>
          <w:rFonts w:ascii="Times New Roman" w:hAnsi="Times New Roman" w:cs="Times New Roman"/>
          <w:sz w:val="24"/>
          <w:szCs w:val="24"/>
        </w:rPr>
        <w:t>Company</w:t>
      </w:r>
      <w:r w:rsidR="005323EC" w:rsidRPr="00C27317">
        <w:rPr>
          <w:rFonts w:ascii="Times New Roman" w:hAnsi="Times New Roman" w:cs="Times New Roman"/>
          <w:sz w:val="24"/>
          <w:szCs w:val="24"/>
        </w:rPr>
        <w:t xml:space="preserve"> had an</w:t>
      </w:r>
      <w:r w:rsidR="005323EC" w:rsidRPr="00C27317">
        <w:rPr>
          <w:rFonts w:ascii="Times New Roman" w:hAnsi="Times New Roman" w:cs="Times New Roman"/>
          <w:i/>
          <w:iCs/>
          <w:sz w:val="24"/>
          <w:szCs w:val="24"/>
        </w:rPr>
        <w:t xml:space="preserve"> expectation</w:t>
      </w:r>
      <w:r w:rsidR="005323EC" w:rsidRPr="00C27317">
        <w:rPr>
          <w:rFonts w:ascii="Times New Roman" w:hAnsi="Times New Roman" w:cs="Times New Roman"/>
          <w:sz w:val="24"/>
          <w:szCs w:val="24"/>
        </w:rPr>
        <w:t xml:space="preserve"> that the Principal Group Companies would </w:t>
      </w:r>
      <w:r w:rsidR="00726C85" w:rsidRPr="00C27317">
        <w:rPr>
          <w:rFonts w:ascii="Times New Roman" w:hAnsi="Times New Roman" w:cs="Times New Roman"/>
          <w:sz w:val="24"/>
          <w:szCs w:val="24"/>
        </w:rPr>
        <w:t>provide any relevant documents under the</w:t>
      </w:r>
      <w:r w:rsidR="005C4529" w:rsidRPr="00C27317">
        <w:rPr>
          <w:rFonts w:ascii="Times New Roman" w:hAnsi="Times New Roman" w:cs="Times New Roman"/>
          <w:sz w:val="24"/>
          <w:szCs w:val="24"/>
        </w:rPr>
        <w:t xml:space="preserve"> narrow scope of the</w:t>
      </w:r>
      <w:r w:rsidR="00726C85" w:rsidRPr="00C27317">
        <w:rPr>
          <w:rFonts w:ascii="Times New Roman" w:hAnsi="Times New Roman" w:cs="Times New Roman"/>
          <w:sz w:val="24"/>
          <w:szCs w:val="24"/>
        </w:rPr>
        <w:t xml:space="preserve"> Implementation Agreement</w:t>
      </w:r>
      <w:r w:rsidR="005323EC" w:rsidRPr="00C27317">
        <w:rPr>
          <w:rFonts w:ascii="Times New Roman" w:hAnsi="Times New Roman" w:cs="Times New Roman"/>
          <w:sz w:val="24"/>
          <w:szCs w:val="24"/>
        </w:rPr>
        <w:t xml:space="preserve">. However, there is no evidence from the Principal Group Companies in relation to this issue at all. There is no evidence that the Principal Group Companies were asked to provide any information or documents pursuant to the </w:t>
      </w:r>
      <w:r w:rsidR="00DE4E58" w:rsidRPr="00C27317">
        <w:rPr>
          <w:rFonts w:ascii="Times New Roman" w:hAnsi="Times New Roman" w:cs="Times New Roman"/>
          <w:sz w:val="24"/>
          <w:szCs w:val="24"/>
        </w:rPr>
        <w:t>Implementation</w:t>
      </w:r>
      <w:r w:rsidR="005323EC" w:rsidRPr="00C27317">
        <w:rPr>
          <w:rFonts w:ascii="Times New Roman" w:hAnsi="Times New Roman" w:cs="Times New Roman"/>
          <w:sz w:val="24"/>
          <w:szCs w:val="24"/>
        </w:rPr>
        <w:t xml:space="preserve"> Agreement or whether</w:t>
      </w:r>
      <w:r w:rsidR="00DE4E58" w:rsidRPr="00C27317">
        <w:rPr>
          <w:rFonts w:ascii="Times New Roman" w:hAnsi="Times New Roman" w:cs="Times New Roman"/>
          <w:sz w:val="24"/>
          <w:szCs w:val="24"/>
        </w:rPr>
        <w:t xml:space="preserve"> in fact</w:t>
      </w:r>
      <w:r w:rsidR="005323EC" w:rsidRPr="00C27317">
        <w:rPr>
          <w:rFonts w:ascii="Times New Roman" w:hAnsi="Times New Roman" w:cs="Times New Roman"/>
          <w:sz w:val="24"/>
          <w:szCs w:val="24"/>
        </w:rPr>
        <w:t xml:space="preserve"> they provided any information or </w:t>
      </w:r>
      <w:r w:rsidR="00834AB7" w:rsidRPr="00C27317">
        <w:rPr>
          <w:rFonts w:ascii="Times New Roman" w:hAnsi="Times New Roman" w:cs="Times New Roman"/>
          <w:sz w:val="24"/>
          <w:szCs w:val="24"/>
        </w:rPr>
        <w:t>documents either</w:t>
      </w:r>
      <w:r w:rsidR="005323EC" w:rsidRPr="00C27317">
        <w:rPr>
          <w:rFonts w:ascii="Times New Roman" w:hAnsi="Times New Roman" w:cs="Times New Roman"/>
          <w:sz w:val="24"/>
          <w:szCs w:val="24"/>
        </w:rPr>
        <w:t xml:space="preserve"> </w:t>
      </w:r>
      <w:r w:rsidR="005C4529" w:rsidRPr="00C27317">
        <w:rPr>
          <w:rFonts w:ascii="Times New Roman" w:hAnsi="Times New Roman" w:cs="Times New Roman"/>
          <w:sz w:val="24"/>
          <w:szCs w:val="24"/>
        </w:rPr>
        <w:t xml:space="preserve">to </w:t>
      </w:r>
      <w:r w:rsidR="005323EC" w:rsidRPr="00C27317">
        <w:rPr>
          <w:rFonts w:ascii="Times New Roman" w:hAnsi="Times New Roman" w:cs="Times New Roman"/>
          <w:sz w:val="24"/>
          <w:szCs w:val="24"/>
        </w:rPr>
        <w:t xml:space="preserve">the </w:t>
      </w:r>
      <w:r w:rsidR="00645F7F" w:rsidRPr="00C27317">
        <w:rPr>
          <w:rFonts w:ascii="Times New Roman" w:hAnsi="Times New Roman" w:cs="Times New Roman"/>
          <w:sz w:val="24"/>
          <w:szCs w:val="24"/>
        </w:rPr>
        <w:t>Company</w:t>
      </w:r>
      <w:r w:rsidR="005323EC" w:rsidRPr="00C27317">
        <w:rPr>
          <w:rFonts w:ascii="Times New Roman" w:hAnsi="Times New Roman" w:cs="Times New Roman"/>
          <w:sz w:val="24"/>
          <w:szCs w:val="24"/>
        </w:rPr>
        <w:t xml:space="preserve"> or </w:t>
      </w:r>
      <w:r w:rsidR="00DE4E58" w:rsidRPr="00C27317">
        <w:rPr>
          <w:rFonts w:ascii="Times New Roman" w:hAnsi="Times New Roman" w:cs="Times New Roman"/>
          <w:sz w:val="24"/>
          <w:szCs w:val="24"/>
        </w:rPr>
        <w:t>Jardine Matheson</w:t>
      </w:r>
      <w:r w:rsidR="005323EC" w:rsidRPr="00C27317">
        <w:rPr>
          <w:rFonts w:ascii="Times New Roman" w:hAnsi="Times New Roman" w:cs="Times New Roman"/>
          <w:sz w:val="24"/>
          <w:szCs w:val="24"/>
        </w:rPr>
        <w:t>.</w:t>
      </w:r>
    </w:p>
    <w:p w14:paraId="3FECD69C" w14:textId="77777777" w:rsidR="00961F00" w:rsidRDefault="00961F00" w:rsidP="005323EC">
      <w:pPr>
        <w:tabs>
          <w:tab w:val="left" w:pos="6696"/>
        </w:tabs>
        <w:spacing w:before="120" w:line="360" w:lineRule="auto"/>
        <w:rPr>
          <w:rFonts w:ascii="Times New Roman" w:hAnsi="Times New Roman" w:cs="Times New Roman"/>
          <w:sz w:val="24"/>
          <w:szCs w:val="24"/>
        </w:rPr>
      </w:pPr>
    </w:p>
    <w:p w14:paraId="0E58B9EF" w14:textId="19AD1D84" w:rsidR="00961F00" w:rsidRPr="00C27317" w:rsidRDefault="00B703EF" w:rsidP="00FF2CBE">
      <w:pPr>
        <w:pStyle w:val="ListParagraph"/>
        <w:numPr>
          <w:ilvl w:val="0"/>
          <w:numId w:val="13"/>
        </w:numPr>
        <w:tabs>
          <w:tab w:val="left" w:pos="450"/>
        </w:tabs>
        <w:spacing w:before="120" w:line="360" w:lineRule="auto"/>
        <w:ind w:left="450" w:hanging="450"/>
        <w:jc w:val="both"/>
        <w:rPr>
          <w:rFonts w:ascii="Times New Roman" w:hAnsi="Times New Roman" w:cs="Times New Roman"/>
          <w:sz w:val="24"/>
          <w:szCs w:val="24"/>
        </w:rPr>
      </w:pPr>
      <w:r w:rsidRPr="00C27317">
        <w:rPr>
          <w:rFonts w:ascii="Times New Roman" w:hAnsi="Times New Roman" w:cs="Times New Roman"/>
          <w:sz w:val="24"/>
          <w:szCs w:val="24"/>
        </w:rPr>
        <w:t>Further, the Court accepts Mr Moore KC’s submission that the Plaintiff’s case appears to be that both</w:t>
      </w:r>
      <w:r w:rsidR="00EA4B70" w:rsidRPr="00C27317">
        <w:rPr>
          <w:rFonts w:ascii="Times New Roman" w:hAnsi="Times New Roman" w:cs="Times New Roman"/>
          <w:sz w:val="24"/>
          <w:szCs w:val="24"/>
        </w:rPr>
        <w:t xml:space="preserve"> the </w:t>
      </w:r>
      <w:r w:rsidR="00645F7F" w:rsidRPr="00C27317">
        <w:rPr>
          <w:rFonts w:ascii="Times New Roman" w:hAnsi="Times New Roman" w:cs="Times New Roman"/>
          <w:sz w:val="24"/>
          <w:szCs w:val="24"/>
        </w:rPr>
        <w:t>Company</w:t>
      </w:r>
      <w:r w:rsidR="00EA4B70" w:rsidRPr="00C27317">
        <w:rPr>
          <w:rFonts w:ascii="Times New Roman" w:hAnsi="Times New Roman" w:cs="Times New Roman"/>
          <w:sz w:val="24"/>
          <w:szCs w:val="24"/>
        </w:rPr>
        <w:t xml:space="preserve"> </w:t>
      </w:r>
      <w:r w:rsidR="00EA4B70" w:rsidRPr="00C27317">
        <w:rPr>
          <w:rFonts w:ascii="Times New Roman" w:hAnsi="Times New Roman" w:cs="Times New Roman"/>
          <w:sz w:val="24"/>
          <w:szCs w:val="24"/>
          <w:u w:val="single"/>
        </w:rPr>
        <w:t>and</w:t>
      </w:r>
      <w:r w:rsidR="00EA4B70" w:rsidRPr="00C27317">
        <w:rPr>
          <w:rFonts w:ascii="Times New Roman" w:hAnsi="Times New Roman" w:cs="Times New Roman"/>
          <w:sz w:val="24"/>
          <w:szCs w:val="24"/>
        </w:rPr>
        <w:t xml:space="preserve"> Jardine Matheson have free access to the documents of the Principal Group Companies</w:t>
      </w:r>
      <w:r w:rsidR="00682989" w:rsidRPr="00C27317">
        <w:rPr>
          <w:rFonts w:ascii="Times New Roman" w:hAnsi="Times New Roman" w:cs="Times New Roman"/>
          <w:sz w:val="24"/>
          <w:szCs w:val="24"/>
        </w:rPr>
        <w:t xml:space="preserve"> and as such there is no obvious reason</w:t>
      </w:r>
      <w:r w:rsidR="000C2A00" w:rsidRPr="00C27317">
        <w:rPr>
          <w:rFonts w:ascii="Times New Roman" w:hAnsi="Times New Roman" w:cs="Times New Roman"/>
          <w:sz w:val="24"/>
          <w:szCs w:val="24"/>
        </w:rPr>
        <w:t xml:space="preserve"> why</w:t>
      </w:r>
      <w:r w:rsidR="00882436" w:rsidRPr="00C27317">
        <w:rPr>
          <w:rFonts w:ascii="Times New Roman" w:hAnsi="Times New Roman" w:cs="Times New Roman"/>
          <w:sz w:val="24"/>
          <w:szCs w:val="24"/>
        </w:rPr>
        <w:t xml:space="preserve"> Jardine Matheson</w:t>
      </w:r>
      <w:r w:rsidR="00AE4769" w:rsidRPr="00C27317">
        <w:rPr>
          <w:rFonts w:ascii="Times New Roman" w:hAnsi="Times New Roman" w:cs="Times New Roman"/>
          <w:sz w:val="24"/>
          <w:szCs w:val="24"/>
        </w:rPr>
        <w:t xml:space="preserve"> would be requesting, pursuant to the </w:t>
      </w:r>
      <w:r w:rsidR="00882436" w:rsidRPr="00C27317">
        <w:rPr>
          <w:rFonts w:ascii="Times New Roman" w:hAnsi="Times New Roman" w:cs="Times New Roman"/>
          <w:sz w:val="24"/>
          <w:szCs w:val="24"/>
        </w:rPr>
        <w:t>I</w:t>
      </w:r>
      <w:r w:rsidR="00AE4769" w:rsidRPr="00C27317">
        <w:rPr>
          <w:rFonts w:ascii="Times New Roman" w:hAnsi="Times New Roman" w:cs="Times New Roman"/>
          <w:sz w:val="24"/>
          <w:szCs w:val="24"/>
        </w:rPr>
        <w:t xml:space="preserve">mplementation </w:t>
      </w:r>
      <w:r w:rsidR="00882436" w:rsidRPr="00C27317">
        <w:rPr>
          <w:rFonts w:ascii="Times New Roman" w:hAnsi="Times New Roman" w:cs="Times New Roman"/>
          <w:sz w:val="24"/>
          <w:szCs w:val="24"/>
        </w:rPr>
        <w:t>A</w:t>
      </w:r>
      <w:r w:rsidR="00AE4769" w:rsidRPr="00C27317">
        <w:rPr>
          <w:rFonts w:ascii="Times New Roman" w:hAnsi="Times New Roman" w:cs="Times New Roman"/>
          <w:sz w:val="24"/>
          <w:szCs w:val="24"/>
        </w:rPr>
        <w:t xml:space="preserve">greement, documents from the </w:t>
      </w:r>
      <w:r w:rsidR="00645F7F" w:rsidRPr="00C27317">
        <w:rPr>
          <w:rFonts w:ascii="Times New Roman" w:hAnsi="Times New Roman" w:cs="Times New Roman"/>
          <w:sz w:val="24"/>
          <w:szCs w:val="24"/>
        </w:rPr>
        <w:t>Company</w:t>
      </w:r>
      <w:r w:rsidR="00AE4769" w:rsidRPr="00C27317">
        <w:rPr>
          <w:rFonts w:ascii="Times New Roman" w:hAnsi="Times New Roman" w:cs="Times New Roman"/>
          <w:sz w:val="24"/>
          <w:szCs w:val="24"/>
        </w:rPr>
        <w:t xml:space="preserve"> which, on the Plaintiffs’ case, it already had.</w:t>
      </w:r>
    </w:p>
    <w:p w14:paraId="386F05AA" w14:textId="77777777" w:rsidR="00882436" w:rsidRDefault="00882436" w:rsidP="005323EC">
      <w:pPr>
        <w:tabs>
          <w:tab w:val="left" w:pos="6696"/>
        </w:tabs>
        <w:spacing w:before="120" w:line="360" w:lineRule="auto"/>
        <w:rPr>
          <w:rFonts w:ascii="Times New Roman" w:hAnsi="Times New Roman" w:cs="Times New Roman"/>
          <w:sz w:val="24"/>
          <w:szCs w:val="24"/>
        </w:rPr>
      </w:pPr>
    </w:p>
    <w:p w14:paraId="266973D9" w14:textId="1DFBD907" w:rsidR="00882436" w:rsidRDefault="003A10BE" w:rsidP="00FF2CBE">
      <w:pPr>
        <w:pStyle w:val="ListParagraph"/>
        <w:numPr>
          <w:ilvl w:val="0"/>
          <w:numId w:val="8"/>
        </w:numPr>
        <w:tabs>
          <w:tab w:val="left" w:pos="6696"/>
        </w:tabs>
        <w:spacing w:before="120" w:line="360" w:lineRule="auto"/>
        <w:rPr>
          <w:rFonts w:ascii="Times New Roman" w:hAnsi="Times New Roman" w:cs="Times New Roman"/>
          <w:b/>
          <w:bCs/>
          <w:i/>
          <w:iCs/>
          <w:sz w:val="24"/>
          <w:szCs w:val="24"/>
        </w:rPr>
      </w:pPr>
      <w:r w:rsidRPr="00512E0A">
        <w:rPr>
          <w:rFonts w:ascii="Times New Roman" w:hAnsi="Times New Roman" w:cs="Times New Roman"/>
          <w:b/>
          <w:bCs/>
          <w:i/>
          <w:iCs/>
          <w:sz w:val="24"/>
          <w:szCs w:val="24"/>
        </w:rPr>
        <w:t xml:space="preserve"> </w:t>
      </w:r>
      <w:r w:rsidR="00984620">
        <w:rPr>
          <w:rFonts w:ascii="Times New Roman" w:hAnsi="Times New Roman" w:cs="Times New Roman"/>
          <w:b/>
          <w:bCs/>
          <w:i/>
          <w:iCs/>
          <w:sz w:val="24"/>
          <w:szCs w:val="24"/>
        </w:rPr>
        <w:t>T</w:t>
      </w:r>
      <w:r w:rsidRPr="00512E0A">
        <w:rPr>
          <w:rFonts w:ascii="Times New Roman" w:hAnsi="Times New Roman" w:cs="Times New Roman"/>
          <w:b/>
          <w:bCs/>
          <w:i/>
          <w:iCs/>
          <w:sz w:val="24"/>
          <w:szCs w:val="24"/>
        </w:rPr>
        <w:t xml:space="preserve">he </w:t>
      </w:r>
      <w:r w:rsidR="00971459">
        <w:rPr>
          <w:rFonts w:ascii="Times New Roman" w:hAnsi="Times New Roman" w:cs="Times New Roman"/>
          <w:b/>
          <w:bCs/>
          <w:i/>
          <w:iCs/>
          <w:sz w:val="24"/>
          <w:szCs w:val="24"/>
        </w:rPr>
        <w:t>Defendants</w:t>
      </w:r>
      <w:r w:rsidR="003C341C">
        <w:rPr>
          <w:rFonts w:ascii="Times New Roman" w:hAnsi="Times New Roman" w:cs="Times New Roman"/>
          <w:b/>
          <w:bCs/>
          <w:i/>
          <w:iCs/>
          <w:sz w:val="24"/>
          <w:szCs w:val="24"/>
        </w:rPr>
        <w:t>’</w:t>
      </w:r>
      <w:r w:rsidRPr="00512E0A">
        <w:rPr>
          <w:rFonts w:ascii="Times New Roman" w:hAnsi="Times New Roman" w:cs="Times New Roman"/>
          <w:b/>
          <w:bCs/>
          <w:i/>
          <w:iCs/>
          <w:sz w:val="24"/>
          <w:szCs w:val="24"/>
        </w:rPr>
        <w:t xml:space="preserve"> position at the Directions Hearing</w:t>
      </w:r>
    </w:p>
    <w:p w14:paraId="6D03330B" w14:textId="77777777" w:rsidR="00512E0A" w:rsidRDefault="00512E0A" w:rsidP="00512E0A">
      <w:pPr>
        <w:tabs>
          <w:tab w:val="left" w:pos="6696"/>
        </w:tabs>
        <w:spacing w:before="120" w:line="360" w:lineRule="auto"/>
        <w:rPr>
          <w:rFonts w:ascii="Times New Roman" w:hAnsi="Times New Roman" w:cs="Times New Roman"/>
          <w:b/>
          <w:bCs/>
          <w:i/>
          <w:iCs/>
          <w:sz w:val="24"/>
          <w:szCs w:val="24"/>
        </w:rPr>
      </w:pPr>
    </w:p>
    <w:p w14:paraId="5F0F7540" w14:textId="58DC24F7" w:rsidR="00512E0A" w:rsidRPr="00C27317" w:rsidRDefault="00023A4A" w:rsidP="00FF2CBE">
      <w:pPr>
        <w:pStyle w:val="ListParagraph"/>
        <w:numPr>
          <w:ilvl w:val="0"/>
          <w:numId w:val="13"/>
        </w:numPr>
        <w:tabs>
          <w:tab w:val="left" w:pos="450"/>
        </w:tabs>
        <w:spacing w:before="120" w:line="360" w:lineRule="auto"/>
        <w:ind w:left="450" w:hanging="450"/>
        <w:jc w:val="both"/>
        <w:rPr>
          <w:rFonts w:ascii="Times New Roman" w:hAnsi="Times New Roman" w:cs="Times New Roman"/>
          <w:sz w:val="24"/>
          <w:szCs w:val="24"/>
        </w:rPr>
      </w:pPr>
      <w:r w:rsidRPr="00C27317">
        <w:rPr>
          <w:rFonts w:ascii="Times New Roman" w:hAnsi="Times New Roman" w:cs="Times New Roman"/>
          <w:sz w:val="24"/>
          <w:szCs w:val="24"/>
        </w:rPr>
        <w:t>The Plaintiffs complain about the inconsistency of the</w:t>
      </w:r>
      <w:r w:rsidR="005854CA" w:rsidRPr="00C27317">
        <w:rPr>
          <w:rFonts w:ascii="Times New Roman" w:hAnsi="Times New Roman" w:cs="Times New Roman"/>
          <w:sz w:val="24"/>
          <w:szCs w:val="24"/>
        </w:rPr>
        <w:t xml:space="preserve"> representations made by the </w:t>
      </w:r>
      <w:r w:rsidR="003C341C" w:rsidRPr="00C27317">
        <w:rPr>
          <w:rFonts w:ascii="Times New Roman" w:hAnsi="Times New Roman" w:cs="Times New Roman"/>
          <w:sz w:val="24"/>
          <w:szCs w:val="24"/>
        </w:rPr>
        <w:t>Defendants</w:t>
      </w:r>
      <w:r w:rsidR="005854CA" w:rsidRPr="00C27317">
        <w:rPr>
          <w:rFonts w:ascii="Times New Roman" w:hAnsi="Times New Roman" w:cs="Times New Roman"/>
          <w:sz w:val="24"/>
          <w:szCs w:val="24"/>
        </w:rPr>
        <w:t xml:space="preserve"> at the Directions Hearing and the position taken now in relation to the PCP issue. The Plaintiffs point out that the</w:t>
      </w:r>
      <w:r w:rsidR="00D201B0" w:rsidRPr="00C27317">
        <w:rPr>
          <w:rFonts w:ascii="Times New Roman" w:hAnsi="Times New Roman" w:cs="Times New Roman"/>
          <w:sz w:val="24"/>
          <w:szCs w:val="24"/>
        </w:rPr>
        <w:t xml:space="preserve"> </w:t>
      </w:r>
      <w:r w:rsidR="003C341C" w:rsidRPr="00C27317">
        <w:rPr>
          <w:rFonts w:ascii="Times New Roman" w:hAnsi="Times New Roman" w:cs="Times New Roman"/>
          <w:sz w:val="24"/>
          <w:szCs w:val="24"/>
        </w:rPr>
        <w:t>Defendants</w:t>
      </w:r>
      <w:r w:rsidR="00BE2048" w:rsidRPr="00C27317">
        <w:rPr>
          <w:rFonts w:ascii="Times New Roman" w:hAnsi="Times New Roman" w:cs="Times New Roman"/>
          <w:sz w:val="24"/>
          <w:szCs w:val="24"/>
        </w:rPr>
        <w:t>’</w:t>
      </w:r>
      <w:r w:rsidR="00D201B0" w:rsidRPr="00C27317">
        <w:rPr>
          <w:rFonts w:ascii="Times New Roman" w:hAnsi="Times New Roman" w:cs="Times New Roman"/>
          <w:sz w:val="24"/>
          <w:szCs w:val="24"/>
        </w:rPr>
        <w:t xml:space="preserve"> submission at the Directions hearing was that a general discovery would be wholly disproportionate and unmanageable given the size of the Group. At </w:t>
      </w:r>
      <w:r w:rsidR="007425EC" w:rsidRPr="00C27317">
        <w:rPr>
          <w:rFonts w:ascii="Times New Roman" w:hAnsi="Times New Roman" w:cs="Times New Roman"/>
          <w:sz w:val="24"/>
          <w:szCs w:val="24"/>
        </w:rPr>
        <w:t xml:space="preserve">the Directions Hearing </w:t>
      </w:r>
      <w:r w:rsidR="00BE2048" w:rsidRPr="00C27317">
        <w:rPr>
          <w:rFonts w:ascii="Times New Roman" w:hAnsi="Times New Roman" w:cs="Times New Roman"/>
          <w:sz w:val="24"/>
          <w:szCs w:val="24"/>
        </w:rPr>
        <w:t>Defendants’</w:t>
      </w:r>
      <w:r w:rsidR="007425EC" w:rsidRPr="00C27317">
        <w:rPr>
          <w:rFonts w:ascii="Times New Roman" w:hAnsi="Times New Roman" w:cs="Times New Roman"/>
          <w:sz w:val="24"/>
          <w:szCs w:val="24"/>
        </w:rPr>
        <w:t xml:space="preserve"> counsel submitted that: “</w:t>
      </w:r>
      <w:r w:rsidR="00743A9C" w:rsidRPr="00C27317">
        <w:rPr>
          <w:rFonts w:ascii="Times New Roman" w:hAnsi="Times New Roman" w:cs="Times New Roman"/>
          <w:sz w:val="24"/>
          <w:szCs w:val="24"/>
        </w:rPr>
        <w:t>…</w:t>
      </w:r>
      <w:r w:rsidR="00743A9C" w:rsidRPr="00C27317">
        <w:rPr>
          <w:rFonts w:ascii="Times New Roman" w:hAnsi="Times New Roman" w:cs="Times New Roman"/>
          <w:i/>
          <w:iCs/>
          <w:sz w:val="24"/>
          <w:szCs w:val="24"/>
        </w:rPr>
        <w:t xml:space="preserve"> the idea</w:t>
      </w:r>
      <w:r w:rsidR="0002299F" w:rsidRPr="00C27317">
        <w:rPr>
          <w:rFonts w:ascii="Times New Roman" w:hAnsi="Times New Roman" w:cs="Times New Roman"/>
          <w:i/>
          <w:iCs/>
          <w:sz w:val="24"/>
          <w:szCs w:val="24"/>
        </w:rPr>
        <w:t xml:space="preserve"> that it is going to be remotely useful to have to look at 35 million documents for the purpose of a fair value appraisal of the </w:t>
      </w:r>
      <w:r w:rsidR="00645F7F" w:rsidRPr="00C27317">
        <w:rPr>
          <w:rFonts w:ascii="Times New Roman" w:hAnsi="Times New Roman" w:cs="Times New Roman"/>
          <w:i/>
          <w:iCs/>
          <w:sz w:val="24"/>
          <w:szCs w:val="24"/>
        </w:rPr>
        <w:t>Company</w:t>
      </w:r>
      <w:r w:rsidR="0002299F" w:rsidRPr="00C27317">
        <w:rPr>
          <w:rFonts w:ascii="Times New Roman" w:hAnsi="Times New Roman" w:cs="Times New Roman"/>
          <w:i/>
          <w:iCs/>
          <w:sz w:val="24"/>
          <w:szCs w:val="24"/>
        </w:rPr>
        <w:t xml:space="preserve"> right- well, not right at all but one under the top of the group is really, well, quite extraordinary</w:t>
      </w:r>
      <w:r w:rsidR="0002299F" w:rsidRPr="00C27317">
        <w:rPr>
          <w:rFonts w:ascii="Times New Roman" w:hAnsi="Times New Roman" w:cs="Times New Roman"/>
          <w:sz w:val="24"/>
          <w:szCs w:val="24"/>
        </w:rPr>
        <w:t>.”</w:t>
      </w:r>
    </w:p>
    <w:p w14:paraId="0E2AFBD2" w14:textId="77777777" w:rsidR="004818FC" w:rsidRDefault="004818FC" w:rsidP="0002299F">
      <w:pPr>
        <w:tabs>
          <w:tab w:val="left" w:pos="6696"/>
        </w:tabs>
        <w:spacing w:before="120" w:line="360" w:lineRule="auto"/>
        <w:rPr>
          <w:rFonts w:ascii="Times New Roman" w:hAnsi="Times New Roman" w:cs="Times New Roman"/>
          <w:sz w:val="24"/>
          <w:szCs w:val="24"/>
        </w:rPr>
      </w:pPr>
    </w:p>
    <w:p w14:paraId="2C2C7A45" w14:textId="11392FDC" w:rsidR="004818FC" w:rsidRPr="00C27317" w:rsidRDefault="004818FC" w:rsidP="00FF2CBE">
      <w:pPr>
        <w:pStyle w:val="ListParagraph"/>
        <w:numPr>
          <w:ilvl w:val="0"/>
          <w:numId w:val="13"/>
        </w:numPr>
        <w:tabs>
          <w:tab w:val="left" w:pos="450"/>
        </w:tabs>
        <w:spacing w:before="120" w:line="360" w:lineRule="auto"/>
        <w:ind w:left="450" w:hanging="450"/>
        <w:jc w:val="both"/>
        <w:rPr>
          <w:rFonts w:ascii="Times New Roman" w:hAnsi="Times New Roman" w:cs="Times New Roman"/>
          <w:sz w:val="24"/>
          <w:szCs w:val="24"/>
        </w:rPr>
      </w:pPr>
      <w:r w:rsidRPr="00C27317">
        <w:rPr>
          <w:rFonts w:ascii="Times New Roman" w:hAnsi="Times New Roman" w:cs="Times New Roman"/>
          <w:sz w:val="24"/>
          <w:szCs w:val="24"/>
        </w:rPr>
        <w:t xml:space="preserve">The Plaintiffs point out that the </w:t>
      </w:r>
      <w:r w:rsidR="00BE2048" w:rsidRPr="00C27317">
        <w:rPr>
          <w:rFonts w:ascii="Times New Roman" w:hAnsi="Times New Roman" w:cs="Times New Roman"/>
          <w:sz w:val="24"/>
          <w:szCs w:val="24"/>
        </w:rPr>
        <w:t>Defendants have</w:t>
      </w:r>
      <w:r w:rsidRPr="00C27317">
        <w:rPr>
          <w:rFonts w:ascii="Times New Roman" w:hAnsi="Times New Roman" w:cs="Times New Roman"/>
          <w:sz w:val="24"/>
          <w:szCs w:val="24"/>
        </w:rPr>
        <w:t xml:space="preserve"> no</w:t>
      </w:r>
      <w:r w:rsidR="00A270FF" w:rsidRPr="00C27317">
        <w:rPr>
          <w:rFonts w:ascii="Times New Roman" w:hAnsi="Times New Roman" w:cs="Times New Roman"/>
          <w:sz w:val="24"/>
          <w:szCs w:val="24"/>
        </w:rPr>
        <w:t>w</w:t>
      </w:r>
      <w:r w:rsidRPr="00C27317">
        <w:rPr>
          <w:rFonts w:ascii="Times New Roman" w:hAnsi="Times New Roman" w:cs="Times New Roman"/>
          <w:sz w:val="24"/>
          <w:szCs w:val="24"/>
        </w:rPr>
        <w:t xml:space="preserve"> taken the position</w:t>
      </w:r>
      <w:r w:rsidR="000A480F" w:rsidRPr="00C27317">
        <w:rPr>
          <w:rFonts w:ascii="Times New Roman" w:hAnsi="Times New Roman" w:cs="Times New Roman"/>
          <w:sz w:val="24"/>
          <w:szCs w:val="24"/>
        </w:rPr>
        <w:t xml:space="preserve"> in this litigation that </w:t>
      </w:r>
      <w:r w:rsidR="002E4883" w:rsidRPr="00C27317">
        <w:rPr>
          <w:rFonts w:ascii="Times New Roman" w:hAnsi="Times New Roman" w:cs="Times New Roman"/>
          <w:sz w:val="24"/>
          <w:szCs w:val="24"/>
        </w:rPr>
        <w:t>they are</w:t>
      </w:r>
      <w:r w:rsidR="000A480F" w:rsidRPr="00C27317">
        <w:rPr>
          <w:rFonts w:ascii="Times New Roman" w:hAnsi="Times New Roman" w:cs="Times New Roman"/>
          <w:sz w:val="24"/>
          <w:szCs w:val="24"/>
        </w:rPr>
        <w:t xml:space="preserve"> not able to disclose the documents held by any of the Principal Group Companies because they are not within </w:t>
      </w:r>
      <w:r w:rsidR="002E4883" w:rsidRPr="00C27317">
        <w:rPr>
          <w:rFonts w:ascii="Times New Roman" w:hAnsi="Times New Roman" w:cs="Times New Roman"/>
          <w:sz w:val="24"/>
          <w:szCs w:val="24"/>
        </w:rPr>
        <w:t>their</w:t>
      </w:r>
      <w:r w:rsidR="000A480F" w:rsidRPr="00C27317">
        <w:rPr>
          <w:rFonts w:ascii="Times New Roman" w:hAnsi="Times New Roman" w:cs="Times New Roman"/>
          <w:sz w:val="24"/>
          <w:szCs w:val="24"/>
        </w:rPr>
        <w:t xml:space="preserve"> possession, custody, or power. The</w:t>
      </w:r>
      <w:r w:rsidR="00C52CD6" w:rsidRPr="00C27317">
        <w:rPr>
          <w:rFonts w:ascii="Times New Roman" w:hAnsi="Times New Roman" w:cs="Times New Roman"/>
          <w:sz w:val="24"/>
          <w:szCs w:val="24"/>
        </w:rPr>
        <w:t xml:space="preserve"> </w:t>
      </w:r>
      <w:r w:rsidR="002E4883" w:rsidRPr="00C27317">
        <w:rPr>
          <w:rFonts w:ascii="Times New Roman" w:hAnsi="Times New Roman" w:cs="Times New Roman"/>
          <w:sz w:val="24"/>
          <w:szCs w:val="24"/>
        </w:rPr>
        <w:t>Defendants’</w:t>
      </w:r>
      <w:r w:rsidR="00C52CD6" w:rsidRPr="00C27317">
        <w:rPr>
          <w:rFonts w:ascii="Times New Roman" w:hAnsi="Times New Roman" w:cs="Times New Roman"/>
          <w:sz w:val="24"/>
          <w:szCs w:val="24"/>
        </w:rPr>
        <w:t xml:space="preserve"> case</w:t>
      </w:r>
      <w:r w:rsidR="000A480F" w:rsidRPr="00C27317">
        <w:rPr>
          <w:rFonts w:ascii="Times New Roman" w:hAnsi="Times New Roman" w:cs="Times New Roman"/>
          <w:sz w:val="24"/>
          <w:szCs w:val="24"/>
        </w:rPr>
        <w:t xml:space="preserve"> is </w:t>
      </w:r>
      <w:r w:rsidR="004D2CF1" w:rsidRPr="00C27317">
        <w:rPr>
          <w:rFonts w:ascii="Times New Roman" w:hAnsi="Times New Roman" w:cs="Times New Roman"/>
          <w:sz w:val="24"/>
          <w:szCs w:val="24"/>
        </w:rPr>
        <w:t xml:space="preserve">that there is </w:t>
      </w:r>
      <w:r w:rsidR="000A480F" w:rsidRPr="00C27317">
        <w:rPr>
          <w:rFonts w:ascii="Times New Roman" w:hAnsi="Times New Roman" w:cs="Times New Roman"/>
          <w:sz w:val="24"/>
          <w:szCs w:val="24"/>
        </w:rPr>
        <w:t xml:space="preserve">no understanding or arrangement that makes such documents disclosable by </w:t>
      </w:r>
      <w:r w:rsidR="002E4883" w:rsidRPr="00C27317">
        <w:rPr>
          <w:rFonts w:ascii="Times New Roman" w:hAnsi="Times New Roman" w:cs="Times New Roman"/>
          <w:sz w:val="24"/>
          <w:szCs w:val="24"/>
        </w:rPr>
        <w:t>them</w:t>
      </w:r>
      <w:r w:rsidR="000A480F" w:rsidRPr="00C27317">
        <w:rPr>
          <w:rFonts w:ascii="Times New Roman" w:hAnsi="Times New Roman" w:cs="Times New Roman"/>
          <w:sz w:val="24"/>
          <w:szCs w:val="24"/>
        </w:rPr>
        <w:t>. The</w:t>
      </w:r>
      <w:r w:rsidR="006E0178" w:rsidRPr="00C27317">
        <w:rPr>
          <w:rFonts w:ascii="Times New Roman" w:hAnsi="Times New Roman" w:cs="Times New Roman"/>
          <w:sz w:val="24"/>
          <w:szCs w:val="24"/>
        </w:rPr>
        <w:t xml:space="preserve"> </w:t>
      </w:r>
      <w:r w:rsidR="006D602C" w:rsidRPr="00C27317">
        <w:rPr>
          <w:rFonts w:ascii="Times New Roman" w:hAnsi="Times New Roman" w:cs="Times New Roman"/>
          <w:sz w:val="24"/>
          <w:szCs w:val="24"/>
        </w:rPr>
        <w:t>Defendants</w:t>
      </w:r>
      <w:r w:rsidR="006E0178" w:rsidRPr="00C27317">
        <w:rPr>
          <w:rFonts w:ascii="Times New Roman" w:hAnsi="Times New Roman" w:cs="Times New Roman"/>
          <w:sz w:val="24"/>
          <w:szCs w:val="24"/>
        </w:rPr>
        <w:t xml:space="preserve"> maintain</w:t>
      </w:r>
      <w:r w:rsidR="000A480F" w:rsidRPr="00C27317">
        <w:rPr>
          <w:rFonts w:ascii="Times New Roman" w:hAnsi="Times New Roman" w:cs="Times New Roman"/>
          <w:sz w:val="24"/>
          <w:szCs w:val="24"/>
        </w:rPr>
        <w:t xml:space="preserve"> that nothing </w:t>
      </w:r>
      <w:r w:rsidR="006D602C" w:rsidRPr="00C27317">
        <w:rPr>
          <w:rFonts w:ascii="Times New Roman" w:hAnsi="Times New Roman" w:cs="Times New Roman"/>
          <w:sz w:val="24"/>
          <w:szCs w:val="24"/>
        </w:rPr>
        <w:t>they have</w:t>
      </w:r>
      <w:r w:rsidR="000A480F" w:rsidRPr="00C27317">
        <w:rPr>
          <w:rFonts w:ascii="Times New Roman" w:hAnsi="Times New Roman" w:cs="Times New Roman"/>
          <w:sz w:val="24"/>
          <w:szCs w:val="24"/>
        </w:rPr>
        <w:t xml:space="preserve"> ever said suggests </w:t>
      </w:r>
      <w:r w:rsidR="00661841" w:rsidRPr="00C27317">
        <w:rPr>
          <w:rFonts w:ascii="Times New Roman" w:hAnsi="Times New Roman" w:cs="Times New Roman"/>
          <w:sz w:val="24"/>
          <w:szCs w:val="24"/>
        </w:rPr>
        <w:t xml:space="preserve">that </w:t>
      </w:r>
      <w:r w:rsidR="006D602C" w:rsidRPr="00C27317">
        <w:rPr>
          <w:rFonts w:ascii="Times New Roman" w:hAnsi="Times New Roman" w:cs="Times New Roman"/>
          <w:sz w:val="24"/>
          <w:szCs w:val="24"/>
        </w:rPr>
        <w:t>they have</w:t>
      </w:r>
      <w:r w:rsidR="000A480F" w:rsidRPr="00C27317">
        <w:rPr>
          <w:rFonts w:ascii="Times New Roman" w:hAnsi="Times New Roman" w:cs="Times New Roman"/>
          <w:sz w:val="24"/>
          <w:szCs w:val="24"/>
        </w:rPr>
        <w:t xml:space="preserve"> ever accepted there was such an understanding or arrangement. </w:t>
      </w:r>
      <w:r w:rsidR="00114CDF" w:rsidRPr="00C27317">
        <w:rPr>
          <w:rFonts w:ascii="Times New Roman" w:hAnsi="Times New Roman" w:cs="Times New Roman"/>
          <w:sz w:val="24"/>
          <w:szCs w:val="24"/>
        </w:rPr>
        <w:t>The Plaintiffs complain that this raises the question as to how the</w:t>
      </w:r>
      <w:r w:rsidR="0033133A" w:rsidRPr="00C27317">
        <w:rPr>
          <w:rFonts w:ascii="Times New Roman" w:hAnsi="Times New Roman" w:cs="Times New Roman"/>
          <w:sz w:val="24"/>
          <w:szCs w:val="24"/>
        </w:rPr>
        <w:t xml:space="preserve"> Defendants were</w:t>
      </w:r>
      <w:r w:rsidR="00114CDF" w:rsidRPr="00C27317">
        <w:rPr>
          <w:rFonts w:ascii="Times New Roman" w:hAnsi="Times New Roman" w:cs="Times New Roman"/>
          <w:sz w:val="24"/>
          <w:szCs w:val="24"/>
        </w:rPr>
        <w:t xml:space="preserve"> able to represent to the Court at the Directions Hearing</w:t>
      </w:r>
      <w:r w:rsidR="00920763" w:rsidRPr="00C27317">
        <w:rPr>
          <w:rFonts w:ascii="Times New Roman" w:hAnsi="Times New Roman" w:cs="Times New Roman"/>
          <w:sz w:val="24"/>
          <w:szCs w:val="24"/>
        </w:rPr>
        <w:t xml:space="preserve"> that the discovery application would involve 35 million documents.</w:t>
      </w:r>
    </w:p>
    <w:p w14:paraId="09B9C9D2" w14:textId="77777777" w:rsidR="00920763" w:rsidRDefault="00920763" w:rsidP="000A480F">
      <w:pPr>
        <w:tabs>
          <w:tab w:val="left" w:pos="6696"/>
        </w:tabs>
        <w:spacing w:before="120" w:line="360" w:lineRule="auto"/>
        <w:rPr>
          <w:rFonts w:ascii="Times New Roman" w:hAnsi="Times New Roman" w:cs="Times New Roman"/>
          <w:sz w:val="24"/>
          <w:szCs w:val="24"/>
        </w:rPr>
      </w:pPr>
    </w:p>
    <w:p w14:paraId="4AA24EF9" w14:textId="651009CC" w:rsidR="00920763" w:rsidRPr="00C27317" w:rsidRDefault="003B1D36" w:rsidP="00FF2CBE">
      <w:pPr>
        <w:pStyle w:val="ListParagraph"/>
        <w:numPr>
          <w:ilvl w:val="0"/>
          <w:numId w:val="13"/>
        </w:numPr>
        <w:tabs>
          <w:tab w:val="left" w:pos="450"/>
        </w:tabs>
        <w:spacing w:before="120" w:line="360" w:lineRule="auto"/>
        <w:ind w:left="450" w:hanging="450"/>
        <w:jc w:val="both"/>
        <w:rPr>
          <w:rFonts w:ascii="Times New Roman" w:hAnsi="Times New Roman" w:cs="Times New Roman"/>
          <w:sz w:val="24"/>
          <w:szCs w:val="24"/>
        </w:rPr>
      </w:pPr>
      <w:r w:rsidRPr="00C27317">
        <w:rPr>
          <w:rFonts w:ascii="Times New Roman" w:hAnsi="Times New Roman" w:cs="Times New Roman"/>
          <w:sz w:val="24"/>
          <w:szCs w:val="24"/>
        </w:rPr>
        <w:t>The Plaintiffs acknowledge</w:t>
      </w:r>
      <w:r w:rsidR="000C1729" w:rsidRPr="00C27317">
        <w:rPr>
          <w:rFonts w:ascii="Times New Roman" w:hAnsi="Times New Roman" w:cs="Times New Roman"/>
          <w:sz w:val="24"/>
          <w:szCs w:val="24"/>
        </w:rPr>
        <w:t xml:space="preserve"> that the</w:t>
      </w:r>
      <w:r w:rsidR="0033133A" w:rsidRPr="00C27317">
        <w:rPr>
          <w:rFonts w:ascii="Times New Roman" w:hAnsi="Times New Roman" w:cs="Times New Roman"/>
          <w:sz w:val="24"/>
          <w:szCs w:val="24"/>
        </w:rPr>
        <w:t xml:space="preserve"> Defendants</w:t>
      </w:r>
      <w:r w:rsidR="000C1729" w:rsidRPr="00C27317">
        <w:rPr>
          <w:rFonts w:ascii="Times New Roman" w:hAnsi="Times New Roman" w:cs="Times New Roman"/>
          <w:sz w:val="24"/>
          <w:szCs w:val="24"/>
        </w:rPr>
        <w:t xml:space="preserve"> did make it clear in argument at the Directions Hearing that there remained</w:t>
      </w:r>
      <w:r w:rsidR="00417A56" w:rsidRPr="00C27317">
        <w:rPr>
          <w:rFonts w:ascii="Times New Roman" w:hAnsi="Times New Roman" w:cs="Times New Roman"/>
          <w:sz w:val="24"/>
          <w:szCs w:val="24"/>
        </w:rPr>
        <w:t xml:space="preserve"> a possession, custody and power issue, at least as regards certain information. </w:t>
      </w:r>
      <w:r w:rsidR="006341A0" w:rsidRPr="00C27317">
        <w:rPr>
          <w:rFonts w:ascii="Times New Roman" w:hAnsi="Times New Roman" w:cs="Times New Roman"/>
          <w:sz w:val="24"/>
          <w:szCs w:val="24"/>
        </w:rPr>
        <w:t>Indeed,</w:t>
      </w:r>
      <w:r w:rsidR="00417A56" w:rsidRPr="00C27317">
        <w:rPr>
          <w:rFonts w:ascii="Times New Roman" w:hAnsi="Times New Roman" w:cs="Times New Roman"/>
          <w:sz w:val="24"/>
          <w:szCs w:val="24"/>
        </w:rPr>
        <w:t xml:space="preserve"> Mr Parr made clear in Parr 3</w:t>
      </w:r>
      <w:r w:rsidR="00F378B8" w:rsidRPr="00C27317">
        <w:rPr>
          <w:rFonts w:ascii="Times New Roman" w:hAnsi="Times New Roman" w:cs="Times New Roman"/>
          <w:sz w:val="24"/>
          <w:szCs w:val="24"/>
        </w:rPr>
        <w:t xml:space="preserve"> that the </w:t>
      </w:r>
      <w:r w:rsidR="00534FCE" w:rsidRPr="00C27317">
        <w:rPr>
          <w:rFonts w:ascii="Times New Roman" w:hAnsi="Times New Roman" w:cs="Times New Roman"/>
          <w:sz w:val="24"/>
          <w:szCs w:val="24"/>
        </w:rPr>
        <w:t>Defendants’</w:t>
      </w:r>
      <w:r w:rsidR="00F378B8" w:rsidRPr="00C27317">
        <w:rPr>
          <w:rFonts w:ascii="Times New Roman" w:hAnsi="Times New Roman" w:cs="Times New Roman"/>
          <w:sz w:val="24"/>
          <w:szCs w:val="24"/>
        </w:rPr>
        <w:t xml:space="preserve"> position that the disclosure exercise apparently sought by the Plaintiffs would be colossal was “</w:t>
      </w:r>
      <w:r w:rsidR="00F378B8" w:rsidRPr="00C27317">
        <w:rPr>
          <w:rFonts w:ascii="Times New Roman" w:hAnsi="Times New Roman" w:cs="Times New Roman"/>
          <w:i/>
          <w:iCs/>
          <w:sz w:val="24"/>
          <w:szCs w:val="24"/>
        </w:rPr>
        <w:t>subject to questions of possession or custody of and power over documents</w:t>
      </w:r>
      <w:r w:rsidR="00F378B8" w:rsidRPr="00C27317">
        <w:rPr>
          <w:rFonts w:ascii="Times New Roman" w:hAnsi="Times New Roman" w:cs="Times New Roman"/>
          <w:sz w:val="24"/>
          <w:szCs w:val="24"/>
        </w:rPr>
        <w:t>”.</w:t>
      </w:r>
      <w:r w:rsidR="00113E5A" w:rsidRPr="00C27317">
        <w:rPr>
          <w:rFonts w:ascii="Times New Roman" w:hAnsi="Times New Roman" w:cs="Times New Roman"/>
          <w:sz w:val="24"/>
          <w:szCs w:val="24"/>
        </w:rPr>
        <w:t xml:space="preserve"> The Court is satisfied</w:t>
      </w:r>
      <w:r w:rsidR="00CC49E0" w:rsidRPr="00C27317">
        <w:rPr>
          <w:rFonts w:ascii="Times New Roman" w:hAnsi="Times New Roman" w:cs="Times New Roman"/>
          <w:sz w:val="24"/>
          <w:szCs w:val="24"/>
        </w:rPr>
        <w:t xml:space="preserve"> that the PCP issue was expressly reserved by the </w:t>
      </w:r>
      <w:r w:rsidR="00534FCE" w:rsidRPr="00C27317">
        <w:rPr>
          <w:rFonts w:ascii="Times New Roman" w:hAnsi="Times New Roman" w:cs="Times New Roman"/>
          <w:sz w:val="24"/>
          <w:szCs w:val="24"/>
        </w:rPr>
        <w:t>Defendants</w:t>
      </w:r>
      <w:r w:rsidR="00CC49E0" w:rsidRPr="00C27317">
        <w:rPr>
          <w:rFonts w:ascii="Times New Roman" w:hAnsi="Times New Roman" w:cs="Times New Roman"/>
          <w:sz w:val="24"/>
          <w:szCs w:val="24"/>
        </w:rPr>
        <w:t xml:space="preserve"> for a future hearing.</w:t>
      </w:r>
    </w:p>
    <w:p w14:paraId="14FEE2CA" w14:textId="77777777" w:rsidR="00CC49E0" w:rsidRDefault="00CC49E0" w:rsidP="000A480F">
      <w:pPr>
        <w:tabs>
          <w:tab w:val="left" w:pos="6696"/>
        </w:tabs>
        <w:spacing w:before="120" w:line="360" w:lineRule="auto"/>
        <w:rPr>
          <w:rFonts w:ascii="Times New Roman" w:hAnsi="Times New Roman" w:cs="Times New Roman"/>
          <w:sz w:val="24"/>
          <w:szCs w:val="24"/>
        </w:rPr>
      </w:pPr>
    </w:p>
    <w:p w14:paraId="21039A10" w14:textId="34BEF1BA" w:rsidR="00CC49E0" w:rsidRPr="00C27317" w:rsidRDefault="008D122F" w:rsidP="00FF2CBE">
      <w:pPr>
        <w:pStyle w:val="ListParagraph"/>
        <w:numPr>
          <w:ilvl w:val="0"/>
          <w:numId w:val="13"/>
        </w:numPr>
        <w:tabs>
          <w:tab w:val="left" w:pos="450"/>
        </w:tabs>
        <w:spacing w:before="120" w:line="360" w:lineRule="auto"/>
        <w:ind w:left="450" w:hanging="450"/>
        <w:jc w:val="both"/>
        <w:rPr>
          <w:rFonts w:ascii="Times New Roman" w:hAnsi="Times New Roman" w:cs="Times New Roman"/>
          <w:sz w:val="24"/>
          <w:szCs w:val="24"/>
        </w:rPr>
      </w:pPr>
      <w:r w:rsidRPr="00C27317">
        <w:rPr>
          <w:rFonts w:ascii="Times New Roman" w:hAnsi="Times New Roman" w:cs="Times New Roman"/>
          <w:sz w:val="24"/>
          <w:szCs w:val="24"/>
        </w:rPr>
        <w:t>The Court is satisfied</w:t>
      </w:r>
      <w:r w:rsidR="00066050" w:rsidRPr="00C27317">
        <w:rPr>
          <w:rFonts w:ascii="Times New Roman" w:hAnsi="Times New Roman" w:cs="Times New Roman"/>
          <w:sz w:val="24"/>
          <w:szCs w:val="24"/>
        </w:rPr>
        <w:t xml:space="preserve"> that </w:t>
      </w:r>
      <w:r w:rsidR="00AD7ADC" w:rsidRPr="00C27317">
        <w:rPr>
          <w:rFonts w:ascii="Times New Roman" w:hAnsi="Times New Roman" w:cs="Times New Roman"/>
          <w:sz w:val="24"/>
          <w:szCs w:val="24"/>
        </w:rPr>
        <w:t xml:space="preserve">there is no </w:t>
      </w:r>
      <w:r w:rsidR="00F953E9" w:rsidRPr="00C27317">
        <w:rPr>
          <w:rFonts w:ascii="Times New Roman" w:hAnsi="Times New Roman" w:cs="Times New Roman"/>
          <w:sz w:val="24"/>
          <w:szCs w:val="24"/>
        </w:rPr>
        <w:t>relevant</w:t>
      </w:r>
      <w:r w:rsidR="00066050" w:rsidRPr="00C27317">
        <w:rPr>
          <w:rFonts w:ascii="Times New Roman" w:hAnsi="Times New Roman" w:cs="Times New Roman"/>
          <w:sz w:val="24"/>
          <w:szCs w:val="24"/>
        </w:rPr>
        <w:t xml:space="preserve"> inconsistency between </w:t>
      </w:r>
      <w:r w:rsidR="00AD7ADC" w:rsidRPr="00C27317">
        <w:rPr>
          <w:rFonts w:ascii="Times New Roman" w:hAnsi="Times New Roman" w:cs="Times New Roman"/>
          <w:sz w:val="24"/>
          <w:szCs w:val="24"/>
        </w:rPr>
        <w:t xml:space="preserve">the </w:t>
      </w:r>
      <w:r w:rsidR="00534FCE" w:rsidRPr="00C27317">
        <w:rPr>
          <w:rFonts w:ascii="Times New Roman" w:hAnsi="Times New Roman" w:cs="Times New Roman"/>
          <w:sz w:val="24"/>
          <w:szCs w:val="24"/>
        </w:rPr>
        <w:t>Defendants</w:t>
      </w:r>
      <w:r w:rsidR="00252BDC" w:rsidRPr="00C27317">
        <w:rPr>
          <w:rFonts w:ascii="Times New Roman" w:hAnsi="Times New Roman" w:cs="Times New Roman"/>
          <w:sz w:val="24"/>
          <w:szCs w:val="24"/>
        </w:rPr>
        <w:t>’</w:t>
      </w:r>
      <w:r w:rsidR="00AD7ADC" w:rsidRPr="00C27317">
        <w:rPr>
          <w:rFonts w:ascii="Times New Roman" w:hAnsi="Times New Roman" w:cs="Times New Roman"/>
          <w:sz w:val="24"/>
          <w:szCs w:val="24"/>
        </w:rPr>
        <w:t xml:space="preserve"> position</w:t>
      </w:r>
      <w:r w:rsidR="00066050" w:rsidRPr="00C27317">
        <w:rPr>
          <w:rFonts w:ascii="Times New Roman" w:hAnsi="Times New Roman" w:cs="Times New Roman"/>
          <w:sz w:val="24"/>
          <w:szCs w:val="24"/>
        </w:rPr>
        <w:t xml:space="preserve"> at the Directions Hearing</w:t>
      </w:r>
      <w:r w:rsidR="00010A57" w:rsidRPr="00C27317">
        <w:rPr>
          <w:rFonts w:ascii="Times New Roman" w:hAnsi="Times New Roman" w:cs="Times New Roman"/>
          <w:sz w:val="24"/>
          <w:szCs w:val="24"/>
        </w:rPr>
        <w:t xml:space="preserve"> and its position at this hearing</w:t>
      </w:r>
      <w:r w:rsidR="006007E1" w:rsidRPr="00C27317">
        <w:rPr>
          <w:rFonts w:ascii="Times New Roman" w:hAnsi="Times New Roman" w:cs="Times New Roman"/>
          <w:sz w:val="24"/>
          <w:szCs w:val="24"/>
        </w:rPr>
        <w:t xml:space="preserve"> which can have any material impact</w:t>
      </w:r>
      <w:r w:rsidR="0055174A" w:rsidRPr="00C27317">
        <w:rPr>
          <w:rFonts w:ascii="Times New Roman" w:hAnsi="Times New Roman" w:cs="Times New Roman"/>
          <w:sz w:val="24"/>
          <w:szCs w:val="24"/>
        </w:rPr>
        <w:t xml:space="preserve"> on the Court’s determination of the PCP issue.</w:t>
      </w:r>
    </w:p>
    <w:p w14:paraId="0174AC22" w14:textId="77777777" w:rsidR="008E5E42" w:rsidRDefault="008E5E42" w:rsidP="000A480F">
      <w:pPr>
        <w:tabs>
          <w:tab w:val="left" w:pos="6696"/>
        </w:tabs>
        <w:spacing w:before="120" w:line="360" w:lineRule="auto"/>
        <w:rPr>
          <w:rFonts w:ascii="Times New Roman" w:hAnsi="Times New Roman" w:cs="Times New Roman"/>
          <w:sz w:val="24"/>
          <w:szCs w:val="24"/>
        </w:rPr>
      </w:pPr>
    </w:p>
    <w:p w14:paraId="30ACDE12" w14:textId="584B5C0C" w:rsidR="008E5E42" w:rsidRDefault="003064E0" w:rsidP="00FF2CBE">
      <w:pPr>
        <w:pStyle w:val="ListParagraph"/>
        <w:numPr>
          <w:ilvl w:val="0"/>
          <w:numId w:val="8"/>
        </w:numPr>
        <w:tabs>
          <w:tab w:val="left" w:pos="6696"/>
        </w:tabs>
        <w:spacing w:before="120" w:line="360" w:lineRule="auto"/>
        <w:rPr>
          <w:rFonts w:ascii="Times New Roman" w:hAnsi="Times New Roman" w:cs="Times New Roman"/>
          <w:b/>
          <w:bCs/>
          <w:i/>
          <w:iCs/>
          <w:sz w:val="24"/>
          <w:szCs w:val="24"/>
        </w:rPr>
      </w:pPr>
      <w:r w:rsidRPr="003064E0">
        <w:rPr>
          <w:rFonts w:ascii="Times New Roman" w:hAnsi="Times New Roman" w:cs="Times New Roman"/>
          <w:b/>
          <w:bCs/>
          <w:i/>
          <w:iCs/>
          <w:sz w:val="24"/>
          <w:szCs w:val="24"/>
        </w:rPr>
        <w:t>Requests made by the Group for the purposes of this litigation</w:t>
      </w:r>
    </w:p>
    <w:p w14:paraId="5BE4EA2A" w14:textId="77777777" w:rsidR="003064E0" w:rsidRDefault="003064E0" w:rsidP="003064E0">
      <w:pPr>
        <w:tabs>
          <w:tab w:val="left" w:pos="6696"/>
        </w:tabs>
        <w:spacing w:before="120" w:line="360" w:lineRule="auto"/>
        <w:rPr>
          <w:rFonts w:ascii="Times New Roman" w:hAnsi="Times New Roman" w:cs="Times New Roman"/>
          <w:b/>
          <w:bCs/>
          <w:i/>
          <w:iCs/>
          <w:sz w:val="24"/>
          <w:szCs w:val="24"/>
        </w:rPr>
      </w:pPr>
    </w:p>
    <w:p w14:paraId="2D6255E9" w14:textId="19FD5823" w:rsidR="003064E0" w:rsidRPr="00C27317" w:rsidRDefault="00211CFA" w:rsidP="00FF2CBE">
      <w:pPr>
        <w:pStyle w:val="ListParagraph"/>
        <w:numPr>
          <w:ilvl w:val="0"/>
          <w:numId w:val="13"/>
        </w:numPr>
        <w:tabs>
          <w:tab w:val="left" w:pos="450"/>
        </w:tabs>
        <w:spacing w:before="120" w:line="360" w:lineRule="auto"/>
        <w:ind w:left="450" w:hanging="450"/>
        <w:jc w:val="both"/>
        <w:rPr>
          <w:rFonts w:ascii="Times New Roman" w:hAnsi="Times New Roman" w:cs="Times New Roman"/>
          <w:sz w:val="24"/>
          <w:szCs w:val="24"/>
        </w:rPr>
      </w:pPr>
      <w:r w:rsidRPr="00C27317">
        <w:rPr>
          <w:rFonts w:ascii="Times New Roman" w:hAnsi="Times New Roman" w:cs="Times New Roman"/>
          <w:sz w:val="24"/>
          <w:szCs w:val="24"/>
        </w:rPr>
        <w:t>The Plaintiffs assert</w:t>
      </w:r>
      <w:r w:rsidR="00333E5B" w:rsidRPr="00C27317">
        <w:rPr>
          <w:rFonts w:ascii="Times New Roman" w:hAnsi="Times New Roman" w:cs="Times New Roman"/>
          <w:sz w:val="24"/>
          <w:szCs w:val="24"/>
        </w:rPr>
        <w:t xml:space="preserve"> that</w:t>
      </w:r>
      <w:r w:rsidR="00065AA1" w:rsidRPr="00C27317">
        <w:rPr>
          <w:rFonts w:ascii="Times New Roman" w:hAnsi="Times New Roman" w:cs="Times New Roman"/>
          <w:sz w:val="24"/>
          <w:szCs w:val="24"/>
        </w:rPr>
        <w:t xml:space="preserve"> it can be seen from the evidence that the </w:t>
      </w:r>
      <w:r w:rsidR="00645F7F" w:rsidRPr="00C27317">
        <w:rPr>
          <w:rFonts w:ascii="Times New Roman" w:hAnsi="Times New Roman" w:cs="Times New Roman"/>
          <w:sz w:val="24"/>
          <w:szCs w:val="24"/>
        </w:rPr>
        <w:t>Company</w:t>
      </w:r>
      <w:r w:rsidR="00065AA1" w:rsidRPr="00C27317">
        <w:rPr>
          <w:rFonts w:ascii="Times New Roman" w:hAnsi="Times New Roman" w:cs="Times New Roman"/>
          <w:sz w:val="24"/>
          <w:szCs w:val="24"/>
        </w:rPr>
        <w:t xml:space="preserve"> has already been able to obtain such documents and information as it has requested from the rest of the Group for use in this litigation when it suits its purposes to do so.</w:t>
      </w:r>
    </w:p>
    <w:p w14:paraId="28C9729C" w14:textId="77777777" w:rsidR="00E5127F" w:rsidRDefault="00E5127F" w:rsidP="00065AA1">
      <w:pPr>
        <w:tabs>
          <w:tab w:val="left" w:pos="6696"/>
        </w:tabs>
        <w:spacing w:before="120" w:line="360" w:lineRule="auto"/>
        <w:rPr>
          <w:rFonts w:ascii="Times New Roman" w:hAnsi="Times New Roman" w:cs="Times New Roman"/>
          <w:sz w:val="24"/>
          <w:szCs w:val="24"/>
        </w:rPr>
      </w:pPr>
    </w:p>
    <w:p w14:paraId="2196B12A" w14:textId="109C3D55" w:rsidR="00E5127F" w:rsidRPr="00487F93" w:rsidRDefault="00E5127F" w:rsidP="00FF2CBE">
      <w:pPr>
        <w:pStyle w:val="ListParagraph"/>
        <w:numPr>
          <w:ilvl w:val="0"/>
          <w:numId w:val="13"/>
        </w:numPr>
        <w:tabs>
          <w:tab w:val="left" w:pos="450"/>
        </w:tabs>
        <w:spacing w:before="120" w:line="360" w:lineRule="auto"/>
        <w:ind w:left="450" w:hanging="450"/>
        <w:jc w:val="both"/>
        <w:rPr>
          <w:rFonts w:ascii="Times New Roman" w:hAnsi="Times New Roman" w:cs="Times New Roman"/>
          <w:sz w:val="24"/>
          <w:szCs w:val="24"/>
        </w:rPr>
      </w:pPr>
      <w:r w:rsidRPr="00487F93">
        <w:rPr>
          <w:rFonts w:ascii="Times New Roman" w:hAnsi="Times New Roman" w:cs="Times New Roman"/>
          <w:sz w:val="24"/>
          <w:szCs w:val="24"/>
        </w:rPr>
        <w:t>Firstly, the Plaintiffs refer to</w:t>
      </w:r>
      <w:r w:rsidR="00997A54" w:rsidRPr="00487F93">
        <w:rPr>
          <w:rFonts w:ascii="Times New Roman" w:hAnsi="Times New Roman" w:cs="Times New Roman"/>
          <w:sz w:val="24"/>
          <w:szCs w:val="24"/>
        </w:rPr>
        <w:t xml:space="preserve"> paragraph 77 of Parr 3</w:t>
      </w:r>
      <w:r w:rsidR="005740CD" w:rsidRPr="00487F93">
        <w:rPr>
          <w:rFonts w:ascii="Times New Roman" w:hAnsi="Times New Roman" w:cs="Times New Roman"/>
          <w:sz w:val="24"/>
          <w:szCs w:val="24"/>
        </w:rPr>
        <w:t xml:space="preserve"> where </w:t>
      </w:r>
      <w:r w:rsidR="00997A54" w:rsidRPr="00487F93">
        <w:rPr>
          <w:rFonts w:ascii="Times New Roman" w:hAnsi="Times New Roman" w:cs="Times New Roman"/>
          <w:sz w:val="24"/>
          <w:szCs w:val="24"/>
        </w:rPr>
        <w:t>Mr Parr states that “</w:t>
      </w:r>
      <w:r w:rsidR="00997A54" w:rsidRPr="00487F93">
        <w:rPr>
          <w:rFonts w:ascii="Times New Roman" w:hAnsi="Times New Roman" w:cs="Times New Roman"/>
          <w:i/>
          <w:iCs/>
          <w:sz w:val="24"/>
          <w:szCs w:val="24"/>
        </w:rPr>
        <w:t>I have consulted with the Finance Directors of various divisions of the Group as to the numbers of monthly management accounts, annual financial budgets and other internal financial reporting documents produced and reviewed within their divisions</w:t>
      </w:r>
      <w:r w:rsidR="00997A54" w:rsidRPr="00487F93">
        <w:rPr>
          <w:rFonts w:ascii="Times New Roman" w:hAnsi="Times New Roman" w:cs="Times New Roman"/>
          <w:sz w:val="24"/>
          <w:szCs w:val="24"/>
        </w:rPr>
        <w:t xml:space="preserve">.” Mr Parr then sets out in paragraph 79 of Parr 3 a table within which the responses were compiled. </w:t>
      </w:r>
      <w:r w:rsidR="009D0871" w:rsidRPr="00487F93">
        <w:rPr>
          <w:rFonts w:ascii="Times New Roman" w:hAnsi="Times New Roman" w:cs="Times New Roman"/>
          <w:sz w:val="24"/>
          <w:szCs w:val="24"/>
        </w:rPr>
        <w:t>The Plaintiff submit that i</w:t>
      </w:r>
      <w:r w:rsidR="00997A54" w:rsidRPr="00487F93">
        <w:rPr>
          <w:rFonts w:ascii="Times New Roman" w:hAnsi="Times New Roman" w:cs="Times New Roman"/>
          <w:sz w:val="24"/>
          <w:szCs w:val="24"/>
        </w:rPr>
        <w:t>t is clear that Mr Parr was able to obtain this detailed information, for use in this litigation, from the other companies within the Group without difficulty and the fact he made the request in the first place indicates that he did not think it would be a futile one and had an expectation that the information would be provided.</w:t>
      </w:r>
    </w:p>
    <w:p w14:paraId="0D7D53B9" w14:textId="77777777" w:rsidR="000853B4" w:rsidRDefault="000853B4" w:rsidP="00997A54">
      <w:pPr>
        <w:tabs>
          <w:tab w:val="left" w:pos="6696"/>
        </w:tabs>
        <w:spacing w:before="120" w:line="360" w:lineRule="auto"/>
        <w:rPr>
          <w:rFonts w:ascii="Times New Roman" w:hAnsi="Times New Roman" w:cs="Times New Roman"/>
          <w:sz w:val="24"/>
          <w:szCs w:val="24"/>
        </w:rPr>
      </w:pPr>
    </w:p>
    <w:p w14:paraId="04C7A406" w14:textId="6DD9AD4D" w:rsidR="000853B4" w:rsidRPr="00487F93" w:rsidRDefault="000853B4" w:rsidP="00FF2CBE">
      <w:pPr>
        <w:pStyle w:val="ListParagraph"/>
        <w:numPr>
          <w:ilvl w:val="0"/>
          <w:numId w:val="13"/>
        </w:numPr>
        <w:tabs>
          <w:tab w:val="left" w:pos="450"/>
        </w:tabs>
        <w:spacing w:before="120" w:line="360" w:lineRule="auto"/>
        <w:ind w:left="450" w:hanging="450"/>
        <w:jc w:val="both"/>
        <w:rPr>
          <w:rFonts w:ascii="Times New Roman" w:hAnsi="Times New Roman" w:cs="Times New Roman"/>
          <w:sz w:val="24"/>
          <w:szCs w:val="24"/>
        </w:rPr>
      </w:pPr>
      <w:r w:rsidRPr="00487F93">
        <w:rPr>
          <w:rFonts w:ascii="Times New Roman" w:hAnsi="Times New Roman" w:cs="Times New Roman"/>
          <w:sz w:val="24"/>
          <w:szCs w:val="24"/>
        </w:rPr>
        <w:t>Secondly,</w:t>
      </w:r>
      <w:r w:rsidR="00CB675A" w:rsidRPr="00487F93">
        <w:rPr>
          <w:rFonts w:ascii="Times New Roman" w:hAnsi="Times New Roman" w:cs="Times New Roman"/>
          <w:sz w:val="24"/>
          <w:szCs w:val="24"/>
        </w:rPr>
        <w:t xml:space="preserve"> the Plaintiffs point out that </w:t>
      </w:r>
      <w:r w:rsidR="008154A8" w:rsidRPr="00487F93">
        <w:rPr>
          <w:rFonts w:ascii="Times New Roman" w:hAnsi="Times New Roman" w:cs="Times New Roman"/>
          <w:sz w:val="24"/>
          <w:szCs w:val="24"/>
        </w:rPr>
        <w:t>Mr Parr exhibited at paragraph 47 of Parr 3</w:t>
      </w:r>
      <w:r w:rsidR="008573CB" w:rsidRPr="00487F93">
        <w:rPr>
          <w:rFonts w:ascii="Times New Roman" w:hAnsi="Times New Roman" w:cs="Times New Roman"/>
          <w:sz w:val="24"/>
          <w:szCs w:val="24"/>
        </w:rPr>
        <w:t xml:space="preserve"> </w:t>
      </w:r>
      <w:r w:rsidR="008154A8" w:rsidRPr="00487F93">
        <w:rPr>
          <w:rFonts w:ascii="Times New Roman" w:hAnsi="Times New Roman" w:cs="Times New Roman"/>
          <w:sz w:val="24"/>
          <w:szCs w:val="24"/>
        </w:rPr>
        <w:t xml:space="preserve">the audited financial statements for Jardine Motors and Jardine </w:t>
      </w:r>
      <w:r w:rsidR="006722D0" w:rsidRPr="00487F93">
        <w:rPr>
          <w:rFonts w:ascii="Times New Roman" w:hAnsi="Times New Roman" w:cs="Times New Roman"/>
          <w:sz w:val="24"/>
          <w:szCs w:val="24"/>
        </w:rPr>
        <w:t xml:space="preserve">Pacific. The Plaintiffs submit that </w:t>
      </w:r>
      <w:r w:rsidR="0029465C" w:rsidRPr="00487F93">
        <w:rPr>
          <w:rFonts w:ascii="Times New Roman" w:hAnsi="Times New Roman" w:cs="Times New Roman"/>
          <w:sz w:val="24"/>
          <w:szCs w:val="24"/>
        </w:rPr>
        <w:t>t</w:t>
      </w:r>
      <w:r w:rsidR="006722D0" w:rsidRPr="00487F93">
        <w:rPr>
          <w:rFonts w:ascii="Times New Roman" w:hAnsi="Times New Roman" w:cs="Times New Roman"/>
          <w:sz w:val="24"/>
          <w:szCs w:val="24"/>
        </w:rPr>
        <w:t>he</w:t>
      </w:r>
      <w:r w:rsidR="008154A8" w:rsidRPr="00487F93">
        <w:rPr>
          <w:rFonts w:ascii="Times New Roman" w:hAnsi="Times New Roman" w:cs="Times New Roman"/>
          <w:sz w:val="24"/>
          <w:szCs w:val="24"/>
        </w:rPr>
        <w:t xml:space="preserve"> fact that the </w:t>
      </w:r>
      <w:r w:rsidR="00645F7F" w:rsidRPr="00487F93">
        <w:rPr>
          <w:rFonts w:ascii="Times New Roman" w:hAnsi="Times New Roman" w:cs="Times New Roman"/>
          <w:sz w:val="24"/>
          <w:szCs w:val="24"/>
        </w:rPr>
        <w:t>Company</w:t>
      </w:r>
      <w:r w:rsidR="008154A8" w:rsidRPr="00487F93">
        <w:rPr>
          <w:rFonts w:ascii="Times New Roman" w:hAnsi="Times New Roman" w:cs="Times New Roman"/>
          <w:sz w:val="24"/>
          <w:szCs w:val="24"/>
        </w:rPr>
        <w:t xml:space="preserve"> was able to access such material is simply another example, consistent with the considerable body of evidence which has now emerged, of the </w:t>
      </w:r>
      <w:r w:rsidR="00645F7F" w:rsidRPr="00487F93">
        <w:rPr>
          <w:rFonts w:ascii="Times New Roman" w:hAnsi="Times New Roman" w:cs="Times New Roman"/>
          <w:sz w:val="24"/>
          <w:szCs w:val="24"/>
        </w:rPr>
        <w:t>Company</w:t>
      </w:r>
      <w:r w:rsidR="008154A8" w:rsidRPr="00487F93">
        <w:rPr>
          <w:rFonts w:ascii="Times New Roman" w:hAnsi="Times New Roman" w:cs="Times New Roman"/>
          <w:sz w:val="24"/>
          <w:szCs w:val="24"/>
        </w:rPr>
        <w:t xml:space="preserve"> being able to obtain financial information from other companies within the Group on demand.</w:t>
      </w:r>
    </w:p>
    <w:p w14:paraId="14D6FBBB" w14:textId="77777777" w:rsidR="0029465C" w:rsidRDefault="0029465C" w:rsidP="008154A8">
      <w:pPr>
        <w:tabs>
          <w:tab w:val="left" w:pos="6696"/>
        </w:tabs>
        <w:spacing w:before="120" w:line="360" w:lineRule="auto"/>
        <w:rPr>
          <w:rFonts w:ascii="Times New Roman" w:hAnsi="Times New Roman" w:cs="Times New Roman"/>
          <w:sz w:val="24"/>
          <w:szCs w:val="24"/>
        </w:rPr>
      </w:pPr>
    </w:p>
    <w:p w14:paraId="60792C14" w14:textId="3F6D4655" w:rsidR="00535EA0" w:rsidRPr="00487F93" w:rsidRDefault="00802533" w:rsidP="00FF2CBE">
      <w:pPr>
        <w:pStyle w:val="ListParagraph"/>
        <w:numPr>
          <w:ilvl w:val="0"/>
          <w:numId w:val="13"/>
        </w:numPr>
        <w:tabs>
          <w:tab w:val="left" w:pos="450"/>
        </w:tabs>
        <w:spacing w:before="120" w:line="360" w:lineRule="auto"/>
        <w:ind w:left="450" w:hanging="450"/>
        <w:jc w:val="both"/>
        <w:rPr>
          <w:rFonts w:ascii="Times New Roman" w:hAnsi="Times New Roman" w:cs="Times New Roman"/>
          <w:sz w:val="24"/>
          <w:szCs w:val="24"/>
        </w:rPr>
      </w:pPr>
      <w:r w:rsidRPr="00487F93">
        <w:rPr>
          <w:rFonts w:ascii="Times New Roman" w:hAnsi="Times New Roman" w:cs="Times New Roman"/>
          <w:sz w:val="24"/>
          <w:szCs w:val="24"/>
        </w:rPr>
        <w:t>The Court</w:t>
      </w:r>
      <w:r w:rsidR="000B7FDC" w:rsidRPr="00487F93">
        <w:rPr>
          <w:rFonts w:ascii="Times New Roman" w:hAnsi="Times New Roman" w:cs="Times New Roman"/>
          <w:sz w:val="24"/>
          <w:szCs w:val="24"/>
        </w:rPr>
        <w:t xml:space="preserve"> accepts Mr Moore KC’s submission that</w:t>
      </w:r>
      <w:r w:rsidR="00D22C67" w:rsidRPr="00487F93">
        <w:rPr>
          <w:rFonts w:ascii="Times New Roman" w:hAnsi="Times New Roman" w:cs="Times New Roman"/>
          <w:sz w:val="24"/>
          <w:szCs w:val="24"/>
        </w:rPr>
        <w:t>,</w:t>
      </w:r>
      <w:r w:rsidR="000B7FDC" w:rsidRPr="00487F93">
        <w:rPr>
          <w:rFonts w:ascii="Times New Roman" w:hAnsi="Times New Roman" w:cs="Times New Roman"/>
          <w:sz w:val="24"/>
          <w:szCs w:val="24"/>
        </w:rPr>
        <w:t xml:space="preserve"> in relation to</w:t>
      </w:r>
      <w:r w:rsidR="00D22C67" w:rsidRPr="00487F93">
        <w:rPr>
          <w:rFonts w:ascii="Times New Roman" w:hAnsi="Times New Roman" w:cs="Times New Roman"/>
          <w:sz w:val="24"/>
          <w:szCs w:val="24"/>
        </w:rPr>
        <w:t xml:space="preserve"> the documents received from the Finance Directors of the various divisions of the Group, </w:t>
      </w:r>
      <w:r w:rsidR="0076507A" w:rsidRPr="00487F93">
        <w:rPr>
          <w:rFonts w:ascii="Times New Roman" w:hAnsi="Times New Roman" w:cs="Times New Roman"/>
          <w:sz w:val="24"/>
          <w:szCs w:val="24"/>
        </w:rPr>
        <w:t>it is not possible to infer anything about the existence of an arrangement providing free access to documents from the facts that: (i) Mr Parr asked for information as to the number of such documents; and (ii) the various Finance Directors were content to answer him.</w:t>
      </w:r>
      <w:r w:rsidR="00961AEB" w:rsidRPr="00487F93">
        <w:rPr>
          <w:rFonts w:ascii="Times New Roman" w:hAnsi="Times New Roman" w:cs="Times New Roman"/>
          <w:sz w:val="24"/>
          <w:szCs w:val="24"/>
        </w:rPr>
        <w:t xml:space="preserve"> Likewise,</w:t>
      </w:r>
      <w:r w:rsidR="00E2252E" w:rsidRPr="00487F93">
        <w:rPr>
          <w:rFonts w:ascii="Times New Roman" w:hAnsi="Times New Roman" w:cs="Times New Roman"/>
          <w:sz w:val="24"/>
          <w:szCs w:val="24"/>
        </w:rPr>
        <w:t xml:space="preserve"> </w:t>
      </w:r>
      <w:r w:rsidR="003963B2" w:rsidRPr="00487F93">
        <w:rPr>
          <w:rFonts w:ascii="Times New Roman" w:hAnsi="Times New Roman" w:cs="Times New Roman"/>
          <w:sz w:val="24"/>
          <w:szCs w:val="24"/>
        </w:rPr>
        <w:t>in relation to</w:t>
      </w:r>
      <w:r w:rsidR="00E2252E" w:rsidRPr="00487F93">
        <w:rPr>
          <w:rFonts w:ascii="Times New Roman" w:hAnsi="Times New Roman" w:cs="Times New Roman"/>
          <w:sz w:val="24"/>
          <w:szCs w:val="24"/>
        </w:rPr>
        <w:t xml:space="preserve"> the audited financial statements for Jardine Motors and Jardine Pacific</w:t>
      </w:r>
      <w:r w:rsidR="00E24855" w:rsidRPr="00487F93">
        <w:rPr>
          <w:rFonts w:ascii="Times New Roman" w:hAnsi="Times New Roman" w:cs="Times New Roman"/>
          <w:sz w:val="24"/>
          <w:szCs w:val="24"/>
        </w:rPr>
        <w:t xml:space="preserve"> it is the evidence of Mr Parr that</w:t>
      </w:r>
      <w:r w:rsidR="009D6036" w:rsidRPr="00487F93">
        <w:rPr>
          <w:rFonts w:ascii="Times New Roman" w:hAnsi="Times New Roman" w:cs="Times New Roman"/>
          <w:sz w:val="24"/>
          <w:szCs w:val="24"/>
        </w:rPr>
        <w:t xml:space="preserve"> these documents were sought from the relevant entities for the specific and limited purpose of being referred to and exhibited to his Third Affidavit</w:t>
      </w:r>
      <w:r w:rsidR="00E2252E" w:rsidRPr="00487F93">
        <w:rPr>
          <w:rFonts w:ascii="Times New Roman" w:hAnsi="Times New Roman" w:cs="Times New Roman"/>
          <w:sz w:val="24"/>
          <w:szCs w:val="24"/>
        </w:rPr>
        <w:t>. Again,</w:t>
      </w:r>
      <w:r w:rsidR="00D137DB" w:rsidRPr="00487F93">
        <w:rPr>
          <w:rFonts w:ascii="Times New Roman" w:hAnsi="Times New Roman" w:cs="Times New Roman"/>
          <w:sz w:val="24"/>
          <w:szCs w:val="24"/>
        </w:rPr>
        <w:t xml:space="preserve"> the Court accepts</w:t>
      </w:r>
      <w:r w:rsidR="00535EA0" w:rsidRPr="00487F93">
        <w:rPr>
          <w:rFonts w:ascii="Times New Roman" w:hAnsi="Times New Roman" w:cs="Times New Roman"/>
          <w:sz w:val="24"/>
          <w:szCs w:val="24"/>
        </w:rPr>
        <w:t xml:space="preserve"> Mr Moore KC submission that </w:t>
      </w:r>
      <w:r w:rsidR="00A23C8C" w:rsidRPr="00487F93">
        <w:rPr>
          <w:rFonts w:ascii="Times New Roman" w:hAnsi="Times New Roman" w:cs="Times New Roman"/>
          <w:sz w:val="24"/>
          <w:szCs w:val="24"/>
        </w:rPr>
        <w:t xml:space="preserve">the fact that the </w:t>
      </w:r>
      <w:r w:rsidR="00645F7F" w:rsidRPr="00487F93">
        <w:rPr>
          <w:rFonts w:ascii="Times New Roman" w:hAnsi="Times New Roman" w:cs="Times New Roman"/>
          <w:sz w:val="24"/>
          <w:szCs w:val="24"/>
        </w:rPr>
        <w:t>Company</w:t>
      </w:r>
      <w:r w:rsidR="00A23C8C" w:rsidRPr="00487F93">
        <w:rPr>
          <w:rFonts w:ascii="Times New Roman" w:hAnsi="Times New Roman" w:cs="Times New Roman"/>
          <w:sz w:val="24"/>
          <w:szCs w:val="24"/>
        </w:rPr>
        <w:t xml:space="preserve"> was able to request and obtain, for a limited purpose, the audited financial statements of another Group </w:t>
      </w:r>
      <w:r w:rsidR="00645F7F" w:rsidRPr="00487F93">
        <w:rPr>
          <w:rFonts w:ascii="Times New Roman" w:hAnsi="Times New Roman" w:cs="Times New Roman"/>
          <w:sz w:val="24"/>
          <w:szCs w:val="24"/>
        </w:rPr>
        <w:t>Company</w:t>
      </w:r>
      <w:r w:rsidR="00C62274" w:rsidRPr="00487F93">
        <w:rPr>
          <w:rFonts w:ascii="Times New Roman" w:hAnsi="Times New Roman" w:cs="Times New Roman"/>
          <w:sz w:val="24"/>
          <w:szCs w:val="24"/>
        </w:rPr>
        <w:t xml:space="preserve"> is not any cogent evidence</w:t>
      </w:r>
      <w:r w:rsidR="00B76CF2" w:rsidRPr="00487F93">
        <w:rPr>
          <w:rFonts w:ascii="Times New Roman" w:hAnsi="Times New Roman" w:cs="Times New Roman"/>
          <w:sz w:val="24"/>
          <w:szCs w:val="24"/>
        </w:rPr>
        <w:t xml:space="preserve"> of any arrangement or understanding</w:t>
      </w:r>
      <w:r w:rsidR="000A5024" w:rsidRPr="00487F93">
        <w:rPr>
          <w:rFonts w:ascii="Times New Roman" w:hAnsi="Times New Roman" w:cs="Times New Roman"/>
          <w:sz w:val="24"/>
          <w:szCs w:val="24"/>
        </w:rPr>
        <w:t xml:space="preserve"> allowing the </w:t>
      </w:r>
      <w:r w:rsidR="00645F7F" w:rsidRPr="00487F93">
        <w:rPr>
          <w:rFonts w:ascii="Times New Roman" w:hAnsi="Times New Roman" w:cs="Times New Roman"/>
          <w:sz w:val="24"/>
          <w:szCs w:val="24"/>
        </w:rPr>
        <w:t>Company</w:t>
      </w:r>
      <w:r w:rsidR="000A5024" w:rsidRPr="00487F93">
        <w:rPr>
          <w:rFonts w:ascii="Times New Roman" w:hAnsi="Times New Roman" w:cs="Times New Roman"/>
          <w:sz w:val="24"/>
          <w:szCs w:val="24"/>
        </w:rPr>
        <w:t xml:space="preserve"> free </w:t>
      </w:r>
      <w:r w:rsidR="008A2B87" w:rsidRPr="00487F93">
        <w:rPr>
          <w:rFonts w:ascii="Times New Roman" w:hAnsi="Times New Roman" w:cs="Times New Roman"/>
          <w:sz w:val="24"/>
          <w:szCs w:val="24"/>
        </w:rPr>
        <w:t>or</w:t>
      </w:r>
      <w:r w:rsidR="000A5024" w:rsidRPr="00487F93">
        <w:rPr>
          <w:rFonts w:ascii="Times New Roman" w:hAnsi="Times New Roman" w:cs="Times New Roman"/>
          <w:sz w:val="24"/>
          <w:szCs w:val="24"/>
        </w:rPr>
        <w:t xml:space="preserve"> unfettered access to the documents held by the Principal Group Companies</w:t>
      </w:r>
      <w:r w:rsidR="00C4639F" w:rsidRPr="00487F93">
        <w:rPr>
          <w:rFonts w:ascii="Times New Roman" w:hAnsi="Times New Roman" w:cs="Times New Roman"/>
          <w:sz w:val="24"/>
          <w:szCs w:val="24"/>
        </w:rPr>
        <w:t xml:space="preserve"> (</w:t>
      </w:r>
      <w:r w:rsidR="009D4741" w:rsidRPr="00487F93">
        <w:rPr>
          <w:rFonts w:ascii="Times New Roman" w:hAnsi="Times New Roman" w:cs="Times New Roman"/>
          <w:i/>
          <w:iCs/>
          <w:sz w:val="24"/>
          <w:szCs w:val="24"/>
        </w:rPr>
        <w:t>Lonrho</w:t>
      </w:r>
      <w:r w:rsidR="009D4741" w:rsidRPr="00487F93">
        <w:rPr>
          <w:rFonts w:ascii="Times New Roman" w:hAnsi="Times New Roman" w:cs="Times New Roman"/>
          <w:sz w:val="24"/>
          <w:szCs w:val="24"/>
        </w:rPr>
        <w:t xml:space="preserve"> </w:t>
      </w:r>
      <w:r w:rsidR="00756424" w:rsidRPr="00487F93">
        <w:rPr>
          <w:rFonts w:ascii="Times New Roman" w:hAnsi="Times New Roman" w:cs="Times New Roman"/>
          <w:sz w:val="24"/>
          <w:szCs w:val="24"/>
        </w:rPr>
        <w:t>(CA) at</w:t>
      </w:r>
      <w:r w:rsidR="00E40AB1" w:rsidRPr="00487F93">
        <w:rPr>
          <w:rFonts w:ascii="Times New Roman" w:hAnsi="Times New Roman" w:cs="Times New Roman"/>
          <w:sz w:val="24"/>
          <w:szCs w:val="24"/>
        </w:rPr>
        <w:t xml:space="preserve"> 372 D-E</w:t>
      </w:r>
      <w:r w:rsidR="009D4741" w:rsidRPr="00487F93">
        <w:rPr>
          <w:rFonts w:ascii="Times New Roman" w:hAnsi="Times New Roman" w:cs="Times New Roman"/>
          <w:sz w:val="24"/>
          <w:szCs w:val="24"/>
        </w:rPr>
        <w:t xml:space="preserve">; </w:t>
      </w:r>
      <w:r w:rsidR="009D4741" w:rsidRPr="00487F93">
        <w:rPr>
          <w:rFonts w:ascii="Times New Roman" w:hAnsi="Times New Roman" w:cs="Times New Roman"/>
          <w:i/>
          <w:iCs/>
          <w:sz w:val="24"/>
          <w:szCs w:val="24"/>
        </w:rPr>
        <w:t xml:space="preserve">Ardila </w:t>
      </w:r>
      <w:r w:rsidR="009D4741" w:rsidRPr="00487F93">
        <w:rPr>
          <w:rFonts w:ascii="Times New Roman" w:hAnsi="Times New Roman" w:cs="Times New Roman"/>
          <w:sz w:val="24"/>
          <w:szCs w:val="24"/>
        </w:rPr>
        <w:t xml:space="preserve">at [21]; and </w:t>
      </w:r>
      <w:r w:rsidR="009D4741" w:rsidRPr="00487F93">
        <w:rPr>
          <w:rFonts w:ascii="Times New Roman" w:hAnsi="Times New Roman" w:cs="Times New Roman"/>
          <w:i/>
          <w:iCs/>
          <w:sz w:val="24"/>
          <w:szCs w:val="24"/>
        </w:rPr>
        <w:t xml:space="preserve">Abudawood </w:t>
      </w:r>
      <w:r w:rsidR="009D4741" w:rsidRPr="00487F93">
        <w:rPr>
          <w:rFonts w:ascii="Times New Roman" w:hAnsi="Times New Roman" w:cs="Times New Roman"/>
          <w:sz w:val="24"/>
          <w:szCs w:val="24"/>
        </w:rPr>
        <w:t>at [39]).</w:t>
      </w:r>
    </w:p>
    <w:p w14:paraId="4CF825BC" w14:textId="77777777" w:rsidR="008A2B87" w:rsidRDefault="008A2B87" w:rsidP="00D137DB">
      <w:pPr>
        <w:tabs>
          <w:tab w:val="left" w:pos="6696"/>
        </w:tabs>
        <w:spacing w:before="120" w:line="360" w:lineRule="auto"/>
        <w:rPr>
          <w:rFonts w:ascii="Times New Roman" w:hAnsi="Times New Roman" w:cs="Times New Roman"/>
          <w:sz w:val="24"/>
          <w:szCs w:val="24"/>
        </w:rPr>
      </w:pPr>
    </w:p>
    <w:p w14:paraId="4D62271E" w14:textId="7243433F" w:rsidR="008A2B87" w:rsidRPr="00080E32" w:rsidRDefault="00EB39F4" w:rsidP="00FF2CBE">
      <w:pPr>
        <w:pStyle w:val="ListParagraph"/>
        <w:numPr>
          <w:ilvl w:val="0"/>
          <w:numId w:val="13"/>
        </w:numPr>
        <w:tabs>
          <w:tab w:val="left" w:pos="450"/>
        </w:tabs>
        <w:spacing w:before="120" w:line="360" w:lineRule="auto"/>
        <w:ind w:left="450" w:hanging="450"/>
        <w:jc w:val="both"/>
        <w:rPr>
          <w:rFonts w:ascii="Times New Roman" w:hAnsi="Times New Roman" w:cs="Times New Roman"/>
          <w:sz w:val="24"/>
          <w:szCs w:val="24"/>
        </w:rPr>
      </w:pPr>
      <w:r w:rsidRPr="00080E32">
        <w:rPr>
          <w:rFonts w:ascii="Times New Roman" w:hAnsi="Times New Roman" w:cs="Times New Roman"/>
          <w:sz w:val="24"/>
          <w:szCs w:val="24"/>
        </w:rPr>
        <w:t>The Court is required to consider the totality of the evidence presented and relied upon in support of this factual assertion that there</w:t>
      </w:r>
      <w:r w:rsidR="004115E6" w:rsidRPr="00080E32">
        <w:rPr>
          <w:rFonts w:ascii="Times New Roman" w:hAnsi="Times New Roman" w:cs="Times New Roman"/>
          <w:sz w:val="24"/>
          <w:szCs w:val="24"/>
        </w:rPr>
        <w:t xml:space="preserve"> is an existing arrangement or understanding, the effect of which is that the party to the litigation from whom disclosure is sought has in practice free or unfettered access to the documents of the third party. In this case</w:t>
      </w:r>
      <w:r w:rsidR="00863759" w:rsidRPr="00080E32">
        <w:rPr>
          <w:rFonts w:ascii="Times New Roman" w:hAnsi="Times New Roman" w:cs="Times New Roman"/>
          <w:sz w:val="24"/>
          <w:szCs w:val="24"/>
        </w:rPr>
        <w:t xml:space="preserve"> the Court has considered the totality of the evidence outlined above and is not satisfied that this evidence establishes that there is an existing arrangement or understanding,</w:t>
      </w:r>
      <w:r w:rsidR="004B5CF8" w:rsidRPr="00080E32">
        <w:rPr>
          <w:rFonts w:ascii="Times New Roman" w:hAnsi="Times New Roman" w:cs="Times New Roman"/>
          <w:sz w:val="24"/>
          <w:szCs w:val="24"/>
        </w:rPr>
        <w:t xml:space="preserve"> the effect of which is that the </w:t>
      </w:r>
      <w:r w:rsidR="00645F7F" w:rsidRPr="00080E32">
        <w:rPr>
          <w:rFonts w:ascii="Times New Roman" w:hAnsi="Times New Roman" w:cs="Times New Roman"/>
          <w:sz w:val="24"/>
          <w:szCs w:val="24"/>
        </w:rPr>
        <w:t>Company</w:t>
      </w:r>
      <w:r w:rsidR="004B5CF8" w:rsidRPr="00080E32">
        <w:rPr>
          <w:rFonts w:ascii="Times New Roman" w:hAnsi="Times New Roman" w:cs="Times New Roman"/>
          <w:sz w:val="24"/>
          <w:szCs w:val="24"/>
        </w:rPr>
        <w:t xml:space="preserve"> has in practice free or unfettered access to the documents held by the Principal Group Companies.</w:t>
      </w:r>
    </w:p>
    <w:p w14:paraId="13C1E9DF" w14:textId="77777777" w:rsidR="002B1035" w:rsidRDefault="002B1035" w:rsidP="00D137DB">
      <w:pPr>
        <w:tabs>
          <w:tab w:val="left" w:pos="6696"/>
        </w:tabs>
        <w:spacing w:before="120" w:line="360" w:lineRule="auto"/>
        <w:rPr>
          <w:rFonts w:ascii="Times New Roman" w:hAnsi="Times New Roman" w:cs="Times New Roman"/>
          <w:sz w:val="24"/>
          <w:szCs w:val="24"/>
        </w:rPr>
      </w:pPr>
    </w:p>
    <w:p w14:paraId="596DC37E" w14:textId="2E4670F4" w:rsidR="002B1035" w:rsidRPr="00080E32" w:rsidRDefault="002B1035" w:rsidP="00FF2CBE">
      <w:pPr>
        <w:pStyle w:val="ListParagraph"/>
        <w:numPr>
          <w:ilvl w:val="0"/>
          <w:numId w:val="13"/>
        </w:numPr>
        <w:tabs>
          <w:tab w:val="left" w:pos="450"/>
        </w:tabs>
        <w:spacing w:before="120" w:line="360" w:lineRule="auto"/>
        <w:ind w:left="450" w:hanging="450"/>
        <w:jc w:val="both"/>
        <w:rPr>
          <w:rFonts w:ascii="Times New Roman" w:hAnsi="Times New Roman" w:cs="Times New Roman"/>
          <w:sz w:val="24"/>
          <w:szCs w:val="24"/>
        </w:rPr>
      </w:pPr>
      <w:r w:rsidRPr="00080E32">
        <w:rPr>
          <w:rFonts w:ascii="Times New Roman" w:hAnsi="Times New Roman" w:cs="Times New Roman"/>
          <w:sz w:val="24"/>
          <w:szCs w:val="24"/>
        </w:rPr>
        <w:t>The above finding</w:t>
      </w:r>
      <w:r w:rsidR="0028380D" w:rsidRPr="00080E32">
        <w:rPr>
          <w:rFonts w:ascii="Times New Roman" w:hAnsi="Times New Roman" w:cs="Times New Roman"/>
          <w:sz w:val="24"/>
          <w:szCs w:val="24"/>
        </w:rPr>
        <w:t>, based upon the evidence relied upon by the Plaintiffs, a sufficient to determine the Plaintiffs’ application</w:t>
      </w:r>
      <w:r w:rsidR="00AB1653" w:rsidRPr="00080E32">
        <w:rPr>
          <w:rFonts w:ascii="Times New Roman" w:hAnsi="Times New Roman" w:cs="Times New Roman"/>
          <w:sz w:val="24"/>
          <w:szCs w:val="24"/>
        </w:rPr>
        <w:t xml:space="preserve"> for discovery of the documents held by the Principal Group Companies. However, there are additional reasons which support this finding </w:t>
      </w:r>
      <w:r w:rsidR="00D3502B" w:rsidRPr="00080E32">
        <w:rPr>
          <w:rFonts w:ascii="Times New Roman" w:hAnsi="Times New Roman" w:cs="Times New Roman"/>
          <w:sz w:val="24"/>
          <w:szCs w:val="24"/>
        </w:rPr>
        <w:t>made by the Court.</w:t>
      </w:r>
    </w:p>
    <w:p w14:paraId="36E26CE5" w14:textId="77777777" w:rsidR="00D3502B" w:rsidRDefault="00D3502B" w:rsidP="00D137DB">
      <w:pPr>
        <w:tabs>
          <w:tab w:val="left" w:pos="6696"/>
        </w:tabs>
        <w:spacing w:before="120" w:line="360" w:lineRule="auto"/>
        <w:rPr>
          <w:rFonts w:ascii="Times New Roman" w:hAnsi="Times New Roman" w:cs="Times New Roman"/>
          <w:sz w:val="24"/>
          <w:szCs w:val="24"/>
        </w:rPr>
      </w:pPr>
    </w:p>
    <w:p w14:paraId="527CBF69" w14:textId="5E5D4811" w:rsidR="00D3502B" w:rsidRPr="00080E32" w:rsidRDefault="00D3502B" w:rsidP="00FF2CBE">
      <w:pPr>
        <w:pStyle w:val="ListParagraph"/>
        <w:numPr>
          <w:ilvl w:val="0"/>
          <w:numId w:val="13"/>
        </w:numPr>
        <w:tabs>
          <w:tab w:val="left" w:pos="450"/>
        </w:tabs>
        <w:spacing w:before="120" w:line="360" w:lineRule="auto"/>
        <w:ind w:left="450" w:hanging="450"/>
        <w:jc w:val="both"/>
        <w:rPr>
          <w:rFonts w:ascii="Times New Roman" w:hAnsi="Times New Roman" w:cs="Times New Roman"/>
          <w:sz w:val="24"/>
          <w:szCs w:val="24"/>
        </w:rPr>
      </w:pPr>
      <w:r w:rsidRPr="00080E32">
        <w:rPr>
          <w:rFonts w:ascii="Times New Roman" w:hAnsi="Times New Roman" w:cs="Times New Roman"/>
          <w:sz w:val="24"/>
          <w:szCs w:val="24"/>
        </w:rPr>
        <w:t>First, Mr Parr, the</w:t>
      </w:r>
      <w:r w:rsidR="00821A2C" w:rsidRPr="00080E32">
        <w:rPr>
          <w:rFonts w:ascii="Times New Roman" w:hAnsi="Times New Roman" w:cs="Times New Roman"/>
          <w:sz w:val="24"/>
          <w:szCs w:val="24"/>
        </w:rPr>
        <w:t xml:space="preserve"> Group General Counsel at the relevant times, confirmed unequivocally that</w:t>
      </w:r>
      <w:r w:rsidR="00753948" w:rsidRPr="00080E32">
        <w:rPr>
          <w:rFonts w:ascii="Times New Roman" w:hAnsi="Times New Roman" w:cs="Times New Roman"/>
          <w:sz w:val="24"/>
          <w:szCs w:val="24"/>
        </w:rPr>
        <w:t xml:space="preserve"> the alleged arrangement or understanding does not exist and has never existed:</w:t>
      </w:r>
    </w:p>
    <w:p w14:paraId="6CE3DC31" w14:textId="77777777" w:rsidR="005C2012" w:rsidRDefault="005C2012" w:rsidP="00D137DB">
      <w:pPr>
        <w:tabs>
          <w:tab w:val="left" w:pos="6696"/>
        </w:tabs>
        <w:spacing w:before="120" w:line="360" w:lineRule="auto"/>
        <w:rPr>
          <w:rFonts w:ascii="Times New Roman" w:hAnsi="Times New Roman" w:cs="Times New Roman"/>
          <w:sz w:val="24"/>
          <w:szCs w:val="24"/>
        </w:rPr>
      </w:pPr>
    </w:p>
    <w:p w14:paraId="69EC360F" w14:textId="23BC95E6" w:rsidR="00753948" w:rsidRDefault="00C221C5" w:rsidP="00FF2CBE">
      <w:pPr>
        <w:pStyle w:val="ListParagraph"/>
        <w:numPr>
          <w:ilvl w:val="0"/>
          <w:numId w:val="9"/>
        </w:numPr>
        <w:tabs>
          <w:tab w:val="left" w:pos="6696"/>
        </w:tabs>
        <w:spacing w:before="120" w:line="360" w:lineRule="auto"/>
        <w:rPr>
          <w:rFonts w:ascii="Times New Roman" w:hAnsi="Times New Roman" w:cs="Times New Roman"/>
          <w:sz w:val="24"/>
          <w:szCs w:val="24"/>
        </w:rPr>
      </w:pPr>
      <w:r>
        <w:rPr>
          <w:rFonts w:ascii="Times New Roman" w:hAnsi="Times New Roman" w:cs="Times New Roman"/>
          <w:sz w:val="24"/>
          <w:szCs w:val="24"/>
        </w:rPr>
        <w:t>A</w:t>
      </w:r>
      <w:r w:rsidR="009D7CDB">
        <w:rPr>
          <w:rFonts w:ascii="Times New Roman" w:hAnsi="Times New Roman" w:cs="Times New Roman"/>
          <w:sz w:val="24"/>
          <w:szCs w:val="24"/>
        </w:rPr>
        <w:t>t paragraph 11</w:t>
      </w:r>
      <w:r w:rsidR="00646BCA">
        <w:rPr>
          <w:rFonts w:ascii="Times New Roman" w:hAnsi="Times New Roman" w:cs="Times New Roman"/>
          <w:sz w:val="24"/>
          <w:szCs w:val="24"/>
        </w:rPr>
        <w:t xml:space="preserve"> of Parr 5, Mr Parr states that</w:t>
      </w:r>
      <w:r w:rsidR="00FB704C">
        <w:rPr>
          <w:rFonts w:ascii="Times New Roman" w:hAnsi="Times New Roman" w:cs="Times New Roman"/>
          <w:sz w:val="24"/>
          <w:szCs w:val="24"/>
        </w:rPr>
        <w:t>:</w:t>
      </w:r>
      <w:r w:rsidR="00646BCA">
        <w:rPr>
          <w:rFonts w:ascii="Times New Roman" w:hAnsi="Times New Roman" w:cs="Times New Roman"/>
          <w:sz w:val="24"/>
          <w:szCs w:val="24"/>
        </w:rPr>
        <w:t xml:space="preserve"> “</w:t>
      </w:r>
      <w:r w:rsidR="00646BCA" w:rsidRPr="00C221C5">
        <w:rPr>
          <w:rFonts w:ascii="Times New Roman" w:hAnsi="Times New Roman" w:cs="Times New Roman"/>
          <w:i/>
          <w:iCs/>
          <w:sz w:val="24"/>
          <w:szCs w:val="24"/>
        </w:rPr>
        <w:t>To</w:t>
      </w:r>
      <w:r w:rsidR="00902C88" w:rsidRPr="00C221C5">
        <w:rPr>
          <w:rFonts w:ascii="Times New Roman" w:hAnsi="Times New Roman" w:cs="Times New Roman"/>
          <w:i/>
          <w:iCs/>
          <w:sz w:val="24"/>
          <w:szCs w:val="24"/>
        </w:rPr>
        <w:t xml:space="preserve"> be absolutely clear, the Alleged Agreement or Understanding does not exist and, so far as I am aware, has never existed. The </w:t>
      </w:r>
      <w:r w:rsidR="00645F7F">
        <w:rPr>
          <w:rFonts w:ascii="Times New Roman" w:hAnsi="Times New Roman" w:cs="Times New Roman"/>
          <w:i/>
          <w:iCs/>
          <w:sz w:val="24"/>
          <w:szCs w:val="24"/>
        </w:rPr>
        <w:t>Company</w:t>
      </w:r>
      <w:r w:rsidR="00902C88" w:rsidRPr="00C221C5">
        <w:rPr>
          <w:rFonts w:ascii="Times New Roman" w:hAnsi="Times New Roman" w:cs="Times New Roman"/>
          <w:i/>
          <w:iCs/>
          <w:sz w:val="24"/>
          <w:szCs w:val="24"/>
        </w:rPr>
        <w:t xml:space="preserve"> do not have</w:t>
      </w:r>
      <w:r w:rsidR="00045DCD" w:rsidRPr="00C221C5">
        <w:rPr>
          <w:rFonts w:ascii="Times New Roman" w:hAnsi="Times New Roman" w:cs="Times New Roman"/>
          <w:i/>
          <w:iCs/>
          <w:sz w:val="24"/>
          <w:szCs w:val="24"/>
        </w:rPr>
        <w:t xml:space="preserve"> “free access” to the documents of the Principal Group Companies (or any Group companies). On conventional principles,</w:t>
      </w:r>
      <w:r w:rsidRPr="00C221C5">
        <w:rPr>
          <w:rFonts w:ascii="Times New Roman" w:hAnsi="Times New Roman" w:cs="Times New Roman"/>
          <w:i/>
          <w:iCs/>
          <w:sz w:val="24"/>
          <w:szCs w:val="24"/>
        </w:rPr>
        <w:t xml:space="preserve"> those documents are under the control of the respective boards of each relevant Group </w:t>
      </w:r>
      <w:r w:rsidR="00645F7F">
        <w:rPr>
          <w:rFonts w:ascii="Times New Roman" w:hAnsi="Times New Roman" w:cs="Times New Roman"/>
          <w:i/>
          <w:iCs/>
          <w:sz w:val="24"/>
          <w:szCs w:val="24"/>
        </w:rPr>
        <w:t>Company</w:t>
      </w:r>
      <w:r>
        <w:rPr>
          <w:rFonts w:ascii="Times New Roman" w:hAnsi="Times New Roman" w:cs="Times New Roman"/>
          <w:sz w:val="24"/>
          <w:szCs w:val="24"/>
        </w:rPr>
        <w:t>.”</w:t>
      </w:r>
    </w:p>
    <w:p w14:paraId="7588B395" w14:textId="77777777" w:rsidR="009155D0" w:rsidRDefault="009155D0" w:rsidP="009155D0">
      <w:pPr>
        <w:pStyle w:val="ListParagraph"/>
        <w:tabs>
          <w:tab w:val="left" w:pos="6696"/>
        </w:tabs>
        <w:spacing w:before="120" w:line="360" w:lineRule="auto"/>
        <w:rPr>
          <w:rFonts w:ascii="Times New Roman" w:hAnsi="Times New Roman" w:cs="Times New Roman"/>
          <w:sz w:val="24"/>
          <w:szCs w:val="24"/>
        </w:rPr>
      </w:pPr>
    </w:p>
    <w:p w14:paraId="7FB8223B" w14:textId="3A2C1785" w:rsidR="00CB2B42" w:rsidRPr="007E1825" w:rsidRDefault="00456EEA" w:rsidP="00FF2CBE">
      <w:pPr>
        <w:pStyle w:val="ListParagraph"/>
        <w:numPr>
          <w:ilvl w:val="0"/>
          <w:numId w:val="9"/>
        </w:numPr>
        <w:tabs>
          <w:tab w:val="left" w:pos="6696"/>
        </w:tabs>
        <w:spacing w:before="120" w:line="360" w:lineRule="auto"/>
        <w:rPr>
          <w:rFonts w:ascii="Times New Roman" w:hAnsi="Times New Roman" w:cs="Times New Roman"/>
          <w:i/>
          <w:iCs/>
          <w:sz w:val="24"/>
          <w:szCs w:val="24"/>
        </w:rPr>
      </w:pPr>
      <w:r w:rsidRPr="007E1825">
        <w:rPr>
          <w:rFonts w:ascii="Times New Roman" w:hAnsi="Times New Roman" w:cs="Times New Roman"/>
          <w:sz w:val="24"/>
          <w:szCs w:val="24"/>
        </w:rPr>
        <w:t>At paragraph 10 of Parr 6, Mr Parr</w:t>
      </w:r>
      <w:r w:rsidR="00FB704C" w:rsidRPr="007E1825">
        <w:rPr>
          <w:rFonts w:ascii="Times New Roman" w:hAnsi="Times New Roman" w:cs="Times New Roman"/>
          <w:sz w:val="24"/>
          <w:szCs w:val="24"/>
        </w:rPr>
        <w:t xml:space="preserve"> states that: “</w:t>
      </w:r>
      <w:r w:rsidR="00CB2B42" w:rsidRPr="007E1825">
        <w:rPr>
          <w:rFonts w:ascii="Times New Roman" w:hAnsi="Times New Roman" w:cs="Times New Roman"/>
          <w:i/>
          <w:iCs/>
          <w:sz w:val="24"/>
          <w:szCs w:val="24"/>
        </w:rPr>
        <w:t xml:space="preserve">In Chudleigh 2, the Plaintiffs contended that there was in place between Jardine Strategic and at least the Principal Group Companies and remains in place between the </w:t>
      </w:r>
      <w:r w:rsidR="00645F7F">
        <w:rPr>
          <w:rFonts w:ascii="Times New Roman" w:hAnsi="Times New Roman" w:cs="Times New Roman"/>
          <w:i/>
          <w:iCs/>
          <w:sz w:val="24"/>
          <w:szCs w:val="24"/>
        </w:rPr>
        <w:t>Company</w:t>
      </w:r>
      <w:r w:rsidR="00CB2B42" w:rsidRPr="007E1825">
        <w:rPr>
          <w:rFonts w:ascii="Times New Roman" w:hAnsi="Times New Roman" w:cs="Times New Roman"/>
          <w:i/>
          <w:iCs/>
          <w:sz w:val="24"/>
          <w:szCs w:val="24"/>
        </w:rPr>
        <w:t xml:space="preserve"> and</w:t>
      </w:r>
      <w:r w:rsidR="007C2C7B" w:rsidRPr="007E1825">
        <w:rPr>
          <w:rFonts w:ascii="Times New Roman" w:hAnsi="Times New Roman" w:cs="Times New Roman"/>
          <w:i/>
          <w:iCs/>
          <w:sz w:val="24"/>
          <w:szCs w:val="24"/>
        </w:rPr>
        <w:t xml:space="preserve"> </w:t>
      </w:r>
      <w:r w:rsidR="00CB2B42" w:rsidRPr="007E1825">
        <w:rPr>
          <w:rFonts w:ascii="Times New Roman" w:hAnsi="Times New Roman" w:cs="Times New Roman"/>
          <w:i/>
          <w:iCs/>
          <w:sz w:val="24"/>
          <w:szCs w:val="24"/>
        </w:rPr>
        <w:t xml:space="preserve">the Principal Group Companies, an arrangement or understanding the effect of which was that the </w:t>
      </w:r>
      <w:r w:rsidR="00645F7F">
        <w:rPr>
          <w:rFonts w:ascii="Times New Roman" w:hAnsi="Times New Roman" w:cs="Times New Roman"/>
          <w:i/>
          <w:iCs/>
          <w:sz w:val="24"/>
          <w:szCs w:val="24"/>
        </w:rPr>
        <w:t>Company</w:t>
      </w:r>
      <w:r w:rsidR="00CB2B42" w:rsidRPr="007E1825">
        <w:rPr>
          <w:rFonts w:ascii="Times New Roman" w:hAnsi="Times New Roman" w:cs="Times New Roman"/>
          <w:i/>
          <w:iCs/>
          <w:sz w:val="24"/>
          <w:szCs w:val="24"/>
        </w:rPr>
        <w:t xml:space="preserve"> had and have free access to the documents of those entities (Alleged Arrangement or Understanding). In Parr 5, I addressed in detail the factors on which the Plaintiffs relied (as set out in Chudleigh 2) for the existence of the Alleged Arrangement or</w:t>
      </w:r>
      <w:r w:rsidR="007C2C7B" w:rsidRPr="007E1825">
        <w:rPr>
          <w:rFonts w:ascii="Times New Roman" w:hAnsi="Times New Roman" w:cs="Times New Roman"/>
          <w:i/>
          <w:iCs/>
          <w:sz w:val="24"/>
          <w:szCs w:val="24"/>
        </w:rPr>
        <w:t xml:space="preserve"> </w:t>
      </w:r>
      <w:r w:rsidR="00CB2B42" w:rsidRPr="007E1825">
        <w:rPr>
          <w:rFonts w:ascii="Times New Roman" w:hAnsi="Times New Roman" w:cs="Times New Roman"/>
          <w:i/>
          <w:iCs/>
          <w:sz w:val="24"/>
          <w:szCs w:val="24"/>
        </w:rPr>
        <w:t xml:space="preserve">Understanding and responded to the matters raised by Mr Chudleigh in Section D of </w:t>
      </w:r>
    </w:p>
    <w:p w14:paraId="4AC16504" w14:textId="35DA2BFD" w:rsidR="00C221C5" w:rsidRDefault="00CB2B42" w:rsidP="007C36B3">
      <w:pPr>
        <w:pStyle w:val="ListParagraph"/>
        <w:tabs>
          <w:tab w:val="left" w:pos="6696"/>
        </w:tabs>
        <w:spacing w:before="120" w:line="360" w:lineRule="auto"/>
        <w:rPr>
          <w:rFonts w:ascii="Times New Roman" w:hAnsi="Times New Roman" w:cs="Times New Roman"/>
          <w:sz w:val="24"/>
          <w:szCs w:val="24"/>
        </w:rPr>
      </w:pPr>
      <w:r w:rsidRPr="007C36B3">
        <w:rPr>
          <w:rFonts w:ascii="Times New Roman" w:hAnsi="Times New Roman" w:cs="Times New Roman"/>
          <w:i/>
          <w:iCs/>
          <w:sz w:val="24"/>
          <w:szCs w:val="24"/>
        </w:rPr>
        <w:t xml:space="preserve">Chudleigh 2 as regards documents that are in the </w:t>
      </w:r>
      <w:r w:rsidR="00645F7F">
        <w:rPr>
          <w:rFonts w:ascii="Times New Roman" w:hAnsi="Times New Roman" w:cs="Times New Roman"/>
          <w:i/>
          <w:iCs/>
          <w:sz w:val="24"/>
          <w:szCs w:val="24"/>
        </w:rPr>
        <w:t>Company</w:t>
      </w:r>
      <w:r w:rsidRPr="007C36B3">
        <w:rPr>
          <w:rFonts w:ascii="Times New Roman" w:hAnsi="Times New Roman" w:cs="Times New Roman"/>
          <w:i/>
          <w:iCs/>
          <w:sz w:val="24"/>
          <w:szCs w:val="24"/>
        </w:rPr>
        <w:t>' possession, custody or power (PCP). In doing so, I explained that the Alleged Arrangement or Understanding does not exist and, so far as I was aware, has never existed. That remains my unequivocal evidence</w:t>
      </w:r>
      <w:r w:rsidRPr="007C36B3">
        <w:rPr>
          <w:rFonts w:ascii="Times New Roman" w:hAnsi="Times New Roman" w:cs="Times New Roman"/>
          <w:sz w:val="24"/>
          <w:szCs w:val="24"/>
        </w:rPr>
        <w:t>.</w:t>
      </w:r>
      <w:r w:rsidR="007C36B3">
        <w:rPr>
          <w:rFonts w:ascii="Times New Roman" w:hAnsi="Times New Roman" w:cs="Times New Roman"/>
          <w:sz w:val="24"/>
          <w:szCs w:val="24"/>
        </w:rPr>
        <w:t>”</w:t>
      </w:r>
    </w:p>
    <w:p w14:paraId="0E9CFD13" w14:textId="77777777" w:rsidR="007E1825" w:rsidRDefault="007E1825" w:rsidP="007C36B3">
      <w:pPr>
        <w:pStyle w:val="ListParagraph"/>
        <w:tabs>
          <w:tab w:val="left" w:pos="6696"/>
        </w:tabs>
        <w:spacing w:before="120" w:line="360" w:lineRule="auto"/>
        <w:rPr>
          <w:rFonts w:ascii="Times New Roman" w:hAnsi="Times New Roman" w:cs="Times New Roman"/>
          <w:sz w:val="24"/>
          <w:szCs w:val="24"/>
        </w:rPr>
      </w:pPr>
    </w:p>
    <w:p w14:paraId="6294B066" w14:textId="79C596C7" w:rsidR="007E1825" w:rsidRDefault="0074014E" w:rsidP="00FF2CBE">
      <w:pPr>
        <w:pStyle w:val="ListParagraph"/>
        <w:numPr>
          <w:ilvl w:val="0"/>
          <w:numId w:val="13"/>
        </w:numPr>
        <w:tabs>
          <w:tab w:val="left" w:pos="450"/>
        </w:tabs>
        <w:spacing w:before="120" w:line="360" w:lineRule="auto"/>
        <w:ind w:left="450" w:hanging="450"/>
        <w:jc w:val="both"/>
        <w:rPr>
          <w:rFonts w:ascii="Times New Roman" w:hAnsi="Times New Roman" w:cs="Times New Roman"/>
          <w:sz w:val="24"/>
          <w:szCs w:val="24"/>
        </w:rPr>
      </w:pPr>
      <w:r>
        <w:rPr>
          <w:rFonts w:ascii="Times New Roman" w:hAnsi="Times New Roman" w:cs="Times New Roman"/>
          <w:sz w:val="24"/>
          <w:szCs w:val="24"/>
        </w:rPr>
        <w:t>Mr Adkins KC</w:t>
      </w:r>
      <w:r w:rsidR="00CD6DF0">
        <w:rPr>
          <w:rFonts w:ascii="Times New Roman" w:hAnsi="Times New Roman" w:cs="Times New Roman"/>
          <w:sz w:val="24"/>
          <w:szCs w:val="24"/>
        </w:rPr>
        <w:t xml:space="preserve"> submits that the evidence of Mr Parr in relation to the existence of the alleged arrangement or understanding is likely to be important</w:t>
      </w:r>
      <w:r w:rsidR="00973847">
        <w:rPr>
          <w:rFonts w:ascii="Times New Roman" w:hAnsi="Times New Roman" w:cs="Times New Roman"/>
          <w:sz w:val="24"/>
          <w:szCs w:val="24"/>
        </w:rPr>
        <w:t xml:space="preserve"> if the issue is whether there was an </w:t>
      </w:r>
      <w:r w:rsidR="00973847" w:rsidRPr="00973847">
        <w:rPr>
          <w:rFonts w:ascii="Times New Roman" w:hAnsi="Times New Roman" w:cs="Times New Roman"/>
          <w:i/>
          <w:iCs/>
          <w:sz w:val="24"/>
          <w:szCs w:val="24"/>
        </w:rPr>
        <w:t>express agreement</w:t>
      </w:r>
      <w:r w:rsidR="00973847">
        <w:rPr>
          <w:rFonts w:ascii="Times New Roman" w:hAnsi="Times New Roman" w:cs="Times New Roman"/>
          <w:sz w:val="24"/>
          <w:szCs w:val="24"/>
        </w:rPr>
        <w:t xml:space="preserve"> to that effect. He says</w:t>
      </w:r>
      <w:r w:rsidR="00A279FA">
        <w:rPr>
          <w:rFonts w:ascii="Times New Roman" w:hAnsi="Times New Roman" w:cs="Times New Roman"/>
          <w:sz w:val="24"/>
          <w:szCs w:val="24"/>
        </w:rPr>
        <w:t xml:space="preserve"> that it provides</w:t>
      </w:r>
      <w:r w:rsidR="00964076">
        <w:rPr>
          <w:rFonts w:ascii="Times New Roman" w:hAnsi="Times New Roman" w:cs="Times New Roman"/>
          <w:sz w:val="24"/>
          <w:szCs w:val="24"/>
        </w:rPr>
        <w:t xml:space="preserve"> little assistance to the court when the court is considering whether</w:t>
      </w:r>
      <w:r w:rsidR="00342159">
        <w:rPr>
          <w:rFonts w:ascii="Times New Roman" w:hAnsi="Times New Roman" w:cs="Times New Roman"/>
          <w:sz w:val="24"/>
          <w:szCs w:val="24"/>
        </w:rPr>
        <w:t xml:space="preserve"> to infer the existence of such an arrangement or understanding from the facts and circumstances presented to the court.</w:t>
      </w:r>
    </w:p>
    <w:p w14:paraId="06D261A5" w14:textId="77777777" w:rsidR="00022DF7" w:rsidRDefault="00022DF7" w:rsidP="007E1825">
      <w:pPr>
        <w:pStyle w:val="ListParagraph"/>
        <w:tabs>
          <w:tab w:val="left" w:pos="6696"/>
        </w:tabs>
        <w:spacing w:before="120" w:line="360" w:lineRule="auto"/>
        <w:ind w:left="0"/>
        <w:rPr>
          <w:rFonts w:ascii="Times New Roman" w:hAnsi="Times New Roman" w:cs="Times New Roman"/>
          <w:sz w:val="24"/>
          <w:szCs w:val="24"/>
        </w:rPr>
      </w:pPr>
    </w:p>
    <w:p w14:paraId="126C5403" w14:textId="3E1935A6" w:rsidR="00022DF7" w:rsidRPr="00080E32" w:rsidRDefault="00022DF7" w:rsidP="00FF2CBE">
      <w:pPr>
        <w:pStyle w:val="ListParagraph"/>
        <w:numPr>
          <w:ilvl w:val="0"/>
          <w:numId w:val="13"/>
        </w:numPr>
        <w:tabs>
          <w:tab w:val="left" w:pos="450"/>
        </w:tabs>
        <w:spacing w:before="120" w:line="360" w:lineRule="auto"/>
        <w:ind w:left="450" w:hanging="450"/>
        <w:jc w:val="both"/>
        <w:rPr>
          <w:rFonts w:ascii="Times New Roman" w:hAnsi="Times New Roman" w:cs="Times New Roman"/>
          <w:sz w:val="24"/>
          <w:szCs w:val="24"/>
        </w:rPr>
      </w:pPr>
      <w:r w:rsidRPr="00080E32">
        <w:rPr>
          <w:rFonts w:ascii="Times New Roman" w:hAnsi="Times New Roman" w:cs="Times New Roman"/>
          <w:sz w:val="24"/>
          <w:szCs w:val="24"/>
        </w:rPr>
        <w:t>The Court accepts</w:t>
      </w:r>
      <w:r w:rsidR="00BD130A" w:rsidRPr="00080E32">
        <w:rPr>
          <w:rFonts w:ascii="Times New Roman" w:hAnsi="Times New Roman" w:cs="Times New Roman"/>
          <w:sz w:val="24"/>
          <w:szCs w:val="24"/>
        </w:rPr>
        <w:t xml:space="preserve"> that the evidence</w:t>
      </w:r>
      <w:r w:rsidR="00CB22FC" w:rsidRPr="00080E32">
        <w:rPr>
          <w:rFonts w:ascii="Times New Roman" w:hAnsi="Times New Roman" w:cs="Times New Roman"/>
          <w:sz w:val="24"/>
          <w:szCs w:val="24"/>
        </w:rPr>
        <w:t xml:space="preserve"> of a witness as to the existence of an arrangement or understanding is likely to be</w:t>
      </w:r>
      <w:r w:rsidR="00E929AA" w:rsidRPr="00080E32">
        <w:rPr>
          <w:rFonts w:ascii="Times New Roman" w:hAnsi="Times New Roman" w:cs="Times New Roman"/>
          <w:sz w:val="24"/>
          <w:szCs w:val="24"/>
        </w:rPr>
        <w:t xml:space="preserve"> highly relevant and probative</w:t>
      </w:r>
      <w:r w:rsidR="00A55FFF" w:rsidRPr="00080E32">
        <w:rPr>
          <w:rFonts w:ascii="Times New Roman" w:hAnsi="Times New Roman" w:cs="Times New Roman"/>
          <w:sz w:val="24"/>
          <w:szCs w:val="24"/>
        </w:rPr>
        <w:t xml:space="preserve"> in th</w:t>
      </w:r>
      <w:r w:rsidR="00863030" w:rsidRPr="00080E32">
        <w:rPr>
          <w:rFonts w:ascii="Times New Roman" w:hAnsi="Times New Roman" w:cs="Times New Roman"/>
          <w:sz w:val="24"/>
          <w:szCs w:val="24"/>
        </w:rPr>
        <w:t>e</w:t>
      </w:r>
      <w:r w:rsidR="00A55FFF" w:rsidRPr="00080E32">
        <w:rPr>
          <w:rFonts w:ascii="Times New Roman" w:hAnsi="Times New Roman" w:cs="Times New Roman"/>
          <w:sz w:val="24"/>
          <w:szCs w:val="24"/>
        </w:rPr>
        <w:t xml:space="preserve"> case of an express agreement than</w:t>
      </w:r>
      <w:r w:rsidR="000A4C81" w:rsidRPr="00080E32">
        <w:rPr>
          <w:rFonts w:ascii="Times New Roman" w:hAnsi="Times New Roman" w:cs="Times New Roman"/>
          <w:sz w:val="24"/>
          <w:szCs w:val="24"/>
        </w:rPr>
        <w:t xml:space="preserve"> in a case</w:t>
      </w:r>
      <w:r w:rsidR="003A6150" w:rsidRPr="00080E32">
        <w:rPr>
          <w:rFonts w:ascii="Times New Roman" w:hAnsi="Times New Roman" w:cs="Times New Roman"/>
          <w:sz w:val="24"/>
          <w:szCs w:val="24"/>
        </w:rPr>
        <w:t xml:space="preserve"> where the court is asked to infer an arrangement or understanding from the evidence relied upon by one of the parties. However, even in th</w:t>
      </w:r>
      <w:r w:rsidR="00710C1A" w:rsidRPr="00080E32">
        <w:rPr>
          <w:rFonts w:ascii="Times New Roman" w:hAnsi="Times New Roman" w:cs="Times New Roman"/>
          <w:sz w:val="24"/>
          <w:szCs w:val="24"/>
        </w:rPr>
        <w:t>e</w:t>
      </w:r>
      <w:r w:rsidR="003A6150" w:rsidRPr="00080E32">
        <w:rPr>
          <w:rFonts w:ascii="Times New Roman" w:hAnsi="Times New Roman" w:cs="Times New Roman"/>
          <w:sz w:val="24"/>
          <w:szCs w:val="24"/>
        </w:rPr>
        <w:t xml:space="preserve"> case</w:t>
      </w:r>
      <w:r w:rsidR="00522711" w:rsidRPr="00080E32">
        <w:rPr>
          <w:rFonts w:ascii="Times New Roman" w:hAnsi="Times New Roman" w:cs="Times New Roman"/>
          <w:sz w:val="24"/>
          <w:szCs w:val="24"/>
        </w:rPr>
        <w:t xml:space="preserve"> of an inferred arrangement or understanding</w:t>
      </w:r>
      <w:r w:rsidR="00A97CD4" w:rsidRPr="00080E32">
        <w:rPr>
          <w:rFonts w:ascii="Times New Roman" w:hAnsi="Times New Roman" w:cs="Times New Roman"/>
          <w:sz w:val="24"/>
          <w:szCs w:val="24"/>
        </w:rPr>
        <w:t xml:space="preserve"> the evidence of a witness such as Mr Parr is not irrelevant</w:t>
      </w:r>
      <w:r w:rsidR="005C2012" w:rsidRPr="00080E32">
        <w:rPr>
          <w:rFonts w:ascii="Times New Roman" w:hAnsi="Times New Roman" w:cs="Times New Roman"/>
          <w:sz w:val="24"/>
          <w:szCs w:val="24"/>
        </w:rPr>
        <w:t xml:space="preserve"> and has evidential value</w:t>
      </w:r>
      <w:r w:rsidR="00A97CD4" w:rsidRPr="00080E32">
        <w:rPr>
          <w:rFonts w:ascii="Times New Roman" w:hAnsi="Times New Roman" w:cs="Times New Roman"/>
          <w:sz w:val="24"/>
          <w:szCs w:val="24"/>
        </w:rPr>
        <w:t xml:space="preserve">. </w:t>
      </w:r>
      <w:r w:rsidR="00FF29AA" w:rsidRPr="00080E32">
        <w:rPr>
          <w:rFonts w:ascii="Times New Roman" w:hAnsi="Times New Roman" w:cs="Times New Roman"/>
          <w:sz w:val="24"/>
          <w:szCs w:val="24"/>
        </w:rPr>
        <w:t xml:space="preserve">Mr Parr </w:t>
      </w:r>
      <w:r w:rsidR="00A9684A" w:rsidRPr="00080E32">
        <w:rPr>
          <w:rFonts w:ascii="Times New Roman" w:hAnsi="Times New Roman" w:cs="Times New Roman"/>
          <w:sz w:val="24"/>
          <w:szCs w:val="24"/>
        </w:rPr>
        <w:t>has been the Group General Counsel of the Jardine Matheson group of companies an</w:t>
      </w:r>
      <w:r w:rsidR="005C5E37" w:rsidRPr="00080E32">
        <w:rPr>
          <w:rFonts w:ascii="Times New Roman" w:hAnsi="Times New Roman" w:cs="Times New Roman"/>
          <w:sz w:val="24"/>
          <w:szCs w:val="24"/>
        </w:rPr>
        <w:t>d a</w:t>
      </w:r>
      <w:r w:rsidR="00A9684A" w:rsidRPr="00080E32">
        <w:rPr>
          <w:rFonts w:ascii="Times New Roman" w:hAnsi="Times New Roman" w:cs="Times New Roman"/>
          <w:sz w:val="24"/>
          <w:szCs w:val="24"/>
        </w:rPr>
        <w:t xml:space="preserve"> director of certain companies in that group since 2015</w:t>
      </w:r>
      <w:r w:rsidR="00A10EDA" w:rsidRPr="00080E32">
        <w:rPr>
          <w:rFonts w:ascii="Times New Roman" w:hAnsi="Times New Roman" w:cs="Times New Roman"/>
          <w:sz w:val="24"/>
          <w:szCs w:val="24"/>
        </w:rPr>
        <w:t xml:space="preserve">. Prior to that role, he was a corporate partner of Linklaters LLP and global head of the </w:t>
      </w:r>
      <w:r w:rsidR="00863030" w:rsidRPr="00080E32">
        <w:rPr>
          <w:rFonts w:ascii="Times New Roman" w:hAnsi="Times New Roman" w:cs="Times New Roman"/>
          <w:sz w:val="24"/>
          <w:szCs w:val="24"/>
        </w:rPr>
        <w:t xml:space="preserve">firm’s corporate division. </w:t>
      </w:r>
      <w:r w:rsidR="00A97CD4" w:rsidRPr="00080E32">
        <w:rPr>
          <w:rFonts w:ascii="Times New Roman" w:hAnsi="Times New Roman" w:cs="Times New Roman"/>
          <w:sz w:val="24"/>
          <w:szCs w:val="24"/>
        </w:rPr>
        <w:t>Here, Mr Parr was responding to the affidavit evidence of Mr Chudleigh</w:t>
      </w:r>
      <w:r w:rsidR="005F14F7" w:rsidRPr="00080E32">
        <w:rPr>
          <w:rFonts w:ascii="Times New Roman" w:hAnsi="Times New Roman" w:cs="Times New Roman"/>
          <w:sz w:val="24"/>
          <w:szCs w:val="24"/>
        </w:rPr>
        <w:t>, a Bermuda barrister and attorney</w:t>
      </w:r>
      <w:r w:rsidR="00983CE2" w:rsidRPr="00080E32">
        <w:rPr>
          <w:rFonts w:ascii="Times New Roman" w:hAnsi="Times New Roman" w:cs="Times New Roman"/>
          <w:sz w:val="24"/>
          <w:szCs w:val="24"/>
        </w:rPr>
        <w:t xml:space="preserve"> representing</w:t>
      </w:r>
      <w:r w:rsidR="00AD17E9" w:rsidRPr="00080E32">
        <w:rPr>
          <w:rFonts w:ascii="Times New Roman" w:hAnsi="Times New Roman" w:cs="Times New Roman"/>
          <w:sz w:val="24"/>
          <w:szCs w:val="24"/>
        </w:rPr>
        <w:t xml:space="preserve"> some of the Plaintiffs. In Chudleigh 2, Mr Chudleigh states that</w:t>
      </w:r>
      <w:r w:rsidR="001A27DC" w:rsidRPr="00080E32">
        <w:rPr>
          <w:rFonts w:ascii="Times New Roman" w:hAnsi="Times New Roman" w:cs="Times New Roman"/>
          <w:sz w:val="24"/>
          <w:szCs w:val="24"/>
        </w:rPr>
        <w:t xml:space="preserve"> the evidence presented</w:t>
      </w:r>
      <w:r w:rsidR="009E5529" w:rsidRPr="00080E32">
        <w:rPr>
          <w:rFonts w:ascii="Times New Roman" w:hAnsi="Times New Roman" w:cs="Times New Roman"/>
          <w:sz w:val="24"/>
          <w:szCs w:val="24"/>
        </w:rPr>
        <w:t xml:space="preserve"> to the Court by the </w:t>
      </w:r>
      <w:r w:rsidR="00645F7F" w:rsidRPr="00080E32">
        <w:rPr>
          <w:rFonts w:ascii="Times New Roman" w:hAnsi="Times New Roman" w:cs="Times New Roman"/>
          <w:sz w:val="24"/>
          <w:szCs w:val="24"/>
        </w:rPr>
        <w:t>Company</w:t>
      </w:r>
      <w:r w:rsidR="009E5529" w:rsidRPr="00080E32">
        <w:rPr>
          <w:rFonts w:ascii="Times New Roman" w:hAnsi="Times New Roman" w:cs="Times New Roman"/>
          <w:sz w:val="24"/>
          <w:szCs w:val="24"/>
        </w:rPr>
        <w:t xml:space="preserve"> at the Directions hearing</w:t>
      </w:r>
      <w:r w:rsidR="00E248A9" w:rsidRPr="00080E32">
        <w:rPr>
          <w:rFonts w:ascii="Times New Roman" w:hAnsi="Times New Roman" w:cs="Times New Roman"/>
          <w:sz w:val="24"/>
          <w:szCs w:val="24"/>
        </w:rPr>
        <w:t xml:space="preserve"> together with what is apparent from the documents in fact disclosed, “</w:t>
      </w:r>
      <w:r w:rsidR="00273FA3" w:rsidRPr="00080E32">
        <w:rPr>
          <w:rFonts w:ascii="Times New Roman" w:hAnsi="Times New Roman" w:cs="Times New Roman"/>
          <w:sz w:val="24"/>
          <w:szCs w:val="24"/>
        </w:rPr>
        <w:t xml:space="preserve"> </w:t>
      </w:r>
      <w:r w:rsidR="00273FA3" w:rsidRPr="00080E32">
        <w:rPr>
          <w:rFonts w:ascii="Times New Roman" w:hAnsi="Times New Roman" w:cs="Times New Roman"/>
          <w:i/>
          <w:iCs/>
          <w:sz w:val="24"/>
          <w:szCs w:val="24"/>
        </w:rPr>
        <w:t xml:space="preserve">is consistent, and only consistent, with there being in place between JSHL and at least the Principal Group Companies, and remaining in place between JSL and the Principal Group Companies, an arrangement or understanding the effect of which was that the </w:t>
      </w:r>
      <w:r w:rsidR="00645F7F" w:rsidRPr="00080E32">
        <w:rPr>
          <w:rFonts w:ascii="Times New Roman" w:hAnsi="Times New Roman" w:cs="Times New Roman"/>
          <w:i/>
          <w:iCs/>
          <w:sz w:val="24"/>
          <w:szCs w:val="24"/>
        </w:rPr>
        <w:t>Company</w:t>
      </w:r>
      <w:r w:rsidR="00273FA3" w:rsidRPr="00080E32">
        <w:rPr>
          <w:rFonts w:ascii="Times New Roman" w:hAnsi="Times New Roman" w:cs="Times New Roman"/>
          <w:i/>
          <w:iCs/>
          <w:sz w:val="24"/>
          <w:szCs w:val="24"/>
        </w:rPr>
        <w:t xml:space="preserve"> had and have free access to the documents of those entities</w:t>
      </w:r>
      <w:r w:rsidR="00273FA3" w:rsidRPr="00080E32">
        <w:rPr>
          <w:rFonts w:ascii="Times New Roman" w:hAnsi="Times New Roman" w:cs="Times New Roman"/>
          <w:sz w:val="24"/>
          <w:szCs w:val="24"/>
        </w:rPr>
        <w:t>.</w:t>
      </w:r>
      <w:r w:rsidR="002B3608" w:rsidRPr="00080E32">
        <w:rPr>
          <w:rFonts w:ascii="Times New Roman" w:hAnsi="Times New Roman" w:cs="Times New Roman"/>
          <w:sz w:val="24"/>
          <w:szCs w:val="24"/>
        </w:rPr>
        <w:t>”</w:t>
      </w:r>
    </w:p>
    <w:p w14:paraId="5934B94A" w14:textId="77777777" w:rsidR="002B3608" w:rsidRDefault="002B3608" w:rsidP="002B3608">
      <w:pPr>
        <w:tabs>
          <w:tab w:val="left" w:pos="6696"/>
        </w:tabs>
        <w:spacing w:before="120" w:line="360" w:lineRule="auto"/>
        <w:rPr>
          <w:rFonts w:ascii="Times New Roman" w:hAnsi="Times New Roman" w:cs="Times New Roman"/>
          <w:sz w:val="24"/>
          <w:szCs w:val="24"/>
        </w:rPr>
      </w:pPr>
    </w:p>
    <w:p w14:paraId="013DDBCF" w14:textId="78D03D4F" w:rsidR="002B3608" w:rsidRPr="00080E32" w:rsidRDefault="00081892" w:rsidP="00FF2CBE">
      <w:pPr>
        <w:pStyle w:val="ListParagraph"/>
        <w:numPr>
          <w:ilvl w:val="0"/>
          <w:numId w:val="13"/>
        </w:numPr>
        <w:tabs>
          <w:tab w:val="left" w:pos="450"/>
        </w:tabs>
        <w:spacing w:before="120" w:line="360" w:lineRule="auto"/>
        <w:ind w:left="450" w:hanging="450"/>
        <w:jc w:val="both"/>
        <w:rPr>
          <w:rFonts w:ascii="Times New Roman" w:hAnsi="Times New Roman" w:cs="Times New Roman"/>
          <w:sz w:val="24"/>
          <w:szCs w:val="24"/>
        </w:rPr>
      </w:pPr>
      <w:r w:rsidRPr="00080E32">
        <w:rPr>
          <w:rFonts w:ascii="Times New Roman" w:hAnsi="Times New Roman" w:cs="Times New Roman"/>
          <w:sz w:val="24"/>
          <w:szCs w:val="24"/>
        </w:rPr>
        <w:t>In the Court’s view Mr Parr is entitled to respond to the evidence of Mr Chudleigh as to the existence of an arrangement or understanding</w:t>
      </w:r>
      <w:r w:rsidR="00DE515E" w:rsidRPr="00080E32">
        <w:rPr>
          <w:rFonts w:ascii="Times New Roman" w:hAnsi="Times New Roman" w:cs="Times New Roman"/>
          <w:sz w:val="24"/>
          <w:szCs w:val="24"/>
        </w:rPr>
        <w:t xml:space="preserve"> based upon the evidence referred to in Mr Chudleigh’s affidavits</w:t>
      </w:r>
      <w:r w:rsidR="00ED6323" w:rsidRPr="00080E32">
        <w:rPr>
          <w:rFonts w:ascii="Times New Roman" w:hAnsi="Times New Roman" w:cs="Times New Roman"/>
          <w:sz w:val="24"/>
          <w:szCs w:val="24"/>
        </w:rPr>
        <w:t xml:space="preserve"> and</w:t>
      </w:r>
      <w:r w:rsidR="00AF5A16" w:rsidRPr="00080E32">
        <w:rPr>
          <w:rFonts w:ascii="Times New Roman" w:hAnsi="Times New Roman" w:cs="Times New Roman"/>
          <w:sz w:val="24"/>
          <w:szCs w:val="24"/>
        </w:rPr>
        <w:t xml:space="preserve"> based</w:t>
      </w:r>
      <w:r w:rsidR="00ED6323" w:rsidRPr="00080E32">
        <w:rPr>
          <w:rFonts w:ascii="Times New Roman" w:hAnsi="Times New Roman" w:cs="Times New Roman"/>
          <w:sz w:val="24"/>
          <w:szCs w:val="24"/>
        </w:rPr>
        <w:t xml:space="preserve"> upon Mr Parr’s own understanding</w:t>
      </w:r>
      <w:r w:rsidR="001C204A" w:rsidRPr="00080E32">
        <w:rPr>
          <w:rFonts w:ascii="Times New Roman" w:hAnsi="Times New Roman" w:cs="Times New Roman"/>
          <w:sz w:val="24"/>
          <w:szCs w:val="24"/>
        </w:rPr>
        <w:t xml:space="preserve"> of the position.</w:t>
      </w:r>
      <w:r w:rsidR="00D673D9" w:rsidRPr="00080E32">
        <w:rPr>
          <w:rFonts w:ascii="Times New Roman" w:hAnsi="Times New Roman" w:cs="Times New Roman"/>
          <w:sz w:val="24"/>
          <w:szCs w:val="24"/>
        </w:rPr>
        <w:t xml:space="preserve"> Mr Parr’s evidence is consistent with the finding made by the Court that there was in fact no arrangement or understanding</w:t>
      </w:r>
      <w:r w:rsidR="00CB471C" w:rsidRPr="00080E32">
        <w:rPr>
          <w:rFonts w:ascii="Times New Roman" w:hAnsi="Times New Roman" w:cs="Times New Roman"/>
          <w:sz w:val="24"/>
          <w:szCs w:val="24"/>
        </w:rPr>
        <w:t xml:space="preserve"> the effect of which was that the </w:t>
      </w:r>
      <w:r w:rsidR="00645F7F" w:rsidRPr="00080E32">
        <w:rPr>
          <w:rFonts w:ascii="Times New Roman" w:hAnsi="Times New Roman" w:cs="Times New Roman"/>
          <w:sz w:val="24"/>
          <w:szCs w:val="24"/>
        </w:rPr>
        <w:t>Company</w:t>
      </w:r>
      <w:r w:rsidR="00CB471C" w:rsidRPr="00080E32">
        <w:rPr>
          <w:rFonts w:ascii="Times New Roman" w:hAnsi="Times New Roman" w:cs="Times New Roman"/>
          <w:sz w:val="24"/>
          <w:szCs w:val="24"/>
        </w:rPr>
        <w:t xml:space="preserve"> had and has free access to the documents of the Principal Group Companies</w:t>
      </w:r>
      <w:r w:rsidR="00467CF6" w:rsidRPr="00080E32">
        <w:rPr>
          <w:rFonts w:ascii="Times New Roman" w:hAnsi="Times New Roman" w:cs="Times New Roman"/>
          <w:sz w:val="24"/>
          <w:szCs w:val="24"/>
        </w:rPr>
        <w:t xml:space="preserve"> and as such</w:t>
      </w:r>
      <w:r w:rsidR="00531381" w:rsidRPr="00080E32">
        <w:rPr>
          <w:rFonts w:ascii="Times New Roman" w:hAnsi="Times New Roman" w:cs="Times New Roman"/>
          <w:sz w:val="24"/>
          <w:szCs w:val="24"/>
        </w:rPr>
        <w:t xml:space="preserve"> </w:t>
      </w:r>
      <w:r w:rsidR="00467CF6" w:rsidRPr="00080E32">
        <w:rPr>
          <w:rFonts w:ascii="Times New Roman" w:hAnsi="Times New Roman" w:cs="Times New Roman"/>
          <w:sz w:val="24"/>
          <w:szCs w:val="24"/>
        </w:rPr>
        <w:t>t</w:t>
      </w:r>
      <w:r w:rsidR="00531381" w:rsidRPr="00080E32">
        <w:rPr>
          <w:rFonts w:ascii="Times New Roman" w:hAnsi="Times New Roman" w:cs="Times New Roman"/>
          <w:sz w:val="24"/>
          <w:szCs w:val="24"/>
        </w:rPr>
        <w:t xml:space="preserve">here is no basis for the </w:t>
      </w:r>
      <w:r w:rsidR="002C70D2" w:rsidRPr="00080E32">
        <w:rPr>
          <w:rFonts w:ascii="Times New Roman" w:hAnsi="Times New Roman" w:cs="Times New Roman"/>
          <w:sz w:val="24"/>
          <w:szCs w:val="24"/>
        </w:rPr>
        <w:t>C</w:t>
      </w:r>
      <w:r w:rsidR="00531381" w:rsidRPr="00080E32">
        <w:rPr>
          <w:rFonts w:ascii="Times New Roman" w:hAnsi="Times New Roman" w:cs="Times New Roman"/>
          <w:sz w:val="24"/>
          <w:szCs w:val="24"/>
        </w:rPr>
        <w:t>ourt</w:t>
      </w:r>
      <w:r w:rsidR="002C70D2" w:rsidRPr="00080E32">
        <w:rPr>
          <w:rFonts w:ascii="Times New Roman" w:hAnsi="Times New Roman" w:cs="Times New Roman"/>
          <w:sz w:val="24"/>
          <w:szCs w:val="24"/>
        </w:rPr>
        <w:t xml:space="preserve"> to reject </w:t>
      </w:r>
      <w:r w:rsidR="00073A5B" w:rsidRPr="00080E32">
        <w:rPr>
          <w:rFonts w:ascii="Times New Roman" w:hAnsi="Times New Roman" w:cs="Times New Roman"/>
          <w:sz w:val="24"/>
          <w:szCs w:val="24"/>
        </w:rPr>
        <w:t>his</w:t>
      </w:r>
      <w:r w:rsidR="002C70D2" w:rsidRPr="00080E32">
        <w:rPr>
          <w:rFonts w:ascii="Times New Roman" w:hAnsi="Times New Roman" w:cs="Times New Roman"/>
          <w:sz w:val="24"/>
          <w:szCs w:val="24"/>
        </w:rPr>
        <w:t xml:space="preserve"> evidence</w:t>
      </w:r>
      <w:r w:rsidR="0031138E" w:rsidRPr="00080E32">
        <w:rPr>
          <w:rFonts w:ascii="Times New Roman" w:hAnsi="Times New Roman" w:cs="Times New Roman"/>
          <w:sz w:val="24"/>
          <w:szCs w:val="24"/>
        </w:rPr>
        <w:t>.</w:t>
      </w:r>
    </w:p>
    <w:p w14:paraId="6AB52FA7" w14:textId="77777777" w:rsidR="00073A5B" w:rsidRPr="00AE0E01" w:rsidRDefault="00073A5B" w:rsidP="00AE0E01">
      <w:pPr>
        <w:tabs>
          <w:tab w:val="left" w:pos="6696"/>
        </w:tabs>
        <w:spacing w:before="120" w:line="360" w:lineRule="auto"/>
        <w:rPr>
          <w:rFonts w:ascii="Times New Roman" w:hAnsi="Times New Roman" w:cs="Times New Roman"/>
          <w:sz w:val="24"/>
          <w:szCs w:val="24"/>
        </w:rPr>
      </w:pPr>
    </w:p>
    <w:p w14:paraId="36F1B30D" w14:textId="4017605B" w:rsidR="00073A5B" w:rsidRPr="00080E32" w:rsidRDefault="00536FB9" w:rsidP="00FF2CBE">
      <w:pPr>
        <w:pStyle w:val="ListParagraph"/>
        <w:numPr>
          <w:ilvl w:val="0"/>
          <w:numId w:val="13"/>
        </w:numPr>
        <w:tabs>
          <w:tab w:val="left" w:pos="450"/>
        </w:tabs>
        <w:spacing w:before="120" w:line="360" w:lineRule="auto"/>
        <w:ind w:left="450" w:hanging="450"/>
        <w:jc w:val="both"/>
        <w:rPr>
          <w:rFonts w:ascii="Times New Roman" w:hAnsi="Times New Roman" w:cs="Times New Roman"/>
          <w:sz w:val="24"/>
          <w:szCs w:val="24"/>
        </w:rPr>
      </w:pPr>
      <w:r w:rsidRPr="00080E32">
        <w:rPr>
          <w:rFonts w:ascii="Times New Roman" w:hAnsi="Times New Roman" w:cs="Times New Roman"/>
          <w:sz w:val="24"/>
          <w:szCs w:val="24"/>
        </w:rPr>
        <w:t>Secondly,</w:t>
      </w:r>
      <w:r w:rsidR="00FB7560" w:rsidRPr="00080E32">
        <w:rPr>
          <w:rFonts w:ascii="Times New Roman" w:hAnsi="Times New Roman" w:cs="Times New Roman"/>
          <w:sz w:val="24"/>
          <w:szCs w:val="24"/>
        </w:rPr>
        <w:t xml:space="preserve"> the Court accepts Mr Moore KC’s submission that in the particular circumstances of this case there is no discernible logic for the allegation that the </w:t>
      </w:r>
      <w:r w:rsidR="00EC38C4" w:rsidRPr="00080E32">
        <w:rPr>
          <w:rFonts w:ascii="Times New Roman" w:hAnsi="Times New Roman" w:cs="Times New Roman"/>
          <w:sz w:val="24"/>
          <w:szCs w:val="24"/>
        </w:rPr>
        <w:t xml:space="preserve">Principal Group Companies would give the </w:t>
      </w:r>
      <w:r w:rsidR="00645F7F" w:rsidRPr="00080E32">
        <w:rPr>
          <w:rFonts w:ascii="Times New Roman" w:hAnsi="Times New Roman" w:cs="Times New Roman"/>
          <w:sz w:val="24"/>
          <w:szCs w:val="24"/>
        </w:rPr>
        <w:t>Company</w:t>
      </w:r>
      <w:r w:rsidR="00EC38C4" w:rsidRPr="00080E32">
        <w:rPr>
          <w:rFonts w:ascii="Times New Roman" w:hAnsi="Times New Roman" w:cs="Times New Roman"/>
          <w:sz w:val="24"/>
          <w:szCs w:val="24"/>
        </w:rPr>
        <w:t xml:space="preserve"> free access</w:t>
      </w:r>
      <w:r w:rsidR="00BF245B" w:rsidRPr="00080E32">
        <w:rPr>
          <w:rFonts w:ascii="Times New Roman" w:hAnsi="Times New Roman" w:cs="Times New Roman"/>
          <w:sz w:val="24"/>
          <w:szCs w:val="24"/>
        </w:rPr>
        <w:t xml:space="preserve"> to the documents held by them.</w:t>
      </w:r>
      <w:r w:rsidR="002F2367" w:rsidRPr="00080E32">
        <w:rPr>
          <w:rFonts w:ascii="Times New Roman" w:hAnsi="Times New Roman" w:cs="Times New Roman"/>
          <w:sz w:val="24"/>
          <w:szCs w:val="24"/>
        </w:rPr>
        <w:t xml:space="preserve"> </w:t>
      </w:r>
      <w:r w:rsidR="009B4BE0" w:rsidRPr="00080E32">
        <w:rPr>
          <w:rFonts w:ascii="Times New Roman" w:hAnsi="Times New Roman" w:cs="Times New Roman"/>
          <w:sz w:val="24"/>
          <w:szCs w:val="24"/>
        </w:rPr>
        <w:t>It is the Plaintiffs case that t</w:t>
      </w:r>
      <w:r w:rsidR="002F2367" w:rsidRPr="00080E32">
        <w:rPr>
          <w:rFonts w:ascii="Times New Roman" w:hAnsi="Times New Roman" w:cs="Times New Roman"/>
          <w:sz w:val="24"/>
          <w:szCs w:val="24"/>
        </w:rPr>
        <w:t>he parties to the alleged</w:t>
      </w:r>
      <w:r w:rsidR="009B4BE0" w:rsidRPr="00080E32">
        <w:rPr>
          <w:rFonts w:ascii="Times New Roman" w:hAnsi="Times New Roman" w:cs="Times New Roman"/>
          <w:sz w:val="24"/>
          <w:szCs w:val="24"/>
        </w:rPr>
        <w:t xml:space="preserve"> arrangement or understanding for free access</w:t>
      </w:r>
      <w:r w:rsidR="001F4436" w:rsidRPr="00080E32">
        <w:rPr>
          <w:rFonts w:ascii="Times New Roman" w:hAnsi="Times New Roman" w:cs="Times New Roman"/>
          <w:sz w:val="24"/>
          <w:szCs w:val="24"/>
        </w:rPr>
        <w:t xml:space="preserve"> to the documents of the Principal Group Companies are as follows:</w:t>
      </w:r>
    </w:p>
    <w:p w14:paraId="650A0ACB" w14:textId="6ADBB2A9" w:rsidR="00C9175E" w:rsidRPr="00AE0E01" w:rsidRDefault="00C9175E" w:rsidP="00A47CE8">
      <w:pPr>
        <w:tabs>
          <w:tab w:val="left" w:pos="6696"/>
        </w:tabs>
        <w:spacing w:before="120" w:line="360" w:lineRule="auto"/>
        <w:ind w:left="720"/>
        <w:rPr>
          <w:rFonts w:ascii="Times New Roman" w:hAnsi="Times New Roman" w:cs="Times New Roman"/>
          <w:sz w:val="24"/>
          <w:szCs w:val="24"/>
        </w:rPr>
      </w:pPr>
      <w:r w:rsidRPr="00AE0E01">
        <w:rPr>
          <w:rFonts w:ascii="Times New Roman" w:hAnsi="Times New Roman" w:cs="Times New Roman"/>
          <w:sz w:val="24"/>
          <w:szCs w:val="24"/>
        </w:rPr>
        <w:t xml:space="preserve">(a) Jardine Matheson, the principal holding </w:t>
      </w:r>
      <w:r w:rsidR="00645F7F">
        <w:rPr>
          <w:rFonts w:ascii="Times New Roman" w:hAnsi="Times New Roman" w:cs="Times New Roman"/>
          <w:sz w:val="24"/>
          <w:szCs w:val="24"/>
        </w:rPr>
        <w:t>Company</w:t>
      </w:r>
      <w:r w:rsidRPr="00AE0E01">
        <w:rPr>
          <w:rFonts w:ascii="Times New Roman" w:hAnsi="Times New Roman" w:cs="Times New Roman"/>
          <w:sz w:val="24"/>
          <w:szCs w:val="24"/>
        </w:rPr>
        <w:t xml:space="preserve"> of the Group. Jardine Matheson is listed in the UK, Singapore and Bermuda. It is the </w:t>
      </w:r>
      <w:r w:rsidR="00645F7F">
        <w:rPr>
          <w:rFonts w:ascii="Times New Roman" w:hAnsi="Times New Roman" w:cs="Times New Roman"/>
          <w:sz w:val="24"/>
          <w:szCs w:val="24"/>
        </w:rPr>
        <w:t>Company</w:t>
      </w:r>
      <w:r w:rsidRPr="00AE0E01">
        <w:rPr>
          <w:rFonts w:ascii="Times New Roman" w:hAnsi="Times New Roman" w:cs="Times New Roman"/>
          <w:sz w:val="24"/>
          <w:szCs w:val="24"/>
        </w:rPr>
        <w:t xml:space="preserve">’s ultimate holding </w:t>
      </w:r>
      <w:r w:rsidR="00645F7F">
        <w:rPr>
          <w:rFonts w:ascii="Times New Roman" w:hAnsi="Times New Roman" w:cs="Times New Roman"/>
          <w:sz w:val="24"/>
          <w:szCs w:val="24"/>
        </w:rPr>
        <w:t>Company</w:t>
      </w:r>
      <w:r w:rsidRPr="00AE0E01">
        <w:rPr>
          <w:rFonts w:ascii="Times New Roman" w:hAnsi="Times New Roman" w:cs="Times New Roman"/>
          <w:sz w:val="24"/>
          <w:szCs w:val="24"/>
        </w:rPr>
        <w:t xml:space="preserve">. Prior to the Amalgamation, Jardine Matheson held indirectly approximately 85% of the shares in Jardine Strategic, and Jardine Strategic held, directly and indirectly, 59.3% of the shares in Jardine Matheson. </w:t>
      </w:r>
    </w:p>
    <w:p w14:paraId="4552E30A" w14:textId="0CF1E370" w:rsidR="00C9175E" w:rsidRPr="00AE0E01" w:rsidRDefault="00C9175E" w:rsidP="00A47CE8">
      <w:pPr>
        <w:tabs>
          <w:tab w:val="left" w:pos="6696"/>
        </w:tabs>
        <w:spacing w:before="120" w:line="360" w:lineRule="auto"/>
        <w:ind w:left="720"/>
        <w:rPr>
          <w:rFonts w:ascii="Times New Roman" w:hAnsi="Times New Roman" w:cs="Times New Roman"/>
          <w:sz w:val="24"/>
          <w:szCs w:val="24"/>
        </w:rPr>
      </w:pPr>
      <w:r w:rsidRPr="00AE0E01">
        <w:rPr>
          <w:rFonts w:ascii="Times New Roman" w:hAnsi="Times New Roman" w:cs="Times New Roman"/>
          <w:sz w:val="24"/>
          <w:szCs w:val="24"/>
        </w:rPr>
        <w:t xml:space="preserve">(b) A number of listed companies which are majority owned by the </w:t>
      </w:r>
      <w:r w:rsidR="00645F7F">
        <w:rPr>
          <w:rFonts w:ascii="Times New Roman" w:hAnsi="Times New Roman" w:cs="Times New Roman"/>
          <w:sz w:val="24"/>
          <w:szCs w:val="24"/>
        </w:rPr>
        <w:t>Company</w:t>
      </w:r>
      <w:r w:rsidRPr="00AE0E01">
        <w:rPr>
          <w:rFonts w:ascii="Times New Roman" w:hAnsi="Times New Roman" w:cs="Times New Roman"/>
          <w:sz w:val="24"/>
          <w:szCs w:val="24"/>
        </w:rPr>
        <w:t xml:space="preserve">, each with a market capitalisation in the USD billions, namely: </w:t>
      </w:r>
    </w:p>
    <w:p w14:paraId="488F24B3" w14:textId="2C1326F1" w:rsidR="00C9175E" w:rsidRPr="00AE0E01" w:rsidRDefault="00C9175E" w:rsidP="006D3700">
      <w:pPr>
        <w:tabs>
          <w:tab w:val="left" w:pos="6696"/>
        </w:tabs>
        <w:spacing w:before="120" w:line="276" w:lineRule="auto"/>
        <w:ind w:left="1440"/>
        <w:rPr>
          <w:rFonts w:ascii="Times New Roman" w:hAnsi="Times New Roman" w:cs="Times New Roman"/>
          <w:sz w:val="24"/>
          <w:szCs w:val="24"/>
        </w:rPr>
      </w:pPr>
      <w:r w:rsidRPr="00AE0E01">
        <w:rPr>
          <w:rFonts w:ascii="Times New Roman" w:hAnsi="Times New Roman" w:cs="Times New Roman"/>
          <w:sz w:val="24"/>
          <w:szCs w:val="24"/>
        </w:rPr>
        <w:t xml:space="preserve">(i) Hongkong Land, a </w:t>
      </w:r>
      <w:r w:rsidR="00645F7F">
        <w:rPr>
          <w:rFonts w:ascii="Times New Roman" w:hAnsi="Times New Roman" w:cs="Times New Roman"/>
          <w:sz w:val="24"/>
          <w:szCs w:val="24"/>
        </w:rPr>
        <w:t>Company</w:t>
      </w:r>
      <w:r w:rsidRPr="00AE0E01">
        <w:rPr>
          <w:rFonts w:ascii="Times New Roman" w:hAnsi="Times New Roman" w:cs="Times New Roman"/>
          <w:sz w:val="24"/>
          <w:szCs w:val="24"/>
        </w:rPr>
        <w:t xml:space="preserve"> listed in the UK, Singapore and Bermuda (held directly as to 50.4% by the </w:t>
      </w:r>
      <w:r w:rsidR="00645F7F">
        <w:rPr>
          <w:rFonts w:ascii="Times New Roman" w:hAnsi="Times New Roman" w:cs="Times New Roman"/>
          <w:sz w:val="24"/>
          <w:szCs w:val="24"/>
        </w:rPr>
        <w:t>Company</w:t>
      </w:r>
      <w:r w:rsidRPr="00AE0E01">
        <w:rPr>
          <w:rFonts w:ascii="Times New Roman" w:hAnsi="Times New Roman" w:cs="Times New Roman"/>
          <w:sz w:val="24"/>
          <w:szCs w:val="24"/>
        </w:rPr>
        <w:t xml:space="preserve">); </w:t>
      </w:r>
    </w:p>
    <w:p w14:paraId="5EB20F56" w14:textId="58198556" w:rsidR="00C9175E" w:rsidRPr="00AE0E01" w:rsidRDefault="00C9175E" w:rsidP="006D3700">
      <w:pPr>
        <w:tabs>
          <w:tab w:val="left" w:pos="6696"/>
        </w:tabs>
        <w:spacing w:before="120" w:line="276" w:lineRule="auto"/>
        <w:ind w:left="1440"/>
        <w:rPr>
          <w:rFonts w:ascii="Times New Roman" w:hAnsi="Times New Roman" w:cs="Times New Roman"/>
          <w:sz w:val="24"/>
          <w:szCs w:val="24"/>
        </w:rPr>
      </w:pPr>
      <w:r w:rsidRPr="00AE0E01">
        <w:rPr>
          <w:rFonts w:ascii="Times New Roman" w:hAnsi="Times New Roman" w:cs="Times New Roman"/>
          <w:sz w:val="24"/>
          <w:szCs w:val="24"/>
        </w:rPr>
        <w:t xml:space="preserve">(ii) Dairy Farm, a </w:t>
      </w:r>
      <w:r w:rsidR="00645F7F">
        <w:rPr>
          <w:rFonts w:ascii="Times New Roman" w:hAnsi="Times New Roman" w:cs="Times New Roman"/>
          <w:sz w:val="24"/>
          <w:szCs w:val="24"/>
        </w:rPr>
        <w:t>Company</w:t>
      </w:r>
      <w:r w:rsidRPr="00AE0E01">
        <w:rPr>
          <w:rFonts w:ascii="Times New Roman" w:hAnsi="Times New Roman" w:cs="Times New Roman"/>
          <w:sz w:val="24"/>
          <w:szCs w:val="24"/>
        </w:rPr>
        <w:t xml:space="preserve"> listed in the UK, Singapore and Bermuda (held </w:t>
      </w:r>
    </w:p>
    <w:p w14:paraId="70033746" w14:textId="0527BC7E" w:rsidR="00C9175E" w:rsidRPr="00AE0E01" w:rsidRDefault="00C9175E" w:rsidP="006D3700">
      <w:pPr>
        <w:tabs>
          <w:tab w:val="left" w:pos="6696"/>
        </w:tabs>
        <w:spacing w:before="120" w:line="276" w:lineRule="auto"/>
        <w:ind w:left="1440"/>
        <w:rPr>
          <w:rFonts w:ascii="Times New Roman" w:hAnsi="Times New Roman" w:cs="Times New Roman"/>
          <w:sz w:val="24"/>
          <w:szCs w:val="24"/>
        </w:rPr>
      </w:pPr>
      <w:r w:rsidRPr="00AE0E01">
        <w:rPr>
          <w:rFonts w:ascii="Times New Roman" w:hAnsi="Times New Roman" w:cs="Times New Roman"/>
          <w:sz w:val="24"/>
          <w:szCs w:val="24"/>
        </w:rPr>
        <w:t xml:space="preserve">directly as to 78% by the </w:t>
      </w:r>
      <w:r w:rsidR="00645F7F">
        <w:rPr>
          <w:rFonts w:ascii="Times New Roman" w:hAnsi="Times New Roman" w:cs="Times New Roman"/>
          <w:sz w:val="24"/>
          <w:szCs w:val="24"/>
        </w:rPr>
        <w:t>Company</w:t>
      </w:r>
      <w:r w:rsidRPr="00AE0E01">
        <w:rPr>
          <w:rFonts w:ascii="Times New Roman" w:hAnsi="Times New Roman" w:cs="Times New Roman"/>
          <w:sz w:val="24"/>
          <w:szCs w:val="24"/>
        </w:rPr>
        <w:t xml:space="preserve">); </w:t>
      </w:r>
    </w:p>
    <w:p w14:paraId="5DC06737" w14:textId="67CD6448" w:rsidR="00C9175E" w:rsidRPr="00AE0E01" w:rsidRDefault="00C9175E" w:rsidP="006D3700">
      <w:pPr>
        <w:tabs>
          <w:tab w:val="left" w:pos="6696"/>
        </w:tabs>
        <w:spacing w:before="120" w:line="276" w:lineRule="auto"/>
        <w:ind w:left="1440"/>
        <w:rPr>
          <w:rFonts w:ascii="Times New Roman" w:hAnsi="Times New Roman" w:cs="Times New Roman"/>
          <w:sz w:val="24"/>
          <w:szCs w:val="24"/>
        </w:rPr>
      </w:pPr>
      <w:r w:rsidRPr="00AE0E01">
        <w:rPr>
          <w:rFonts w:ascii="Times New Roman" w:hAnsi="Times New Roman" w:cs="Times New Roman"/>
          <w:sz w:val="24"/>
          <w:szCs w:val="24"/>
        </w:rPr>
        <w:t xml:space="preserve">(iii) Mandarin Oriental, a </w:t>
      </w:r>
      <w:r w:rsidR="00645F7F">
        <w:rPr>
          <w:rFonts w:ascii="Times New Roman" w:hAnsi="Times New Roman" w:cs="Times New Roman"/>
          <w:sz w:val="24"/>
          <w:szCs w:val="24"/>
        </w:rPr>
        <w:t>Company</w:t>
      </w:r>
      <w:r w:rsidRPr="00AE0E01">
        <w:rPr>
          <w:rFonts w:ascii="Times New Roman" w:hAnsi="Times New Roman" w:cs="Times New Roman"/>
          <w:sz w:val="24"/>
          <w:szCs w:val="24"/>
        </w:rPr>
        <w:t xml:space="preserve"> listed in the UK, Singapore and Bermuda (held directly as to 79% by the </w:t>
      </w:r>
      <w:r w:rsidR="00645F7F">
        <w:rPr>
          <w:rFonts w:ascii="Times New Roman" w:hAnsi="Times New Roman" w:cs="Times New Roman"/>
          <w:sz w:val="24"/>
          <w:szCs w:val="24"/>
        </w:rPr>
        <w:t>Company</w:t>
      </w:r>
      <w:r w:rsidRPr="00AE0E01">
        <w:rPr>
          <w:rFonts w:ascii="Times New Roman" w:hAnsi="Times New Roman" w:cs="Times New Roman"/>
          <w:sz w:val="24"/>
          <w:szCs w:val="24"/>
        </w:rPr>
        <w:t xml:space="preserve">); and </w:t>
      </w:r>
    </w:p>
    <w:p w14:paraId="1F2687DD" w14:textId="57EF82BB" w:rsidR="00C9175E" w:rsidRPr="00AE0E01" w:rsidRDefault="00C9175E" w:rsidP="006D3700">
      <w:pPr>
        <w:tabs>
          <w:tab w:val="left" w:pos="6696"/>
        </w:tabs>
        <w:spacing w:before="120" w:line="276" w:lineRule="auto"/>
        <w:ind w:left="1440"/>
        <w:rPr>
          <w:rFonts w:ascii="Times New Roman" w:hAnsi="Times New Roman" w:cs="Times New Roman"/>
          <w:sz w:val="24"/>
          <w:szCs w:val="24"/>
        </w:rPr>
      </w:pPr>
      <w:r w:rsidRPr="00AE0E01">
        <w:rPr>
          <w:rFonts w:ascii="Times New Roman" w:hAnsi="Times New Roman" w:cs="Times New Roman"/>
          <w:sz w:val="24"/>
          <w:szCs w:val="24"/>
        </w:rPr>
        <w:t xml:space="preserve">(iv) Jardine Cycle &amp; Carriage Limited (JC&amp;C), a </w:t>
      </w:r>
      <w:r w:rsidR="00645F7F">
        <w:rPr>
          <w:rFonts w:ascii="Times New Roman" w:hAnsi="Times New Roman" w:cs="Times New Roman"/>
          <w:sz w:val="24"/>
          <w:szCs w:val="24"/>
        </w:rPr>
        <w:t>Company</w:t>
      </w:r>
      <w:r w:rsidRPr="00AE0E01">
        <w:rPr>
          <w:rFonts w:ascii="Times New Roman" w:hAnsi="Times New Roman" w:cs="Times New Roman"/>
          <w:sz w:val="24"/>
          <w:szCs w:val="24"/>
        </w:rPr>
        <w:t xml:space="preserve"> listed in Singapore (held indirectly as to 75% by the </w:t>
      </w:r>
      <w:r w:rsidR="00645F7F">
        <w:rPr>
          <w:rFonts w:ascii="Times New Roman" w:hAnsi="Times New Roman" w:cs="Times New Roman"/>
          <w:sz w:val="24"/>
          <w:szCs w:val="24"/>
        </w:rPr>
        <w:t>Company</w:t>
      </w:r>
      <w:r w:rsidRPr="00AE0E01">
        <w:rPr>
          <w:rFonts w:ascii="Times New Roman" w:hAnsi="Times New Roman" w:cs="Times New Roman"/>
          <w:sz w:val="24"/>
          <w:szCs w:val="24"/>
        </w:rPr>
        <w:t xml:space="preserve">). </w:t>
      </w:r>
    </w:p>
    <w:p w14:paraId="48091EA3" w14:textId="69F5E6A1" w:rsidR="00C9175E" w:rsidRPr="00AE0E01" w:rsidRDefault="00C9175E" w:rsidP="00A47CE8">
      <w:pPr>
        <w:tabs>
          <w:tab w:val="left" w:pos="6696"/>
        </w:tabs>
        <w:spacing w:before="120" w:line="360" w:lineRule="auto"/>
        <w:ind w:left="720"/>
        <w:rPr>
          <w:rFonts w:ascii="Times New Roman" w:hAnsi="Times New Roman" w:cs="Times New Roman"/>
          <w:sz w:val="24"/>
          <w:szCs w:val="24"/>
        </w:rPr>
      </w:pPr>
      <w:r w:rsidRPr="00AE0E01">
        <w:rPr>
          <w:rFonts w:ascii="Times New Roman" w:hAnsi="Times New Roman" w:cs="Times New Roman"/>
          <w:sz w:val="24"/>
          <w:szCs w:val="24"/>
        </w:rPr>
        <w:t xml:space="preserve">(c) PT Astra International TBK (Astra), a </w:t>
      </w:r>
      <w:r w:rsidR="00645F7F">
        <w:rPr>
          <w:rFonts w:ascii="Times New Roman" w:hAnsi="Times New Roman" w:cs="Times New Roman"/>
          <w:sz w:val="24"/>
          <w:szCs w:val="24"/>
        </w:rPr>
        <w:t>Company</w:t>
      </w:r>
      <w:r w:rsidRPr="00AE0E01">
        <w:rPr>
          <w:rFonts w:ascii="Times New Roman" w:hAnsi="Times New Roman" w:cs="Times New Roman"/>
          <w:sz w:val="24"/>
          <w:szCs w:val="24"/>
        </w:rPr>
        <w:t xml:space="preserve"> which is held directly as to capitalisation in the USD billions. </w:t>
      </w:r>
    </w:p>
    <w:p w14:paraId="24C810E0" w14:textId="46F11580" w:rsidR="00C9175E" w:rsidRPr="00AE0E01" w:rsidRDefault="00C9175E" w:rsidP="00A47CE8">
      <w:pPr>
        <w:tabs>
          <w:tab w:val="left" w:pos="6696"/>
        </w:tabs>
        <w:spacing w:before="120" w:line="360" w:lineRule="auto"/>
        <w:ind w:left="720"/>
        <w:rPr>
          <w:rFonts w:ascii="Times New Roman" w:hAnsi="Times New Roman" w:cs="Times New Roman"/>
          <w:sz w:val="24"/>
          <w:szCs w:val="24"/>
        </w:rPr>
      </w:pPr>
      <w:r w:rsidRPr="00AE0E01">
        <w:rPr>
          <w:rFonts w:ascii="Times New Roman" w:hAnsi="Times New Roman" w:cs="Times New Roman"/>
          <w:sz w:val="24"/>
          <w:szCs w:val="24"/>
        </w:rPr>
        <w:t xml:space="preserve">(d) Zhongsheng Group Holdings Limited (Zhongsheng), a </w:t>
      </w:r>
      <w:r w:rsidR="00645F7F">
        <w:rPr>
          <w:rFonts w:ascii="Times New Roman" w:hAnsi="Times New Roman" w:cs="Times New Roman"/>
          <w:sz w:val="24"/>
          <w:szCs w:val="24"/>
        </w:rPr>
        <w:t>Company</w:t>
      </w:r>
      <w:r w:rsidRPr="00AE0E01">
        <w:rPr>
          <w:rFonts w:ascii="Times New Roman" w:hAnsi="Times New Roman" w:cs="Times New Roman"/>
          <w:sz w:val="24"/>
          <w:szCs w:val="24"/>
        </w:rPr>
        <w:t xml:space="preserve"> with a market capitalisation in the USD billions and listed in Hong Kong (held indirectly as to 19.2% by the </w:t>
      </w:r>
      <w:r w:rsidR="00645F7F">
        <w:rPr>
          <w:rFonts w:ascii="Times New Roman" w:hAnsi="Times New Roman" w:cs="Times New Roman"/>
          <w:sz w:val="24"/>
          <w:szCs w:val="24"/>
        </w:rPr>
        <w:t>Company</w:t>
      </w:r>
      <w:r w:rsidRPr="00AE0E01">
        <w:rPr>
          <w:rFonts w:ascii="Times New Roman" w:hAnsi="Times New Roman" w:cs="Times New Roman"/>
          <w:sz w:val="24"/>
          <w:szCs w:val="24"/>
        </w:rPr>
        <w:t xml:space="preserve">). </w:t>
      </w:r>
    </w:p>
    <w:p w14:paraId="12E2ED19" w14:textId="107B0E82" w:rsidR="00C9175E" w:rsidRPr="00AE0E01" w:rsidRDefault="00C9175E" w:rsidP="00A47CE8">
      <w:pPr>
        <w:tabs>
          <w:tab w:val="left" w:pos="6696"/>
        </w:tabs>
        <w:spacing w:before="120" w:line="360" w:lineRule="auto"/>
        <w:ind w:left="720"/>
        <w:rPr>
          <w:rFonts w:ascii="Times New Roman" w:hAnsi="Times New Roman" w:cs="Times New Roman"/>
          <w:sz w:val="24"/>
          <w:szCs w:val="24"/>
        </w:rPr>
      </w:pPr>
      <w:r w:rsidRPr="00AE0E01">
        <w:rPr>
          <w:rFonts w:ascii="Times New Roman" w:hAnsi="Times New Roman" w:cs="Times New Roman"/>
          <w:sz w:val="24"/>
          <w:szCs w:val="24"/>
        </w:rPr>
        <w:t xml:space="preserve">(e) Three private companies which are wholly owned by Jardine Matheson (not the </w:t>
      </w:r>
      <w:r w:rsidR="00645F7F">
        <w:rPr>
          <w:rFonts w:ascii="Times New Roman" w:hAnsi="Times New Roman" w:cs="Times New Roman"/>
          <w:sz w:val="24"/>
          <w:szCs w:val="24"/>
        </w:rPr>
        <w:t>Company</w:t>
      </w:r>
      <w:r w:rsidRPr="00AE0E01">
        <w:rPr>
          <w:rFonts w:ascii="Times New Roman" w:hAnsi="Times New Roman" w:cs="Times New Roman"/>
          <w:sz w:val="24"/>
          <w:szCs w:val="24"/>
        </w:rPr>
        <w:t xml:space="preserve">): </w:t>
      </w:r>
    </w:p>
    <w:p w14:paraId="22261619" w14:textId="6A9758D7" w:rsidR="006A5ECD" w:rsidRPr="00AE0E01" w:rsidRDefault="00C9175E" w:rsidP="000E38D3">
      <w:pPr>
        <w:tabs>
          <w:tab w:val="left" w:pos="6696"/>
        </w:tabs>
        <w:spacing w:before="120" w:line="360" w:lineRule="auto"/>
        <w:ind w:left="1440"/>
        <w:rPr>
          <w:rFonts w:ascii="Times New Roman" w:hAnsi="Times New Roman" w:cs="Times New Roman"/>
          <w:sz w:val="24"/>
          <w:szCs w:val="24"/>
        </w:rPr>
      </w:pPr>
      <w:r w:rsidRPr="00AE0E01">
        <w:rPr>
          <w:rFonts w:ascii="Times New Roman" w:hAnsi="Times New Roman" w:cs="Times New Roman"/>
          <w:sz w:val="24"/>
          <w:szCs w:val="24"/>
        </w:rPr>
        <w:t>(i) JML, a subsidiary of Jardine Matheson, which provides management services to a number of companies within the Group pursuant to</w:t>
      </w:r>
      <w:r w:rsidR="006A5ECD" w:rsidRPr="00AE0E01">
        <w:rPr>
          <w:rFonts w:ascii="Times New Roman" w:hAnsi="Times New Roman" w:cs="Times New Roman"/>
          <w:sz w:val="24"/>
          <w:szCs w:val="24"/>
        </w:rPr>
        <w:t xml:space="preserve"> management agreements with those </w:t>
      </w:r>
      <w:r w:rsidR="00E63D75" w:rsidRPr="00AE0E01">
        <w:rPr>
          <w:rFonts w:ascii="Times New Roman" w:hAnsi="Times New Roman" w:cs="Times New Roman"/>
          <w:sz w:val="24"/>
          <w:szCs w:val="24"/>
        </w:rPr>
        <w:t>entities and</w:t>
      </w:r>
      <w:r w:rsidR="006A5ECD" w:rsidRPr="00AE0E01">
        <w:rPr>
          <w:rFonts w:ascii="Times New Roman" w:hAnsi="Times New Roman" w:cs="Times New Roman"/>
          <w:sz w:val="24"/>
          <w:szCs w:val="24"/>
        </w:rPr>
        <w:t xml:space="preserve"> provides general management services to Jardine Strategic pursuant to the General Manager Agreement. </w:t>
      </w:r>
    </w:p>
    <w:p w14:paraId="19EC78FA" w14:textId="129985CA" w:rsidR="00C9175E" w:rsidRDefault="006A5ECD" w:rsidP="000E38D3">
      <w:pPr>
        <w:tabs>
          <w:tab w:val="left" w:pos="6696"/>
        </w:tabs>
        <w:spacing w:before="120" w:line="360" w:lineRule="auto"/>
        <w:ind w:left="1440"/>
        <w:rPr>
          <w:rFonts w:ascii="Times New Roman" w:hAnsi="Times New Roman" w:cs="Times New Roman"/>
          <w:sz w:val="24"/>
          <w:szCs w:val="24"/>
        </w:rPr>
      </w:pPr>
      <w:r w:rsidRPr="00AE0E01">
        <w:rPr>
          <w:rFonts w:ascii="Times New Roman" w:hAnsi="Times New Roman" w:cs="Times New Roman"/>
          <w:sz w:val="24"/>
          <w:szCs w:val="24"/>
        </w:rPr>
        <w:t>(ii) Jardine Motors Group Holdings Limited and Jardine Pacific Holdings Limited, each of which operates a large, complex, standalone business (with revenues in the year ended 31 December 2020 of USD 5bn and USD 6.2bn, respectively).</w:t>
      </w:r>
    </w:p>
    <w:p w14:paraId="391E4A0A" w14:textId="77777777" w:rsidR="0023587F" w:rsidRDefault="0023587F" w:rsidP="000E38D3">
      <w:pPr>
        <w:tabs>
          <w:tab w:val="left" w:pos="6696"/>
        </w:tabs>
        <w:spacing w:before="120" w:line="360" w:lineRule="auto"/>
        <w:ind w:left="1440"/>
        <w:rPr>
          <w:rFonts w:ascii="Times New Roman" w:hAnsi="Times New Roman" w:cs="Times New Roman"/>
          <w:sz w:val="24"/>
          <w:szCs w:val="24"/>
        </w:rPr>
      </w:pPr>
    </w:p>
    <w:p w14:paraId="7CA4BABD" w14:textId="77810BFE" w:rsidR="0023587F" w:rsidRPr="00080E32" w:rsidRDefault="0076227A" w:rsidP="00FF2CBE">
      <w:pPr>
        <w:pStyle w:val="ListParagraph"/>
        <w:numPr>
          <w:ilvl w:val="0"/>
          <w:numId w:val="13"/>
        </w:numPr>
        <w:tabs>
          <w:tab w:val="left" w:pos="450"/>
        </w:tabs>
        <w:spacing w:before="120" w:line="360" w:lineRule="auto"/>
        <w:ind w:left="450" w:hanging="450"/>
        <w:jc w:val="both"/>
        <w:rPr>
          <w:rFonts w:ascii="Times New Roman" w:hAnsi="Times New Roman" w:cs="Times New Roman"/>
          <w:sz w:val="24"/>
          <w:szCs w:val="24"/>
        </w:rPr>
      </w:pPr>
      <w:r w:rsidRPr="00080E32">
        <w:rPr>
          <w:rFonts w:ascii="Times New Roman" w:hAnsi="Times New Roman" w:cs="Times New Roman"/>
          <w:sz w:val="24"/>
          <w:szCs w:val="24"/>
        </w:rPr>
        <w:t>As Mr Parr</w:t>
      </w:r>
      <w:r w:rsidR="00FC6B9E" w:rsidRPr="00080E32">
        <w:rPr>
          <w:rFonts w:ascii="Times New Roman" w:hAnsi="Times New Roman" w:cs="Times New Roman"/>
          <w:sz w:val="24"/>
          <w:szCs w:val="24"/>
        </w:rPr>
        <w:t xml:space="preserve"> explains at [10] in Parr </w:t>
      </w:r>
      <w:r w:rsidR="007E67E3" w:rsidRPr="00080E32">
        <w:rPr>
          <w:rFonts w:ascii="Times New Roman" w:hAnsi="Times New Roman" w:cs="Times New Roman"/>
          <w:sz w:val="24"/>
          <w:szCs w:val="24"/>
        </w:rPr>
        <w:t>3</w:t>
      </w:r>
      <w:r w:rsidR="00FC6B9E" w:rsidRPr="00080E32">
        <w:rPr>
          <w:rFonts w:ascii="Times New Roman" w:hAnsi="Times New Roman" w:cs="Times New Roman"/>
          <w:sz w:val="24"/>
          <w:szCs w:val="24"/>
        </w:rPr>
        <w:t xml:space="preserve">, </w:t>
      </w:r>
      <w:r w:rsidR="00B4081F" w:rsidRPr="00080E32">
        <w:rPr>
          <w:rFonts w:ascii="Times New Roman" w:hAnsi="Times New Roman" w:cs="Times New Roman"/>
          <w:sz w:val="24"/>
          <w:szCs w:val="24"/>
        </w:rPr>
        <w:t xml:space="preserve">each of the listed subsidiary companies below the level of the </w:t>
      </w:r>
      <w:r w:rsidR="00645F7F" w:rsidRPr="00080E32">
        <w:rPr>
          <w:rFonts w:ascii="Times New Roman" w:hAnsi="Times New Roman" w:cs="Times New Roman"/>
          <w:sz w:val="24"/>
          <w:szCs w:val="24"/>
        </w:rPr>
        <w:t>Company</w:t>
      </w:r>
      <w:r w:rsidR="00B4081F" w:rsidRPr="00080E32">
        <w:rPr>
          <w:rFonts w:ascii="Times New Roman" w:hAnsi="Times New Roman" w:cs="Times New Roman"/>
          <w:sz w:val="24"/>
          <w:szCs w:val="24"/>
        </w:rPr>
        <w:t xml:space="preserve"> in the Group operates relatively autonomously, commensurate with their status as listed companies with external shareholders. In particular, each of the listed subsidiary companies has its own board of directors, including both executive and non-executive directors, and is subject to </w:t>
      </w:r>
      <w:r w:rsidR="00E81AA1" w:rsidRPr="00080E32">
        <w:rPr>
          <w:rFonts w:ascii="Times New Roman" w:hAnsi="Times New Roman" w:cs="Times New Roman"/>
          <w:sz w:val="24"/>
          <w:szCs w:val="24"/>
        </w:rPr>
        <w:t xml:space="preserve">at </w:t>
      </w:r>
      <w:r w:rsidR="00B4081F" w:rsidRPr="00080E32">
        <w:rPr>
          <w:rFonts w:ascii="Times New Roman" w:hAnsi="Times New Roman" w:cs="Times New Roman"/>
          <w:sz w:val="24"/>
          <w:szCs w:val="24"/>
        </w:rPr>
        <w:t>its own financial reporting and continuous disclosure requirements.</w:t>
      </w:r>
    </w:p>
    <w:p w14:paraId="663FFA86" w14:textId="77777777" w:rsidR="00E81AA1" w:rsidRDefault="00E81AA1" w:rsidP="00B4081F">
      <w:pPr>
        <w:tabs>
          <w:tab w:val="left" w:pos="6696"/>
        </w:tabs>
        <w:spacing w:before="120" w:line="360" w:lineRule="auto"/>
        <w:rPr>
          <w:rFonts w:ascii="Times New Roman" w:hAnsi="Times New Roman" w:cs="Times New Roman"/>
          <w:sz w:val="24"/>
          <w:szCs w:val="24"/>
        </w:rPr>
      </w:pPr>
    </w:p>
    <w:p w14:paraId="76582A56" w14:textId="73F3C733" w:rsidR="00774862" w:rsidRPr="00080E32" w:rsidRDefault="00E81AA1" w:rsidP="00FF2CBE">
      <w:pPr>
        <w:pStyle w:val="ListParagraph"/>
        <w:numPr>
          <w:ilvl w:val="0"/>
          <w:numId w:val="13"/>
        </w:numPr>
        <w:tabs>
          <w:tab w:val="left" w:pos="450"/>
        </w:tabs>
        <w:spacing w:before="120" w:line="360" w:lineRule="auto"/>
        <w:ind w:left="450" w:hanging="450"/>
        <w:jc w:val="both"/>
        <w:rPr>
          <w:rFonts w:ascii="Times New Roman" w:hAnsi="Times New Roman" w:cs="Times New Roman"/>
          <w:sz w:val="24"/>
          <w:szCs w:val="24"/>
        </w:rPr>
      </w:pPr>
      <w:r w:rsidRPr="00080E32">
        <w:rPr>
          <w:rFonts w:ascii="Times New Roman" w:hAnsi="Times New Roman" w:cs="Times New Roman"/>
          <w:sz w:val="24"/>
          <w:szCs w:val="24"/>
        </w:rPr>
        <w:t>At [30]</w:t>
      </w:r>
      <w:r w:rsidR="00732A6B" w:rsidRPr="00080E32">
        <w:rPr>
          <w:rFonts w:ascii="Times New Roman" w:hAnsi="Times New Roman" w:cs="Times New Roman"/>
          <w:sz w:val="24"/>
          <w:szCs w:val="24"/>
        </w:rPr>
        <w:t xml:space="preserve"> of Parr 3, Mr Parr states that</w:t>
      </w:r>
      <w:r w:rsidR="00786BC6" w:rsidRPr="00080E32">
        <w:rPr>
          <w:rFonts w:ascii="Times New Roman" w:hAnsi="Times New Roman" w:cs="Times New Roman"/>
          <w:sz w:val="24"/>
          <w:szCs w:val="24"/>
        </w:rPr>
        <w:t xml:space="preserve"> in very broad terms, the Group’s structure might be thought of as a series of pyramids within a larger overall pyramid, with Jardine Matheson at the top. There are several listed holding companies in the upper levels of the Group, in turn holding (directly or indirectly, and among other things) a number of subsidiary companies. These, in turn, each hold further subsidiary companies, which in turn hold further subsidiary companies, and so on. </w:t>
      </w:r>
      <w:r w:rsidR="00A670B6" w:rsidRPr="00080E32">
        <w:rPr>
          <w:rFonts w:ascii="Times New Roman" w:hAnsi="Times New Roman" w:cs="Times New Roman"/>
          <w:sz w:val="24"/>
          <w:szCs w:val="24"/>
        </w:rPr>
        <w:t>At [57] Mr Parr advises that</w:t>
      </w:r>
      <w:r w:rsidR="00774862" w:rsidRPr="00080E32">
        <w:rPr>
          <w:rFonts w:ascii="Times New Roman" w:hAnsi="Times New Roman" w:cs="Times New Roman"/>
          <w:sz w:val="24"/>
          <w:szCs w:val="24"/>
        </w:rPr>
        <w:t xml:space="preserve"> </w:t>
      </w:r>
      <w:r w:rsidR="007518C7" w:rsidRPr="00080E32">
        <w:rPr>
          <w:rFonts w:ascii="Times New Roman" w:hAnsi="Times New Roman" w:cs="Times New Roman"/>
          <w:sz w:val="24"/>
          <w:szCs w:val="24"/>
        </w:rPr>
        <w:t>c</w:t>
      </w:r>
      <w:r w:rsidR="00774862" w:rsidRPr="00080E32">
        <w:rPr>
          <w:rFonts w:ascii="Times New Roman" w:hAnsi="Times New Roman" w:cs="Times New Roman"/>
          <w:sz w:val="24"/>
          <w:szCs w:val="24"/>
        </w:rPr>
        <w:t>onsistent with the “</w:t>
      </w:r>
      <w:r w:rsidR="00774862" w:rsidRPr="00080E32">
        <w:rPr>
          <w:rFonts w:ascii="Times New Roman" w:hAnsi="Times New Roman" w:cs="Times New Roman"/>
          <w:i/>
          <w:iCs/>
          <w:sz w:val="24"/>
          <w:szCs w:val="24"/>
        </w:rPr>
        <w:t>pyramids within a larger overall pyramid</w:t>
      </w:r>
      <w:r w:rsidR="00774862" w:rsidRPr="00080E32">
        <w:rPr>
          <w:rFonts w:ascii="Times New Roman" w:hAnsi="Times New Roman" w:cs="Times New Roman"/>
          <w:sz w:val="24"/>
          <w:szCs w:val="24"/>
        </w:rPr>
        <w:t xml:space="preserve">” concept </w:t>
      </w:r>
      <w:r w:rsidR="0055249E" w:rsidRPr="00080E32">
        <w:rPr>
          <w:rFonts w:ascii="Times New Roman" w:hAnsi="Times New Roman" w:cs="Times New Roman"/>
          <w:sz w:val="24"/>
          <w:szCs w:val="24"/>
        </w:rPr>
        <w:t>he has</w:t>
      </w:r>
      <w:r w:rsidR="00774862" w:rsidRPr="00080E32">
        <w:rPr>
          <w:rFonts w:ascii="Times New Roman" w:hAnsi="Times New Roman" w:cs="Times New Roman"/>
          <w:sz w:val="24"/>
          <w:szCs w:val="24"/>
        </w:rPr>
        <w:t xml:space="preserve"> described, the Principal Subsidiaries in turn have a number of subsidiaries of their own. In particular: </w:t>
      </w:r>
    </w:p>
    <w:p w14:paraId="6875603A" w14:textId="55D425D7" w:rsidR="00774862" w:rsidRPr="00774862" w:rsidRDefault="00774862" w:rsidP="002F28D1">
      <w:pPr>
        <w:tabs>
          <w:tab w:val="left" w:pos="6696"/>
        </w:tabs>
        <w:spacing w:before="120" w:line="360" w:lineRule="auto"/>
        <w:ind w:left="720"/>
        <w:rPr>
          <w:rFonts w:ascii="Times New Roman" w:hAnsi="Times New Roman" w:cs="Times New Roman"/>
          <w:sz w:val="24"/>
          <w:szCs w:val="24"/>
        </w:rPr>
      </w:pPr>
      <w:r w:rsidRPr="00774862">
        <w:rPr>
          <w:rFonts w:ascii="Times New Roman" w:hAnsi="Times New Roman" w:cs="Times New Roman"/>
          <w:sz w:val="24"/>
          <w:szCs w:val="24"/>
        </w:rPr>
        <w:t xml:space="preserve">(a) Hongkong Land has a total of 407 subsidiary companies, of which 266 are active or operating; </w:t>
      </w:r>
    </w:p>
    <w:p w14:paraId="27CC116B" w14:textId="1E9115A2" w:rsidR="00774862" w:rsidRPr="00774862" w:rsidRDefault="00774862" w:rsidP="002F28D1">
      <w:pPr>
        <w:tabs>
          <w:tab w:val="left" w:pos="6696"/>
        </w:tabs>
        <w:spacing w:before="120" w:line="360" w:lineRule="auto"/>
        <w:ind w:left="720"/>
        <w:rPr>
          <w:rFonts w:ascii="Times New Roman" w:hAnsi="Times New Roman" w:cs="Times New Roman"/>
          <w:sz w:val="24"/>
          <w:szCs w:val="24"/>
        </w:rPr>
      </w:pPr>
      <w:r w:rsidRPr="00774862">
        <w:rPr>
          <w:rFonts w:ascii="Times New Roman" w:hAnsi="Times New Roman" w:cs="Times New Roman"/>
          <w:sz w:val="24"/>
          <w:szCs w:val="24"/>
        </w:rPr>
        <w:t>(b) Dairy Farm has a total of 64 subsidiary companies, of which 36 are active o</w:t>
      </w:r>
      <w:r w:rsidR="009D6AE8">
        <w:rPr>
          <w:rFonts w:ascii="Times New Roman" w:hAnsi="Times New Roman" w:cs="Times New Roman"/>
          <w:sz w:val="24"/>
          <w:szCs w:val="24"/>
        </w:rPr>
        <w:t>r</w:t>
      </w:r>
      <w:r w:rsidRPr="00774862">
        <w:rPr>
          <w:rFonts w:ascii="Times New Roman" w:hAnsi="Times New Roman" w:cs="Times New Roman"/>
          <w:sz w:val="24"/>
          <w:szCs w:val="24"/>
        </w:rPr>
        <w:t xml:space="preserve">operating; </w:t>
      </w:r>
    </w:p>
    <w:p w14:paraId="33D925D3" w14:textId="45582E4B" w:rsidR="00774862" w:rsidRPr="00774862" w:rsidRDefault="00774862" w:rsidP="002F28D1">
      <w:pPr>
        <w:tabs>
          <w:tab w:val="left" w:pos="6696"/>
        </w:tabs>
        <w:spacing w:before="120" w:line="360" w:lineRule="auto"/>
        <w:ind w:left="720"/>
        <w:rPr>
          <w:rFonts w:ascii="Times New Roman" w:hAnsi="Times New Roman" w:cs="Times New Roman"/>
          <w:sz w:val="24"/>
          <w:szCs w:val="24"/>
        </w:rPr>
      </w:pPr>
      <w:r w:rsidRPr="00774862">
        <w:rPr>
          <w:rFonts w:ascii="Times New Roman" w:hAnsi="Times New Roman" w:cs="Times New Roman"/>
          <w:sz w:val="24"/>
          <w:szCs w:val="24"/>
        </w:rPr>
        <w:t xml:space="preserve">(c) Mandarin Oriental has a total of 115 subsidiary companies, of which 100 are active or operating; </w:t>
      </w:r>
    </w:p>
    <w:p w14:paraId="4D50FE40" w14:textId="1DF1FDBE" w:rsidR="00774862" w:rsidRPr="00774862" w:rsidRDefault="00774862" w:rsidP="002F28D1">
      <w:pPr>
        <w:tabs>
          <w:tab w:val="left" w:pos="6696"/>
        </w:tabs>
        <w:spacing w:before="120" w:line="360" w:lineRule="auto"/>
        <w:ind w:left="720"/>
        <w:rPr>
          <w:rFonts w:ascii="Times New Roman" w:hAnsi="Times New Roman" w:cs="Times New Roman"/>
          <w:sz w:val="24"/>
          <w:szCs w:val="24"/>
        </w:rPr>
      </w:pPr>
      <w:r w:rsidRPr="00774862">
        <w:rPr>
          <w:rFonts w:ascii="Times New Roman" w:hAnsi="Times New Roman" w:cs="Times New Roman"/>
          <w:sz w:val="24"/>
          <w:szCs w:val="24"/>
        </w:rPr>
        <w:t xml:space="preserve">(d) JC&amp;C has 19 subsidiary companies, of which 11 are active or operating; and </w:t>
      </w:r>
    </w:p>
    <w:p w14:paraId="63C279C7" w14:textId="01E33711" w:rsidR="00E81AA1" w:rsidRDefault="00774862" w:rsidP="002F28D1">
      <w:pPr>
        <w:tabs>
          <w:tab w:val="left" w:pos="6696"/>
        </w:tabs>
        <w:spacing w:before="120" w:line="360" w:lineRule="auto"/>
        <w:ind w:left="720"/>
        <w:rPr>
          <w:rFonts w:ascii="Times New Roman" w:hAnsi="Times New Roman" w:cs="Times New Roman"/>
          <w:sz w:val="24"/>
          <w:szCs w:val="24"/>
        </w:rPr>
      </w:pPr>
      <w:r w:rsidRPr="00774862">
        <w:rPr>
          <w:rFonts w:ascii="Times New Roman" w:hAnsi="Times New Roman" w:cs="Times New Roman"/>
          <w:sz w:val="24"/>
          <w:szCs w:val="24"/>
        </w:rPr>
        <w:t>(e) Astra has 235 subsidiary companies, of which 227 are active or operating. Four of Astra’s subsidiary companies are listed companies, holding their own respective groups of companies and preparing their own audited consolidated financial statements.</w:t>
      </w:r>
    </w:p>
    <w:p w14:paraId="5D164100" w14:textId="77777777" w:rsidR="002F28D1" w:rsidRDefault="002F28D1" w:rsidP="002F28D1">
      <w:pPr>
        <w:tabs>
          <w:tab w:val="left" w:pos="6696"/>
        </w:tabs>
        <w:spacing w:before="120" w:line="360" w:lineRule="auto"/>
        <w:ind w:left="720"/>
        <w:rPr>
          <w:rFonts w:ascii="Times New Roman" w:hAnsi="Times New Roman" w:cs="Times New Roman"/>
          <w:sz w:val="24"/>
          <w:szCs w:val="24"/>
        </w:rPr>
      </w:pPr>
    </w:p>
    <w:p w14:paraId="5B7B1CA7" w14:textId="4660C88B" w:rsidR="002F28D1" w:rsidRPr="00080E32" w:rsidRDefault="00BF1C64" w:rsidP="00FF2CBE">
      <w:pPr>
        <w:pStyle w:val="ListParagraph"/>
        <w:numPr>
          <w:ilvl w:val="0"/>
          <w:numId w:val="13"/>
        </w:numPr>
        <w:tabs>
          <w:tab w:val="left" w:pos="450"/>
        </w:tabs>
        <w:spacing w:before="120" w:line="360" w:lineRule="auto"/>
        <w:ind w:left="450" w:hanging="450"/>
        <w:jc w:val="both"/>
        <w:rPr>
          <w:rFonts w:ascii="Times New Roman" w:hAnsi="Times New Roman" w:cs="Times New Roman"/>
          <w:sz w:val="24"/>
          <w:szCs w:val="24"/>
        </w:rPr>
      </w:pPr>
      <w:r w:rsidRPr="00080E32">
        <w:rPr>
          <w:rFonts w:ascii="Times New Roman" w:hAnsi="Times New Roman" w:cs="Times New Roman"/>
          <w:sz w:val="24"/>
          <w:szCs w:val="24"/>
        </w:rPr>
        <w:t xml:space="preserve">Ay [58] Mr Parr confirms that </w:t>
      </w:r>
      <w:r w:rsidR="00076C09" w:rsidRPr="00080E32">
        <w:rPr>
          <w:rFonts w:ascii="Times New Roman" w:hAnsi="Times New Roman" w:cs="Times New Roman"/>
          <w:sz w:val="24"/>
          <w:szCs w:val="24"/>
        </w:rPr>
        <w:t>Jardine Motors and Jardine Pacific each holds a substantial number of subsidiaries of its own, including a large proportion that are active or operating. Jardine Pacific has 177 subsidiaries of which 52 are active or operating. Jardine Motors has 78 subsidiaries of which 48 are active or operating.</w:t>
      </w:r>
    </w:p>
    <w:p w14:paraId="64E2E67F" w14:textId="77777777" w:rsidR="00550F50" w:rsidRDefault="00550F50" w:rsidP="00076C09">
      <w:pPr>
        <w:tabs>
          <w:tab w:val="left" w:pos="6696"/>
        </w:tabs>
        <w:spacing w:before="120" w:line="360" w:lineRule="auto"/>
        <w:rPr>
          <w:rFonts w:ascii="Times New Roman" w:hAnsi="Times New Roman" w:cs="Times New Roman"/>
          <w:sz w:val="24"/>
          <w:szCs w:val="24"/>
        </w:rPr>
      </w:pPr>
    </w:p>
    <w:p w14:paraId="09042EC0" w14:textId="5DEFDEEA" w:rsidR="00550F50" w:rsidRPr="00080E32" w:rsidRDefault="00550F50" w:rsidP="00FF2CBE">
      <w:pPr>
        <w:pStyle w:val="ListParagraph"/>
        <w:numPr>
          <w:ilvl w:val="0"/>
          <w:numId w:val="13"/>
        </w:numPr>
        <w:tabs>
          <w:tab w:val="left" w:pos="450"/>
        </w:tabs>
        <w:spacing w:before="120" w:line="360" w:lineRule="auto"/>
        <w:ind w:left="450" w:hanging="450"/>
        <w:jc w:val="both"/>
        <w:rPr>
          <w:rFonts w:ascii="Times New Roman" w:hAnsi="Times New Roman" w:cs="Times New Roman"/>
          <w:sz w:val="24"/>
          <w:szCs w:val="24"/>
        </w:rPr>
      </w:pPr>
      <w:r w:rsidRPr="00080E32">
        <w:rPr>
          <w:rFonts w:ascii="Times New Roman" w:hAnsi="Times New Roman" w:cs="Times New Roman"/>
          <w:sz w:val="24"/>
          <w:szCs w:val="24"/>
        </w:rPr>
        <w:t>The Court accepts</w:t>
      </w:r>
      <w:r w:rsidR="00B962B3" w:rsidRPr="00080E32">
        <w:rPr>
          <w:rFonts w:ascii="Times New Roman" w:hAnsi="Times New Roman" w:cs="Times New Roman"/>
          <w:sz w:val="24"/>
          <w:szCs w:val="24"/>
        </w:rPr>
        <w:t xml:space="preserve"> Mr</w:t>
      </w:r>
      <w:r w:rsidR="0049042A" w:rsidRPr="00080E32">
        <w:rPr>
          <w:rFonts w:ascii="Times New Roman" w:hAnsi="Times New Roman" w:cs="Times New Roman"/>
          <w:sz w:val="24"/>
          <w:szCs w:val="24"/>
        </w:rPr>
        <w:t xml:space="preserve"> Moore KC’s submission that there has been no adequate explanation as to</w:t>
      </w:r>
      <w:r w:rsidR="00AB7125" w:rsidRPr="00080E32">
        <w:rPr>
          <w:rFonts w:ascii="Times New Roman" w:hAnsi="Times New Roman" w:cs="Times New Roman"/>
          <w:sz w:val="24"/>
          <w:szCs w:val="24"/>
        </w:rPr>
        <w:t xml:space="preserve"> why a number of listed companies with independent shareholders, their own boards and operational management, operating in the public sphere and subject to the rules and regulation that come with that status, would reach an arrangement or understanding with </w:t>
      </w:r>
      <w:r w:rsidR="00B76FB5" w:rsidRPr="00080E32">
        <w:rPr>
          <w:rFonts w:ascii="Times New Roman" w:hAnsi="Times New Roman" w:cs="Times New Roman"/>
          <w:sz w:val="24"/>
          <w:szCs w:val="24"/>
        </w:rPr>
        <w:t xml:space="preserve">the </w:t>
      </w:r>
      <w:r w:rsidR="00645F7F" w:rsidRPr="00080E32">
        <w:rPr>
          <w:rFonts w:ascii="Times New Roman" w:hAnsi="Times New Roman" w:cs="Times New Roman"/>
          <w:sz w:val="24"/>
          <w:szCs w:val="24"/>
        </w:rPr>
        <w:t>Company</w:t>
      </w:r>
      <w:r w:rsidR="00AB7125" w:rsidRPr="00080E32">
        <w:rPr>
          <w:rFonts w:ascii="Times New Roman" w:hAnsi="Times New Roman" w:cs="Times New Roman"/>
          <w:sz w:val="24"/>
          <w:szCs w:val="24"/>
        </w:rPr>
        <w:t xml:space="preserve"> to provide it with free access to their documents. Still less is there any reason why, having chosen to do so, those companies would not document that arrangement, despite documenting other intra-Group arrangements.</w:t>
      </w:r>
    </w:p>
    <w:p w14:paraId="3CB73133" w14:textId="77777777" w:rsidR="005415ED" w:rsidRDefault="005415ED" w:rsidP="00AB7125">
      <w:pPr>
        <w:tabs>
          <w:tab w:val="left" w:pos="6696"/>
        </w:tabs>
        <w:spacing w:before="120" w:line="360" w:lineRule="auto"/>
        <w:rPr>
          <w:rFonts w:ascii="Times New Roman" w:hAnsi="Times New Roman" w:cs="Times New Roman"/>
          <w:sz w:val="24"/>
          <w:szCs w:val="24"/>
        </w:rPr>
      </w:pPr>
    </w:p>
    <w:p w14:paraId="75715042" w14:textId="4165B988" w:rsidR="005415ED" w:rsidRPr="00080E32" w:rsidRDefault="00FD678A" w:rsidP="00FF2CBE">
      <w:pPr>
        <w:pStyle w:val="ListParagraph"/>
        <w:numPr>
          <w:ilvl w:val="0"/>
          <w:numId w:val="13"/>
        </w:numPr>
        <w:tabs>
          <w:tab w:val="left" w:pos="450"/>
        </w:tabs>
        <w:spacing w:before="120" w:line="360" w:lineRule="auto"/>
        <w:ind w:left="450" w:hanging="450"/>
        <w:jc w:val="both"/>
        <w:rPr>
          <w:rFonts w:ascii="Times New Roman" w:hAnsi="Times New Roman" w:cs="Times New Roman"/>
          <w:sz w:val="24"/>
          <w:szCs w:val="24"/>
        </w:rPr>
      </w:pPr>
      <w:r w:rsidRPr="00080E32">
        <w:rPr>
          <w:rFonts w:ascii="Times New Roman" w:hAnsi="Times New Roman" w:cs="Times New Roman"/>
          <w:sz w:val="24"/>
          <w:szCs w:val="24"/>
        </w:rPr>
        <w:t>It is to be noted that the other</w:t>
      </w:r>
      <w:r w:rsidR="0093190D" w:rsidRPr="00080E32">
        <w:rPr>
          <w:rFonts w:ascii="Times New Roman" w:hAnsi="Times New Roman" w:cs="Times New Roman"/>
          <w:sz w:val="24"/>
          <w:szCs w:val="24"/>
        </w:rPr>
        <w:t xml:space="preserve"> three private companies are subsidiaries of Jardine Matheson, the ultimate holding </w:t>
      </w:r>
      <w:r w:rsidR="00645F7F" w:rsidRPr="00080E32">
        <w:rPr>
          <w:rFonts w:ascii="Times New Roman" w:hAnsi="Times New Roman" w:cs="Times New Roman"/>
          <w:sz w:val="24"/>
          <w:szCs w:val="24"/>
        </w:rPr>
        <w:t>Company</w:t>
      </w:r>
      <w:r w:rsidR="0093190D" w:rsidRPr="00080E32">
        <w:rPr>
          <w:rFonts w:ascii="Times New Roman" w:hAnsi="Times New Roman" w:cs="Times New Roman"/>
          <w:sz w:val="24"/>
          <w:szCs w:val="24"/>
        </w:rPr>
        <w:t xml:space="preserve"> of the Group, not of the </w:t>
      </w:r>
      <w:r w:rsidR="00645F7F" w:rsidRPr="00080E32">
        <w:rPr>
          <w:rFonts w:ascii="Times New Roman" w:hAnsi="Times New Roman" w:cs="Times New Roman"/>
          <w:sz w:val="24"/>
          <w:szCs w:val="24"/>
        </w:rPr>
        <w:t>Company</w:t>
      </w:r>
      <w:r w:rsidR="0093190D" w:rsidRPr="00080E32">
        <w:rPr>
          <w:rFonts w:ascii="Times New Roman" w:hAnsi="Times New Roman" w:cs="Times New Roman"/>
          <w:sz w:val="24"/>
          <w:szCs w:val="24"/>
        </w:rPr>
        <w:t xml:space="preserve">. </w:t>
      </w:r>
      <w:r w:rsidR="0082061A" w:rsidRPr="00080E32">
        <w:rPr>
          <w:rFonts w:ascii="Times New Roman" w:hAnsi="Times New Roman" w:cs="Times New Roman"/>
          <w:sz w:val="24"/>
          <w:szCs w:val="24"/>
        </w:rPr>
        <w:t xml:space="preserve">The </w:t>
      </w:r>
      <w:r w:rsidR="00645F7F" w:rsidRPr="00080E32">
        <w:rPr>
          <w:rFonts w:ascii="Times New Roman" w:hAnsi="Times New Roman" w:cs="Times New Roman"/>
          <w:sz w:val="24"/>
          <w:szCs w:val="24"/>
        </w:rPr>
        <w:t>Company</w:t>
      </w:r>
      <w:r w:rsidR="0082061A" w:rsidRPr="00080E32">
        <w:rPr>
          <w:rFonts w:ascii="Times New Roman" w:hAnsi="Times New Roman" w:cs="Times New Roman"/>
          <w:sz w:val="24"/>
          <w:szCs w:val="24"/>
        </w:rPr>
        <w:t>’s</w:t>
      </w:r>
      <w:r w:rsidR="0093190D" w:rsidRPr="00080E32">
        <w:rPr>
          <w:rFonts w:ascii="Times New Roman" w:hAnsi="Times New Roman" w:cs="Times New Roman"/>
          <w:sz w:val="24"/>
          <w:szCs w:val="24"/>
        </w:rPr>
        <w:t xml:space="preserve"> relationship with JML was</w:t>
      </w:r>
      <w:r w:rsidR="00445054" w:rsidRPr="00080E32">
        <w:rPr>
          <w:rFonts w:ascii="Times New Roman" w:hAnsi="Times New Roman" w:cs="Times New Roman"/>
          <w:sz w:val="24"/>
          <w:szCs w:val="24"/>
        </w:rPr>
        <w:t>, as Mr Moore KC points out,</w:t>
      </w:r>
      <w:r w:rsidR="0093190D" w:rsidRPr="00080E32">
        <w:rPr>
          <w:rFonts w:ascii="Times New Roman" w:hAnsi="Times New Roman" w:cs="Times New Roman"/>
          <w:sz w:val="24"/>
          <w:szCs w:val="24"/>
        </w:rPr>
        <w:t xml:space="preserve"> the subject of a contract. If “</w:t>
      </w:r>
      <w:r w:rsidR="0093190D" w:rsidRPr="00080E32">
        <w:rPr>
          <w:rFonts w:ascii="Times New Roman" w:hAnsi="Times New Roman" w:cs="Times New Roman"/>
          <w:i/>
          <w:iCs/>
          <w:sz w:val="24"/>
          <w:szCs w:val="24"/>
        </w:rPr>
        <w:t>free access</w:t>
      </w:r>
      <w:r w:rsidR="0093190D" w:rsidRPr="00080E32">
        <w:rPr>
          <w:rFonts w:ascii="Times New Roman" w:hAnsi="Times New Roman" w:cs="Times New Roman"/>
          <w:sz w:val="24"/>
          <w:szCs w:val="24"/>
        </w:rPr>
        <w:t>” to</w:t>
      </w:r>
      <w:r w:rsidR="00340568" w:rsidRPr="00080E32">
        <w:rPr>
          <w:rFonts w:ascii="Times New Roman" w:hAnsi="Times New Roman" w:cs="Times New Roman"/>
          <w:sz w:val="24"/>
          <w:szCs w:val="24"/>
        </w:rPr>
        <w:t xml:space="preserve"> </w:t>
      </w:r>
      <w:r w:rsidR="009D5932" w:rsidRPr="00080E32">
        <w:rPr>
          <w:rFonts w:ascii="Times New Roman" w:hAnsi="Times New Roman" w:cs="Times New Roman"/>
          <w:sz w:val="24"/>
          <w:szCs w:val="24"/>
        </w:rPr>
        <w:t>JML’s</w:t>
      </w:r>
      <w:r w:rsidR="00FA70EB" w:rsidRPr="00080E32">
        <w:rPr>
          <w:rFonts w:ascii="Times New Roman" w:hAnsi="Times New Roman" w:cs="Times New Roman"/>
          <w:sz w:val="24"/>
          <w:szCs w:val="24"/>
        </w:rPr>
        <w:t xml:space="preserve"> </w:t>
      </w:r>
      <w:r w:rsidR="0093190D" w:rsidRPr="00080E32">
        <w:rPr>
          <w:rFonts w:ascii="Times New Roman" w:hAnsi="Times New Roman" w:cs="Times New Roman"/>
          <w:sz w:val="24"/>
          <w:szCs w:val="24"/>
        </w:rPr>
        <w:t xml:space="preserve">documents were to be conferred on </w:t>
      </w:r>
      <w:r w:rsidR="00340568" w:rsidRPr="00080E32">
        <w:rPr>
          <w:rFonts w:ascii="Times New Roman" w:hAnsi="Times New Roman" w:cs="Times New Roman"/>
          <w:sz w:val="24"/>
          <w:szCs w:val="24"/>
        </w:rPr>
        <w:t xml:space="preserve">the </w:t>
      </w:r>
      <w:r w:rsidR="00645F7F" w:rsidRPr="00080E32">
        <w:rPr>
          <w:rFonts w:ascii="Times New Roman" w:hAnsi="Times New Roman" w:cs="Times New Roman"/>
          <w:sz w:val="24"/>
          <w:szCs w:val="24"/>
        </w:rPr>
        <w:t>Company</w:t>
      </w:r>
      <w:r w:rsidR="0093190D" w:rsidRPr="00080E32">
        <w:rPr>
          <w:rFonts w:ascii="Times New Roman" w:hAnsi="Times New Roman" w:cs="Times New Roman"/>
          <w:sz w:val="24"/>
          <w:szCs w:val="24"/>
        </w:rPr>
        <w:t>, that fact would have been documented in that contract.</w:t>
      </w:r>
    </w:p>
    <w:p w14:paraId="1FF2F78D" w14:textId="77777777" w:rsidR="001651C8" w:rsidRDefault="001651C8" w:rsidP="0093190D">
      <w:pPr>
        <w:tabs>
          <w:tab w:val="left" w:pos="6696"/>
        </w:tabs>
        <w:spacing w:before="120" w:line="360" w:lineRule="auto"/>
        <w:rPr>
          <w:rFonts w:ascii="Times New Roman" w:hAnsi="Times New Roman" w:cs="Times New Roman"/>
          <w:sz w:val="24"/>
          <w:szCs w:val="24"/>
        </w:rPr>
      </w:pPr>
    </w:p>
    <w:p w14:paraId="0F7C53CD" w14:textId="2AF5E6B6" w:rsidR="00B03F28" w:rsidRPr="00080E32" w:rsidRDefault="00B03F28" w:rsidP="00FF2CBE">
      <w:pPr>
        <w:pStyle w:val="ListParagraph"/>
        <w:numPr>
          <w:ilvl w:val="0"/>
          <w:numId w:val="13"/>
        </w:numPr>
        <w:tabs>
          <w:tab w:val="left" w:pos="450"/>
        </w:tabs>
        <w:spacing w:before="120" w:line="360" w:lineRule="auto"/>
        <w:ind w:left="450" w:hanging="450"/>
        <w:jc w:val="both"/>
        <w:rPr>
          <w:rFonts w:ascii="Times New Roman" w:hAnsi="Times New Roman" w:cs="Times New Roman"/>
          <w:sz w:val="24"/>
          <w:szCs w:val="24"/>
        </w:rPr>
      </w:pPr>
      <w:r w:rsidRPr="00080E32">
        <w:rPr>
          <w:rFonts w:ascii="Times New Roman" w:hAnsi="Times New Roman" w:cs="Times New Roman"/>
          <w:sz w:val="24"/>
          <w:szCs w:val="24"/>
        </w:rPr>
        <w:t>Lastly,</w:t>
      </w:r>
      <w:r w:rsidR="00464406" w:rsidRPr="00080E32">
        <w:rPr>
          <w:rFonts w:ascii="Times New Roman" w:hAnsi="Times New Roman" w:cs="Times New Roman"/>
          <w:sz w:val="24"/>
          <w:szCs w:val="24"/>
        </w:rPr>
        <w:t xml:space="preserve"> assuming there exists an arrangement or understanding to provide free</w:t>
      </w:r>
      <w:r w:rsidR="007C69E0" w:rsidRPr="00080E32">
        <w:rPr>
          <w:rFonts w:ascii="Times New Roman" w:hAnsi="Times New Roman" w:cs="Times New Roman"/>
          <w:sz w:val="24"/>
          <w:szCs w:val="24"/>
        </w:rPr>
        <w:t xml:space="preserve"> and unfettered access to the </w:t>
      </w:r>
      <w:r w:rsidR="00645F7F" w:rsidRPr="00080E32">
        <w:rPr>
          <w:rFonts w:ascii="Times New Roman" w:hAnsi="Times New Roman" w:cs="Times New Roman"/>
          <w:sz w:val="24"/>
          <w:szCs w:val="24"/>
        </w:rPr>
        <w:t>Company</w:t>
      </w:r>
      <w:r w:rsidR="007C69E0" w:rsidRPr="00080E32">
        <w:rPr>
          <w:rFonts w:ascii="Times New Roman" w:hAnsi="Times New Roman" w:cs="Times New Roman"/>
          <w:sz w:val="24"/>
          <w:szCs w:val="24"/>
        </w:rPr>
        <w:t xml:space="preserve"> of the documents held by the Principal Group Companies</w:t>
      </w:r>
      <w:r w:rsidR="00B52D75" w:rsidRPr="00080E32">
        <w:rPr>
          <w:rFonts w:ascii="Times New Roman" w:hAnsi="Times New Roman" w:cs="Times New Roman"/>
          <w:sz w:val="24"/>
          <w:szCs w:val="24"/>
        </w:rPr>
        <w:t>,</w:t>
      </w:r>
      <w:r w:rsidR="00D2570E" w:rsidRPr="00080E32">
        <w:rPr>
          <w:rFonts w:ascii="Times New Roman" w:hAnsi="Times New Roman" w:cs="Times New Roman"/>
          <w:sz w:val="24"/>
          <w:szCs w:val="24"/>
        </w:rPr>
        <w:t xml:space="preserve"> it is not clear why</w:t>
      </w:r>
      <w:r w:rsidR="002F3BBC" w:rsidRPr="00080E32">
        <w:rPr>
          <w:rFonts w:ascii="Times New Roman" w:hAnsi="Times New Roman" w:cs="Times New Roman"/>
          <w:sz w:val="24"/>
          <w:szCs w:val="24"/>
        </w:rPr>
        <w:t xml:space="preserve"> such an arrangement or understanding would not also apply to the remaining 1,000 or so companies in the Group</w:t>
      </w:r>
      <w:r w:rsidR="007A71D1" w:rsidRPr="00080E32">
        <w:rPr>
          <w:rFonts w:ascii="Times New Roman" w:hAnsi="Times New Roman" w:cs="Times New Roman"/>
          <w:sz w:val="24"/>
          <w:szCs w:val="24"/>
        </w:rPr>
        <w:t>.</w:t>
      </w:r>
      <w:r w:rsidRPr="00080E32">
        <w:rPr>
          <w:rFonts w:ascii="Times New Roman" w:hAnsi="Times New Roman" w:cs="Times New Roman"/>
          <w:sz w:val="24"/>
          <w:szCs w:val="24"/>
        </w:rPr>
        <w:t xml:space="preserve"> </w:t>
      </w:r>
      <w:r w:rsidR="007A71D1" w:rsidRPr="00080E32">
        <w:rPr>
          <w:rFonts w:ascii="Times New Roman" w:hAnsi="Times New Roman" w:cs="Times New Roman"/>
          <w:sz w:val="24"/>
          <w:szCs w:val="24"/>
        </w:rPr>
        <w:t>No adequate explanation has been given as to</w:t>
      </w:r>
      <w:r w:rsidR="00CC5860" w:rsidRPr="00080E32">
        <w:rPr>
          <w:rFonts w:ascii="Times New Roman" w:hAnsi="Times New Roman" w:cs="Times New Roman"/>
          <w:sz w:val="24"/>
          <w:szCs w:val="24"/>
        </w:rPr>
        <w:t xml:space="preserve"> why there is any conceptual distinction, as far as the alleged</w:t>
      </w:r>
      <w:r w:rsidR="00021E23" w:rsidRPr="00080E32">
        <w:rPr>
          <w:rFonts w:ascii="Times New Roman" w:hAnsi="Times New Roman" w:cs="Times New Roman"/>
          <w:sz w:val="24"/>
          <w:szCs w:val="24"/>
        </w:rPr>
        <w:t xml:space="preserve"> arrangement or understanding is concerned, between the position of the</w:t>
      </w:r>
      <w:r w:rsidR="00E96BEE" w:rsidRPr="00080E32">
        <w:rPr>
          <w:rFonts w:ascii="Times New Roman" w:hAnsi="Times New Roman" w:cs="Times New Roman"/>
          <w:sz w:val="24"/>
          <w:szCs w:val="24"/>
        </w:rPr>
        <w:t xml:space="preserve"> Principal Group Companies and the remaining </w:t>
      </w:r>
      <w:r w:rsidR="00B52D75" w:rsidRPr="00080E32">
        <w:rPr>
          <w:rFonts w:ascii="Times New Roman" w:hAnsi="Times New Roman" w:cs="Times New Roman"/>
          <w:sz w:val="24"/>
          <w:szCs w:val="24"/>
        </w:rPr>
        <w:t>1,</w:t>
      </w:r>
      <w:r w:rsidR="00E96BEE" w:rsidRPr="00080E32">
        <w:rPr>
          <w:rFonts w:ascii="Times New Roman" w:hAnsi="Times New Roman" w:cs="Times New Roman"/>
          <w:sz w:val="24"/>
          <w:szCs w:val="24"/>
        </w:rPr>
        <w:t>000 or so companies in the Group.</w:t>
      </w:r>
      <w:r w:rsidR="003D2960" w:rsidRPr="00080E32">
        <w:rPr>
          <w:rFonts w:ascii="Times New Roman" w:hAnsi="Times New Roman" w:cs="Times New Roman"/>
          <w:sz w:val="24"/>
          <w:szCs w:val="24"/>
        </w:rPr>
        <w:t xml:space="preserve"> The proposition that</w:t>
      </w:r>
      <w:r w:rsidR="005A7442" w:rsidRPr="00080E32">
        <w:rPr>
          <w:rFonts w:ascii="Times New Roman" w:hAnsi="Times New Roman" w:cs="Times New Roman"/>
          <w:sz w:val="24"/>
          <w:szCs w:val="24"/>
        </w:rPr>
        <w:t xml:space="preserve"> there existed an arrangement or understanding granting to the </w:t>
      </w:r>
      <w:r w:rsidR="00645F7F" w:rsidRPr="00080E32">
        <w:rPr>
          <w:rFonts w:ascii="Times New Roman" w:hAnsi="Times New Roman" w:cs="Times New Roman"/>
          <w:sz w:val="24"/>
          <w:szCs w:val="24"/>
        </w:rPr>
        <w:t>Company</w:t>
      </w:r>
      <w:r w:rsidR="005A7442" w:rsidRPr="00080E32">
        <w:rPr>
          <w:rFonts w:ascii="Times New Roman" w:hAnsi="Times New Roman" w:cs="Times New Roman"/>
          <w:sz w:val="24"/>
          <w:szCs w:val="24"/>
        </w:rPr>
        <w:t xml:space="preserve"> access to the documents held by the</w:t>
      </w:r>
      <w:r w:rsidR="00E02644" w:rsidRPr="00080E32">
        <w:rPr>
          <w:rFonts w:ascii="Times New Roman" w:hAnsi="Times New Roman" w:cs="Times New Roman"/>
          <w:sz w:val="24"/>
          <w:szCs w:val="24"/>
        </w:rPr>
        <w:t xml:space="preserve"> Principal Group Companies and their 1000 or so subsidiary companies</w:t>
      </w:r>
      <w:r w:rsidR="00321585" w:rsidRPr="00080E32">
        <w:rPr>
          <w:rFonts w:ascii="Times New Roman" w:hAnsi="Times New Roman" w:cs="Times New Roman"/>
          <w:sz w:val="24"/>
          <w:szCs w:val="24"/>
        </w:rPr>
        <w:t xml:space="preserve"> would be extraordinary</w:t>
      </w:r>
      <w:r w:rsidR="001925B5" w:rsidRPr="00080E32">
        <w:rPr>
          <w:rFonts w:ascii="Times New Roman" w:hAnsi="Times New Roman" w:cs="Times New Roman"/>
          <w:sz w:val="24"/>
          <w:szCs w:val="24"/>
        </w:rPr>
        <w:t xml:space="preserve"> and would appear to be</w:t>
      </w:r>
      <w:r w:rsidR="000D12D3" w:rsidRPr="00080E32">
        <w:rPr>
          <w:rFonts w:ascii="Times New Roman" w:hAnsi="Times New Roman" w:cs="Times New Roman"/>
          <w:sz w:val="24"/>
          <w:szCs w:val="24"/>
        </w:rPr>
        <w:t xml:space="preserve"> contrary to the rationale</w:t>
      </w:r>
      <w:r w:rsidR="00DB7D29" w:rsidRPr="00080E32">
        <w:rPr>
          <w:rFonts w:ascii="Times New Roman" w:hAnsi="Times New Roman" w:cs="Times New Roman"/>
          <w:sz w:val="24"/>
          <w:szCs w:val="24"/>
        </w:rPr>
        <w:t xml:space="preserve"> in </w:t>
      </w:r>
      <w:r w:rsidR="00DB7D29" w:rsidRPr="00080E32">
        <w:rPr>
          <w:rFonts w:ascii="Times New Roman" w:hAnsi="Times New Roman" w:cs="Times New Roman"/>
          <w:i/>
          <w:iCs/>
          <w:sz w:val="24"/>
          <w:szCs w:val="24"/>
        </w:rPr>
        <w:t>Lon</w:t>
      </w:r>
      <w:r w:rsidR="00E10B1A" w:rsidRPr="00080E32">
        <w:rPr>
          <w:rFonts w:ascii="Times New Roman" w:hAnsi="Times New Roman" w:cs="Times New Roman"/>
          <w:i/>
          <w:iCs/>
          <w:sz w:val="24"/>
          <w:szCs w:val="24"/>
        </w:rPr>
        <w:t>rho</w:t>
      </w:r>
      <w:r w:rsidR="00E10B1A" w:rsidRPr="00080E32">
        <w:rPr>
          <w:rFonts w:ascii="Times New Roman" w:hAnsi="Times New Roman" w:cs="Times New Roman"/>
          <w:sz w:val="24"/>
          <w:szCs w:val="24"/>
        </w:rPr>
        <w:t>.</w:t>
      </w:r>
    </w:p>
    <w:p w14:paraId="262F55F8" w14:textId="77777777" w:rsidR="00603802" w:rsidRDefault="00603802" w:rsidP="0093190D">
      <w:pPr>
        <w:tabs>
          <w:tab w:val="left" w:pos="6696"/>
        </w:tabs>
        <w:spacing w:before="120" w:line="360" w:lineRule="auto"/>
        <w:rPr>
          <w:rFonts w:ascii="Times New Roman" w:hAnsi="Times New Roman" w:cs="Times New Roman"/>
          <w:sz w:val="24"/>
          <w:szCs w:val="24"/>
        </w:rPr>
      </w:pPr>
    </w:p>
    <w:p w14:paraId="3B493517" w14:textId="5BFAD930" w:rsidR="00603802" w:rsidRDefault="00603802" w:rsidP="004314F1">
      <w:pPr>
        <w:pStyle w:val="ListParagraph"/>
        <w:numPr>
          <w:ilvl w:val="0"/>
          <w:numId w:val="4"/>
        </w:numPr>
        <w:tabs>
          <w:tab w:val="left" w:pos="6696"/>
        </w:tabs>
        <w:spacing w:before="120" w:line="360" w:lineRule="auto"/>
        <w:rPr>
          <w:rFonts w:ascii="Times New Roman" w:hAnsi="Times New Roman" w:cs="Times New Roman"/>
          <w:b/>
          <w:bCs/>
          <w:i/>
          <w:iCs/>
          <w:sz w:val="24"/>
          <w:szCs w:val="24"/>
        </w:rPr>
      </w:pPr>
      <w:r w:rsidRPr="004314F1">
        <w:rPr>
          <w:rFonts w:ascii="Times New Roman" w:hAnsi="Times New Roman" w:cs="Times New Roman"/>
          <w:b/>
          <w:bCs/>
          <w:i/>
          <w:iCs/>
          <w:sz w:val="24"/>
          <w:szCs w:val="24"/>
        </w:rPr>
        <w:t xml:space="preserve">The </w:t>
      </w:r>
      <w:r w:rsidR="004314F1" w:rsidRPr="004314F1">
        <w:rPr>
          <w:rFonts w:ascii="Times New Roman" w:hAnsi="Times New Roman" w:cs="Times New Roman"/>
          <w:b/>
          <w:bCs/>
          <w:i/>
          <w:iCs/>
          <w:sz w:val="24"/>
          <w:szCs w:val="24"/>
        </w:rPr>
        <w:t>Privilege Issue</w:t>
      </w:r>
    </w:p>
    <w:p w14:paraId="49E42E45" w14:textId="77777777" w:rsidR="00A67897" w:rsidRDefault="00A67897" w:rsidP="00A67897">
      <w:pPr>
        <w:pStyle w:val="ListParagraph"/>
        <w:tabs>
          <w:tab w:val="left" w:pos="6696"/>
        </w:tabs>
        <w:spacing w:before="120" w:line="360" w:lineRule="auto"/>
        <w:rPr>
          <w:rFonts w:ascii="Times New Roman" w:hAnsi="Times New Roman" w:cs="Times New Roman"/>
          <w:b/>
          <w:bCs/>
          <w:i/>
          <w:iCs/>
          <w:sz w:val="24"/>
          <w:szCs w:val="24"/>
        </w:rPr>
      </w:pPr>
    </w:p>
    <w:p w14:paraId="240BF790" w14:textId="63F6BD2C" w:rsidR="004314F1" w:rsidRPr="00080E32" w:rsidRDefault="001D1212" w:rsidP="00FF2CBE">
      <w:pPr>
        <w:pStyle w:val="ListParagraph"/>
        <w:numPr>
          <w:ilvl w:val="0"/>
          <w:numId w:val="13"/>
        </w:numPr>
        <w:tabs>
          <w:tab w:val="left" w:pos="450"/>
        </w:tabs>
        <w:spacing w:before="120" w:line="360" w:lineRule="auto"/>
        <w:ind w:left="450" w:hanging="450"/>
        <w:jc w:val="both"/>
        <w:rPr>
          <w:rFonts w:ascii="Times New Roman" w:hAnsi="Times New Roman" w:cs="Times New Roman"/>
          <w:sz w:val="24"/>
          <w:szCs w:val="24"/>
        </w:rPr>
      </w:pPr>
      <w:r w:rsidRPr="00080E32">
        <w:rPr>
          <w:rFonts w:ascii="Times New Roman" w:hAnsi="Times New Roman" w:cs="Times New Roman"/>
          <w:sz w:val="24"/>
          <w:szCs w:val="24"/>
        </w:rPr>
        <w:t>I</w:t>
      </w:r>
      <w:r w:rsidR="00A348C3" w:rsidRPr="00080E32">
        <w:rPr>
          <w:rFonts w:ascii="Times New Roman" w:hAnsi="Times New Roman" w:cs="Times New Roman"/>
          <w:sz w:val="24"/>
          <w:szCs w:val="24"/>
        </w:rPr>
        <w:t xml:space="preserve">n the discovery given so </w:t>
      </w:r>
      <w:r w:rsidR="00583C45" w:rsidRPr="00080E32">
        <w:rPr>
          <w:rFonts w:ascii="Times New Roman" w:hAnsi="Times New Roman" w:cs="Times New Roman"/>
          <w:sz w:val="24"/>
          <w:szCs w:val="24"/>
        </w:rPr>
        <w:t>far,</w:t>
      </w:r>
      <w:r w:rsidRPr="00080E32">
        <w:rPr>
          <w:rFonts w:ascii="Times New Roman" w:hAnsi="Times New Roman" w:cs="Times New Roman"/>
          <w:sz w:val="24"/>
          <w:szCs w:val="24"/>
        </w:rPr>
        <w:t xml:space="preserve"> the </w:t>
      </w:r>
      <w:r w:rsidR="00C478C6" w:rsidRPr="00080E32">
        <w:rPr>
          <w:rFonts w:ascii="Times New Roman" w:hAnsi="Times New Roman" w:cs="Times New Roman"/>
          <w:sz w:val="24"/>
          <w:szCs w:val="24"/>
        </w:rPr>
        <w:t>Defendants have</w:t>
      </w:r>
      <w:r w:rsidRPr="00080E32">
        <w:rPr>
          <w:rFonts w:ascii="Times New Roman" w:hAnsi="Times New Roman" w:cs="Times New Roman"/>
          <w:sz w:val="24"/>
          <w:szCs w:val="24"/>
        </w:rPr>
        <w:t xml:space="preserve"> </w:t>
      </w:r>
      <w:r w:rsidR="00220126" w:rsidRPr="00080E32">
        <w:rPr>
          <w:rFonts w:ascii="Times New Roman" w:hAnsi="Times New Roman" w:cs="Times New Roman"/>
          <w:sz w:val="24"/>
          <w:szCs w:val="24"/>
        </w:rPr>
        <w:t xml:space="preserve">asserted that </w:t>
      </w:r>
      <w:r w:rsidR="00F56823" w:rsidRPr="00080E32">
        <w:rPr>
          <w:rFonts w:ascii="Times New Roman" w:hAnsi="Times New Roman" w:cs="Times New Roman"/>
          <w:sz w:val="24"/>
          <w:szCs w:val="24"/>
        </w:rPr>
        <w:t>they are</w:t>
      </w:r>
      <w:r w:rsidR="00220126" w:rsidRPr="00080E32">
        <w:rPr>
          <w:rFonts w:ascii="Times New Roman" w:hAnsi="Times New Roman" w:cs="Times New Roman"/>
          <w:sz w:val="24"/>
          <w:szCs w:val="24"/>
        </w:rPr>
        <w:t xml:space="preserve"> entitled to maintain claims for privilege against the Plaintiffs in the same way as against any other litigant. The Plaintiffs’ case is that this is misconceived and because of the relationship of shareholder and </w:t>
      </w:r>
      <w:r w:rsidR="00F56823" w:rsidRPr="00080E32">
        <w:rPr>
          <w:rFonts w:ascii="Times New Roman" w:hAnsi="Times New Roman" w:cs="Times New Roman"/>
          <w:sz w:val="24"/>
          <w:szCs w:val="24"/>
        </w:rPr>
        <w:t>c</w:t>
      </w:r>
      <w:r w:rsidR="00645F7F" w:rsidRPr="00080E32">
        <w:rPr>
          <w:rFonts w:ascii="Times New Roman" w:hAnsi="Times New Roman" w:cs="Times New Roman"/>
          <w:sz w:val="24"/>
          <w:szCs w:val="24"/>
        </w:rPr>
        <w:t>ompany</w:t>
      </w:r>
      <w:r w:rsidR="00220126" w:rsidRPr="00080E32">
        <w:rPr>
          <w:rFonts w:ascii="Times New Roman" w:hAnsi="Times New Roman" w:cs="Times New Roman"/>
          <w:sz w:val="24"/>
          <w:szCs w:val="24"/>
        </w:rPr>
        <w:t xml:space="preserve">, and the joint interest rising therefrom, no such right exists. As a result, the Plaintiffs </w:t>
      </w:r>
      <w:r w:rsidR="001B07CC" w:rsidRPr="00080E32">
        <w:rPr>
          <w:rFonts w:ascii="Times New Roman" w:hAnsi="Times New Roman" w:cs="Times New Roman"/>
          <w:sz w:val="24"/>
          <w:szCs w:val="24"/>
        </w:rPr>
        <w:t xml:space="preserve">claim that they </w:t>
      </w:r>
      <w:r w:rsidR="00220126" w:rsidRPr="00080E32">
        <w:rPr>
          <w:rFonts w:ascii="Times New Roman" w:hAnsi="Times New Roman" w:cs="Times New Roman"/>
          <w:sz w:val="24"/>
          <w:szCs w:val="24"/>
        </w:rPr>
        <w:t>have been denied access to documentation created prior to the amalgamation which should not have been the subject of a claim for privilege.</w:t>
      </w:r>
    </w:p>
    <w:p w14:paraId="1BAF7B46" w14:textId="77777777" w:rsidR="002772D6" w:rsidRDefault="002772D6" w:rsidP="00220126">
      <w:pPr>
        <w:tabs>
          <w:tab w:val="left" w:pos="6696"/>
        </w:tabs>
        <w:spacing w:before="120" w:line="360" w:lineRule="auto"/>
        <w:rPr>
          <w:rFonts w:ascii="Times New Roman" w:hAnsi="Times New Roman" w:cs="Times New Roman"/>
          <w:sz w:val="24"/>
          <w:szCs w:val="24"/>
        </w:rPr>
      </w:pPr>
    </w:p>
    <w:p w14:paraId="2A4BE1B5" w14:textId="5AEADF2B" w:rsidR="001B07CC" w:rsidRPr="00080E32" w:rsidRDefault="00E876EF" w:rsidP="00FF2CBE">
      <w:pPr>
        <w:pStyle w:val="ListParagraph"/>
        <w:numPr>
          <w:ilvl w:val="0"/>
          <w:numId w:val="13"/>
        </w:numPr>
        <w:tabs>
          <w:tab w:val="left" w:pos="450"/>
        </w:tabs>
        <w:spacing w:before="120" w:line="360" w:lineRule="auto"/>
        <w:ind w:left="450" w:hanging="450"/>
        <w:jc w:val="both"/>
        <w:rPr>
          <w:rFonts w:ascii="Times New Roman" w:hAnsi="Times New Roman" w:cs="Times New Roman"/>
          <w:sz w:val="24"/>
          <w:szCs w:val="24"/>
        </w:rPr>
      </w:pPr>
      <w:r w:rsidRPr="00080E32">
        <w:rPr>
          <w:rFonts w:ascii="Times New Roman" w:hAnsi="Times New Roman" w:cs="Times New Roman"/>
          <w:sz w:val="24"/>
          <w:szCs w:val="24"/>
        </w:rPr>
        <w:t xml:space="preserve">The Plaintiffs seek an order (at paragraph 7 of the Discovery Summons) that the </w:t>
      </w:r>
      <w:r w:rsidR="00F56823" w:rsidRPr="00080E32">
        <w:rPr>
          <w:rFonts w:ascii="Times New Roman" w:hAnsi="Times New Roman" w:cs="Times New Roman"/>
          <w:sz w:val="24"/>
          <w:szCs w:val="24"/>
        </w:rPr>
        <w:t>Defendants are</w:t>
      </w:r>
      <w:r w:rsidRPr="00080E32">
        <w:rPr>
          <w:rFonts w:ascii="Times New Roman" w:hAnsi="Times New Roman" w:cs="Times New Roman"/>
          <w:sz w:val="24"/>
          <w:szCs w:val="24"/>
        </w:rPr>
        <w:t xml:space="preserve"> not entitled to withhold certain, relevant documents from the Plaintiffs in these proceedings on grounds of privilege. This follows the general principle that a shareholder of a </w:t>
      </w:r>
      <w:r w:rsidR="00116B69" w:rsidRPr="00080E32">
        <w:rPr>
          <w:rFonts w:ascii="Times New Roman" w:hAnsi="Times New Roman" w:cs="Times New Roman"/>
          <w:sz w:val="24"/>
          <w:szCs w:val="24"/>
        </w:rPr>
        <w:t>c</w:t>
      </w:r>
      <w:r w:rsidR="00645F7F" w:rsidRPr="00080E32">
        <w:rPr>
          <w:rFonts w:ascii="Times New Roman" w:hAnsi="Times New Roman" w:cs="Times New Roman"/>
          <w:sz w:val="24"/>
          <w:szCs w:val="24"/>
        </w:rPr>
        <w:t>ompany</w:t>
      </w:r>
      <w:r w:rsidRPr="00080E32">
        <w:rPr>
          <w:rFonts w:ascii="Times New Roman" w:hAnsi="Times New Roman" w:cs="Times New Roman"/>
          <w:sz w:val="24"/>
          <w:szCs w:val="24"/>
        </w:rPr>
        <w:t xml:space="preserve"> is entitled to see privileged documents of the </w:t>
      </w:r>
      <w:r w:rsidR="00116B69" w:rsidRPr="00080E32">
        <w:rPr>
          <w:rFonts w:ascii="Times New Roman" w:hAnsi="Times New Roman" w:cs="Times New Roman"/>
          <w:sz w:val="24"/>
          <w:szCs w:val="24"/>
        </w:rPr>
        <w:t>c</w:t>
      </w:r>
      <w:r w:rsidR="00645F7F" w:rsidRPr="00080E32">
        <w:rPr>
          <w:rFonts w:ascii="Times New Roman" w:hAnsi="Times New Roman" w:cs="Times New Roman"/>
          <w:sz w:val="24"/>
          <w:szCs w:val="24"/>
        </w:rPr>
        <w:t>ompany</w:t>
      </w:r>
      <w:r w:rsidRPr="00080E32">
        <w:rPr>
          <w:rFonts w:ascii="Times New Roman" w:hAnsi="Times New Roman" w:cs="Times New Roman"/>
          <w:sz w:val="24"/>
          <w:szCs w:val="24"/>
        </w:rPr>
        <w:t xml:space="preserve"> obtained in the course of the </w:t>
      </w:r>
      <w:r w:rsidR="00116B69" w:rsidRPr="00080E32">
        <w:rPr>
          <w:rFonts w:ascii="Times New Roman" w:hAnsi="Times New Roman" w:cs="Times New Roman"/>
          <w:sz w:val="24"/>
          <w:szCs w:val="24"/>
        </w:rPr>
        <w:t>c</w:t>
      </w:r>
      <w:r w:rsidR="00645F7F" w:rsidRPr="00080E32">
        <w:rPr>
          <w:rFonts w:ascii="Times New Roman" w:hAnsi="Times New Roman" w:cs="Times New Roman"/>
          <w:sz w:val="24"/>
          <w:szCs w:val="24"/>
        </w:rPr>
        <w:t>ompany</w:t>
      </w:r>
      <w:r w:rsidRPr="00080E32">
        <w:rPr>
          <w:rFonts w:ascii="Times New Roman" w:hAnsi="Times New Roman" w:cs="Times New Roman"/>
          <w:sz w:val="24"/>
          <w:szCs w:val="24"/>
        </w:rPr>
        <w:t>’s administration of its affairs, including legal advice.</w:t>
      </w:r>
    </w:p>
    <w:p w14:paraId="549A2F63" w14:textId="77777777" w:rsidR="003B2D90" w:rsidRDefault="003B2D90" w:rsidP="00E876EF">
      <w:pPr>
        <w:tabs>
          <w:tab w:val="left" w:pos="6696"/>
        </w:tabs>
        <w:spacing w:before="120" w:line="360" w:lineRule="auto"/>
        <w:rPr>
          <w:rFonts w:ascii="Times New Roman" w:hAnsi="Times New Roman" w:cs="Times New Roman"/>
          <w:sz w:val="24"/>
          <w:szCs w:val="24"/>
        </w:rPr>
      </w:pPr>
    </w:p>
    <w:p w14:paraId="3FABE83D" w14:textId="04964FAD" w:rsidR="008244F6" w:rsidRPr="00080E32" w:rsidRDefault="00C53713" w:rsidP="00FF2CBE">
      <w:pPr>
        <w:pStyle w:val="ListParagraph"/>
        <w:numPr>
          <w:ilvl w:val="0"/>
          <w:numId w:val="13"/>
        </w:numPr>
        <w:tabs>
          <w:tab w:val="left" w:pos="450"/>
        </w:tabs>
        <w:spacing w:before="120" w:line="360" w:lineRule="auto"/>
        <w:ind w:left="450" w:hanging="450"/>
        <w:jc w:val="both"/>
        <w:rPr>
          <w:rFonts w:ascii="Times New Roman" w:hAnsi="Times New Roman" w:cs="Times New Roman"/>
          <w:sz w:val="24"/>
          <w:szCs w:val="24"/>
        </w:rPr>
      </w:pPr>
      <w:r w:rsidRPr="00080E32">
        <w:rPr>
          <w:rFonts w:ascii="Times New Roman" w:hAnsi="Times New Roman" w:cs="Times New Roman"/>
          <w:sz w:val="24"/>
          <w:szCs w:val="24"/>
        </w:rPr>
        <w:t xml:space="preserve">The </w:t>
      </w:r>
      <w:r w:rsidR="00116B69" w:rsidRPr="00080E32">
        <w:rPr>
          <w:rFonts w:ascii="Times New Roman" w:hAnsi="Times New Roman" w:cs="Times New Roman"/>
          <w:sz w:val="24"/>
          <w:szCs w:val="24"/>
        </w:rPr>
        <w:t>Defendants</w:t>
      </w:r>
      <w:r w:rsidRPr="00080E32">
        <w:rPr>
          <w:rFonts w:ascii="Times New Roman" w:hAnsi="Times New Roman" w:cs="Times New Roman"/>
          <w:sz w:val="24"/>
          <w:szCs w:val="24"/>
        </w:rPr>
        <w:t xml:space="preserve"> contend that</w:t>
      </w:r>
      <w:r w:rsidR="008244F6" w:rsidRPr="00080E32">
        <w:rPr>
          <w:rFonts w:ascii="Times New Roman" w:hAnsi="Times New Roman" w:cs="Times New Roman"/>
          <w:sz w:val="24"/>
          <w:szCs w:val="24"/>
        </w:rPr>
        <w:t xml:space="preserve"> the Plaintiffs’ application for an order precluding the </w:t>
      </w:r>
      <w:r w:rsidR="00645F7F" w:rsidRPr="00080E32">
        <w:rPr>
          <w:rFonts w:ascii="Times New Roman" w:hAnsi="Times New Roman" w:cs="Times New Roman"/>
          <w:sz w:val="24"/>
          <w:szCs w:val="24"/>
        </w:rPr>
        <w:t>Company</w:t>
      </w:r>
      <w:r w:rsidR="008244F6" w:rsidRPr="00080E32">
        <w:rPr>
          <w:rFonts w:ascii="Times New Roman" w:hAnsi="Times New Roman" w:cs="Times New Roman"/>
          <w:sz w:val="24"/>
          <w:szCs w:val="24"/>
        </w:rPr>
        <w:t xml:space="preserve"> from withholding from inspection privileged documents created before 12 April 2021 should be dismissed on the grounds that: </w:t>
      </w:r>
    </w:p>
    <w:p w14:paraId="40F9348B" w14:textId="77777777" w:rsidR="008244F6" w:rsidRPr="003B4236" w:rsidRDefault="008244F6" w:rsidP="003B4236">
      <w:pPr>
        <w:tabs>
          <w:tab w:val="left" w:pos="6696"/>
        </w:tabs>
        <w:spacing w:before="120" w:line="360" w:lineRule="auto"/>
        <w:rPr>
          <w:rFonts w:ascii="Times New Roman" w:hAnsi="Times New Roman" w:cs="Times New Roman"/>
          <w:sz w:val="24"/>
          <w:szCs w:val="24"/>
        </w:rPr>
      </w:pPr>
    </w:p>
    <w:p w14:paraId="1E5F4299" w14:textId="47B5343F" w:rsidR="003E2E01" w:rsidRPr="003B4236" w:rsidRDefault="008244F6" w:rsidP="003B4236">
      <w:pPr>
        <w:tabs>
          <w:tab w:val="left" w:pos="6696"/>
        </w:tabs>
        <w:spacing w:before="120" w:line="360" w:lineRule="auto"/>
        <w:ind w:left="720"/>
        <w:rPr>
          <w:rFonts w:ascii="Times New Roman" w:hAnsi="Times New Roman" w:cs="Times New Roman"/>
          <w:sz w:val="24"/>
          <w:szCs w:val="24"/>
        </w:rPr>
      </w:pPr>
      <w:r w:rsidRPr="003B4236">
        <w:rPr>
          <w:rFonts w:ascii="Times New Roman" w:hAnsi="Times New Roman" w:cs="Times New Roman"/>
          <w:sz w:val="24"/>
          <w:szCs w:val="24"/>
        </w:rPr>
        <w:t xml:space="preserve">(a) None of the Plaintiffs is a shareholder in the </w:t>
      </w:r>
      <w:r w:rsidR="00645F7F" w:rsidRPr="003B4236">
        <w:rPr>
          <w:rFonts w:ascii="Times New Roman" w:hAnsi="Times New Roman" w:cs="Times New Roman"/>
          <w:sz w:val="24"/>
          <w:szCs w:val="24"/>
        </w:rPr>
        <w:t>Company</w:t>
      </w:r>
      <w:r w:rsidR="00262596" w:rsidRPr="003B4236">
        <w:rPr>
          <w:rFonts w:ascii="Times New Roman" w:hAnsi="Times New Roman" w:cs="Times New Roman"/>
          <w:sz w:val="24"/>
          <w:szCs w:val="24"/>
        </w:rPr>
        <w:t xml:space="preserve"> or Jardine </w:t>
      </w:r>
      <w:r w:rsidR="002B4366" w:rsidRPr="003B4236">
        <w:rPr>
          <w:rFonts w:ascii="Times New Roman" w:hAnsi="Times New Roman" w:cs="Times New Roman"/>
          <w:sz w:val="24"/>
          <w:szCs w:val="24"/>
        </w:rPr>
        <w:t>S</w:t>
      </w:r>
      <w:r w:rsidR="00262596" w:rsidRPr="003B4236">
        <w:rPr>
          <w:rFonts w:ascii="Times New Roman" w:hAnsi="Times New Roman" w:cs="Times New Roman"/>
          <w:sz w:val="24"/>
          <w:szCs w:val="24"/>
        </w:rPr>
        <w:t>trategic</w:t>
      </w:r>
      <w:r w:rsidRPr="003B4236">
        <w:rPr>
          <w:rFonts w:ascii="Times New Roman" w:hAnsi="Times New Roman" w:cs="Times New Roman"/>
          <w:sz w:val="24"/>
          <w:szCs w:val="24"/>
        </w:rPr>
        <w:t>.</w:t>
      </w:r>
      <w:r w:rsidR="00D03E53" w:rsidRPr="003B4236">
        <w:rPr>
          <w:rFonts w:ascii="Times New Roman" w:hAnsi="Times New Roman" w:cs="Times New Roman"/>
          <w:sz w:val="24"/>
          <w:szCs w:val="24"/>
        </w:rPr>
        <w:t xml:space="preserve"> </w:t>
      </w:r>
      <w:r w:rsidRPr="003B4236">
        <w:rPr>
          <w:rFonts w:ascii="Times New Roman" w:hAnsi="Times New Roman" w:cs="Times New Roman"/>
          <w:sz w:val="24"/>
          <w:szCs w:val="24"/>
        </w:rPr>
        <w:t>The general English law rule relied upon by</w:t>
      </w:r>
      <w:r w:rsidR="003E2E01" w:rsidRPr="003B4236">
        <w:rPr>
          <w:rFonts w:ascii="Times New Roman" w:hAnsi="Times New Roman" w:cs="Times New Roman"/>
          <w:sz w:val="24"/>
          <w:szCs w:val="24"/>
        </w:rPr>
        <w:t xml:space="preserve"> the Plaintiffs, which disables a </w:t>
      </w:r>
      <w:r w:rsidR="00645F7F" w:rsidRPr="003B4236">
        <w:rPr>
          <w:rFonts w:ascii="Times New Roman" w:hAnsi="Times New Roman" w:cs="Times New Roman"/>
          <w:sz w:val="24"/>
          <w:szCs w:val="24"/>
        </w:rPr>
        <w:t>Company</w:t>
      </w:r>
      <w:r w:rsidR="003E2E01" w:rsidRPr="003B4236">
        <w:rPr>
          <w:rFonts w:ascii="Times New Roman" w:hAnsi="Times New Roman" w:cs="Times New Roman"/>
          <w:sz w:val="24"/>
          <w:szCs w:val="24"/>
        </w:rPr>
        <w:t xml:space="preserve"> from asserting privilege against its</w:t>
      </w:r>
      <w:r w:rsidR="008500B4" w:rsidRPr="003B4236">
        <w:rPr>
          <w:rFonts w:ascii="Times New Roman" w:hAnsi="Times New Roman" w:cs="Times New Roman"/>
          <w:sz w:val="24"/>
          <w:szCs w:val="24"/>
        </w:rPr>
        <w:t xml:space="preserve"> </w:t>
      </w:r>
      <w:r w:rsidR="003E2E01" w:rsidRPr="003B4236">
        <w:rPr>
          <w:rFonts w:ascii="Times New Roman" w:hAnsi="Times New Roman" w:cs="Times New Roman"/>
          <w:sz w:val="24"/>
          <w:szCs w:val="24"/>
        </w:rPr>
        <w:t>shareholders in litigation, does not extend to past</w:t>
      </w:r>
      <w:r w:rsidR="008500B4" w:rsidRPr="003B4236">
        <w:rPr>
          <w:rFonts w:ascii="Times New Roman" w:hAnsi="Times New Roman" w:cs="Times New Roman"/>
          <w:sz w:val="24"/>
          <w:szCs w:val="24"/>
        </w:rPr>
        <w:t xml:space="preserve"> </w:t>
      </w:r>
      <w:r w:rsidR="003E2E01" w:rsidRPr="003B4236">
        <w:rPr>
          <w:rFonts w:ascii="Times New Roman" w:hAnsi="Times New Roman" w:cs="Times New Roman"/>
          <w:sz w:val="24"/>
          <w:szCs w:val="24"/>
        </w:rPr>
        <w:t xml:space="preserve">shareholders. </w:t>
      </w:r>
    </w:p>
    <w:p w14:paraId="654EA165" w14:textId="298B1F24" w:rsidR="003E2E01" w:rsidRPr="003B4236" w:rsidRDefault="003E2E01" w:rsidP="003B4236">
      <w:pPr>
        <w:tabs>
          <w:tab w:val="left" w:pos="6696"/>
        </w:tabs>
        <w:spacing w:before="120" w:line="360" w:lineRule="auto"/>
        <w:ind w:left="720"/>
        <w:rPr>
          <w:rFonts w:ascii="Times New Roman" w:hAnsi="Times New Roman" w:cs="Times New Roman"/>
          <w:sz w:val="24"/>
          <w:szCs w:val="24"/>
        </w:rPr>
      </w:pPr>
      <w:r w:rsidRPr="003B4236">
        <w:rPr>
          <w:rFonts w:ascii="Times New Roman" w:hAnsi="Times New Roman" w:cs="Times New Roman"/>
          <w:sz w:val="24"/>
          <w:szCs w:val="24"/>
        </w:rPr>
        <w:t xml:space="preserve">(b) In any event, the legal advice obtained by </w:t>
      </w:r>
      <w:r w:rsidR="009156E1" w:rsidRPr="003B4236">
        <w:rPr>
          <w:rFonts w:ascii="Times New Roman" w:hAnsi="Times New Roman" w:cs="Times New Roman"/>
          <w:sz w:val="24"/>
          <w:szCs w:val="24"/>
        </w:rPr>
        <w:t>the Company</w:t>
      </w:r>
      <w:r w:rsidRPr="003B4236">
        <w:rPr>
          <w:rFonts w:ascii="Times New Roman" w:hAnsi="Times New Roman" w:cs="Times New Roman"/>
          <w:sz w:val="24"/>
          <w:szCs w:val="24"/>
        </w:rPr>
        <w:t xml:space="preserve"> in connection with</w:t>
      </w:r>
      <w:r w:rsidR="009156E1" w:rsidRPr="003B4236">
        <w:rPr>
          <w:rFonts w:ascii="Times New Roman" w:hAnsi="Times New Roman" w:cs="Times New Roman"/>
          <w:sz w:val="24"/>
          <w:szCs w:val="24"/>
        </w:rPr>
        <w:t xml:space="preserve"> </w:t>
      </w:r>
      <w:r w:rsidRPr="003B4236">
        <w:rPr>
          <w:rFonts w:ascii="Times New Roman" w:hAnsi="Times New Roman" w:cs="Times New Roman"/>
          <w:sz w:val="24"/>
          <w:szCs w:val="24"/>
        </w:rPr>
        <w:t xml:space="preserve">the Amalgamation falls within an established exception to the general English law rule as it was obtained in circumstances where </w:t>
      </w:r>
      <w:r w:rsidR="002B4366" w:rsidRPr="003B4236">
        <w:rPr>
          <w:rFonts w:ascii="Times New Roman" w:hAnsi="Times New Roman" w:cs="Times New Roman"/>
          <w:sz w:val="24"/>
          <w:szCs w:val="24"/>
        </w:rPr>
        <w:t>the Compan</w:t>
      </w:r>
      <w:r w:rsidR="00534322" w:rsidRPr="003B4236">
        <w:rPr>
          <w:rFonts w:ascii="Times New Roman" w:hAnsi="Times New Roman" w:cs="Times New Roman"/>
          <w:sz w:val="24"/>
          <w:szCs w:val="24"/>
        </w:rPr>
        <w:t>y’s</w:t>
      </w:r>
      <w:r w:rsidRPr="003B4236">
        <w:rPr>
          <w:rFonts w:ascii="Times New Roman" w:hAnsi="Times New Roman" w:cs="Times New Roman"/>
          <w:sz w:val="24"/>
          <w:szCs w:val="24"/>
        </w:rPr>
        <w:t xml:space="preserve"> board (and independent Transaction Committee) reasonably contemplated hostile</w:t>
      </w:r>
      <w:r w:rsidR="00BF10EB" w:rsidRPr="003B4236">
        <w:rPr>
          <w:rFonts w:ascii="Times New Roman" w:hAnsi="Times New Roman" w:cs="Times New Roman"/>
          <w:sz w:val="24"/>
          <w:szCs w:val="24"/>
        </w:rPr>
        <w:t xml:space="preserve"> litigation against the Defendants.</w:t>
      </w:r>
    </w:p>
    <w:p w14:paraId="672C1A02" w14:textId="491004C1" w:rsidR="003B2D90" w:rsidRPr="003B4236" w:rsidRDefault="003E2E01" w:rsidP="003B4236">
      <w:pPr>
        <w:tabs>
          <w:tab w:val="left" w:pos="6696"/>
        </w:tabs>
        <w:spacing w:before="120" w:line="360" w:lineRule="auto"/>
        <w:ind w:left="720"/>
        <w:rPr>
          <w:rFonts w:ascii="Times New Roman" w:hAnsi="Times New Roman" w:cs="Times New Roman"/>
          <w:sz w:val="24"/>
          <w:szCs w:val="24"/>
        </w:rPr>
      </w:pPr>
      <w:r w:rsidRPr="003B4236">
        <w:rPr>
          <w:rFonts w:ascii="Times New Roman" w:hAnsi="Times New Roman" w:cs="Times New Roman"/>
          <w:sz w:val="24"/>
          <w:szCs w:val="24"/>
        </w:rPr>
        <w:t xml:space="preserve">(c) Finally, in the event that the Court were to disagree on points </w:t>
      </w:r>
      <w:r w:rsidR="008F5A3C" w:rsidRPr="003B4236">
        <w:rPr>
          <w:rFonts w:ascii="Times New Roman" w:hAnsi="Times New Roman" w:cs="Times New Roman"/>
          <w:sz w:val="24"/>
          <w:szCs w:val="24"/>
        </w:rPr>
        <w:t>(a)</w:t>
      </w:r>
      <w:r w:rsidRPr="003B4236">
        <w:rPr>
          <w:rFonts w:ascii="Times New Roman" w:hAnsi="Times New Roman" w:cs="Times New Roman"/>
          <w:sz w:val="24"/>
          <w:szCs w:val="24"/>
        </w:rPr>
        <w:t xml:space="preserve"> and </w:t>
      </w:r>
      <w:r w:rsidR="008F5A3C" w:rsidRPr="003B4236">
        <w:rPr>
          <w:rFonts w:ascii="Times New Roman" w:hAnsi="Times New Roman" w:cs="Times New Roman"/>
          <w:sz w:val="24"/>
          <w:szCs w:val="24"/>
        </w:rPr>
        <w:t>(b)</w:t>
      </w:r>
      <w:r w:rsidRPr="003B4236">
        <w:rPr>
          <w:rFonts w:ascii="Times New Roman" w:hAnsi="Times New Roman" w:cs="Times New Roman"/>
          <w:sz w:val="24"/>
          <w:szCs w:val="24"/>
        </w:rPr>
        <w:t xml:space="preserve">, the </w:t>
      </w:r>
      <w:r w:rsidR="008F5A3C" w:rsidRPr="003B4236">
        <w:rPr>
          <w:rFonts w:ascii="Times New Roman" w:hAnsi="Times New Roman" w:cs="Times New Roman"/>
          <w:sz w:val="24"/>
          <w:szCs w:val="24"/>
        </w:rPr>
        <w:t>Defendants</w:t>
      </w:r>
      <w:r w:rsidRPr="003B4236">
        <w:rPr>
          <w:rFonts w:ascii="Times New Roman" w:hAnsi="Times New Roman" w:cs="Times New Roman"/>
          <w:sz w:val="24"/>
          <w:szCs w:val="24"/>
        </w:rPr>
        <w:t xml:space="preserve"> invite the Court not to adopt the English </w:t>
      </w:r>
      <w:r w:rsidR="00AB7244" w:rsidRPr="003B4236">
        <w:rPr>
          <w:rFonts w:ascii="Times New Roman" w:hAnsi="Times New Roman" w:cs="Times New Roman"/>
          <w:sz w:val="24"/>
          <w:szCs w:val="24"/>
        </w:rPr>
        <w:t>r</w:t>
      </w:r>
      <w:r w:rsidRPr="003B4236">
        <w:rPr>
          <w:rFonts w:ascii="Times New Roman" w:hAnsi="Times New Roman" w:cs="Times New Roman"/>
          <w:sz w:val="24"/>
          <w:szCs w:val="24"/>
        </w:rPr>
        <w:t xml:space="preserve">ule. The basis of the English </w:t>
      </w:r>
      <w:r w:rsidR="00AB7244" w:rsidRPr="003B4236">
        <w:rPr>
          <w:rFonts w:ascii="Times New Roman" w:hAnsi="Times New Roman" w:cs="Times New Roman"/>
          <w:sz w:val="24"/>
          <w:szCs w:val="24"/>
        </w:rPr>
        <w:t>r</w:t>
      </w:r>
      <w:r w:rsidRPr="003B4236">
        <w:rPr>
          <w:rFonts w:ascii="Times New Roman" w:hAnsi="Times New Roman" w:cs="Times New Roman"/>
          <w:sz w:val="24"/>
          <w:szCs w:val="24"/>
        </w:rPr>
        <w:t>ule is “</w:t>
      </w:r>
      <w:r w:rsidRPr="003B4236">
        <w:rPr>
          <w:rFonts w:ascii="Times New Roman" w:hAnsi="Times New Roman" w:cs="Times New Roman"/>
          <w:i/>
          <w:iCs/>
          <w:sz w:val="24"/>
          <w:szCs w:val="24"/>
        </w:rPr>
        <w:t>distinctly dubious</w:t>
      </w:r>
      <w:r w:rsidRPr="003B4236">
        <w:rPr>
          <w:rFonts w:ascii="Times New Roman" w:hAnsi="Times New Roman" w:cs="Times New Roman"/>
          <w:sz w:val="24"/>
          <w:szCs w:val="24"/>
        </w:rPr>
        <w:t>” (a description used in</w:t>
      </w:r>
      <w:r w:rsidRPr="003B4236">
        <w:rPr>
          <w:rFonts w:ascii="Times New Roman" w:hAnsi="Times New Roman" w:cs="Times New Roman"/>
          <w:i/>
          <w:iCs/>
          <w:sz w:val="24"/>
          <w:szCs w:val="24"/>
        </w:rPr>
        <w:t xml:space="preserve"> Hollander</w:t>
      </w:r>
      <w:r w:rsidRPr="003B4236">
        <w:rPr>
          <w:rFonts w:ascii="Times New Roman" w:hAnsi="Times New Roman" w:cs="Times New Roman"/>
          <w:sz w:val="24"/>
          <w:szCs w:val="24"/>
        </w:rPr>
        <w:t xml:space="preserve"> </w:t>
      </w:r>
      <w:r w:rsidR="003B4236" w:rsidRPr="003B4236">
        <w:rPr>
          <w:rFonts w:ascii="Times New Roman" w:hAnsi="Times New Roman" w:cs="Times New Roman"/>
          <w:sz w:val="24"/>
          <w:szCs w:val="24"/>
        </w:rPr>
        <w:t>at</w:t>
      </w:r>
      <w:r w:rsidRPr="003B4236">
        <w:rPr>
          <w:rFonts w:ascii="Times New Roman" w:hAnsi="Times New Roman" w:cs="Times New Roman"/>
          <w:sz w:val="24"/>
          <w:szCs w:val="24"/>
        </w:rPr>
        <w:t xml:space="preserve"> 5-02</w:t>
      </w:r>
      <w:r w:rsidR="006730A5" w:rsidRPr="003B4236">
        <w:rPr>
          <w:rFonts w:ascii="Times New Roman" w:hAnsi="Times New Roman" w:cs="Times New Roman"/>
          <w:sz w:val="24"/>
          <w:szCs w:val="24"/>
        </w:rPr>
        <w:t>)</w:t>
      </w:r>
      <w:r w:rsidRPr="003B4236">
        <w:rPr>
          <w:rFonts w:ascii="Times New Roman" w:hAnsi="Times New Roman" w:cs="Times New Roman"/>
          <w:sz w:val="24"/>
          <w:szCs w:val="24"/>
        </w:rPr>
        <w:t xml:space="preserve"> and has not been followed in other common law jurisdictions,</w:t>
      </w:r>
      <w:r w:rsidR="006730A5" w:rsidRPr="003B4236">
        <w:rPr>
          <w:rFonts w:ascii="Times New Roman" w:hAnsi="Times New Roman" w:cs="Times New Roman"/>
          <w:sz w:val="24"/>
          <w:szCs w:val="24"/>
        </w:rPr>
        <w:t xml:space="preserve"> </w:t>
      </w:r>
      <w:r w:rsidRPr="003B4236">
        <w:rPr>
          <w:rFonts w:ascii="Times New Roman" w:hAnsi="Times New Roman" w:cs="Times New Roman"/>
          <w:sz w:val="24"/>
          <w:szCs w:val="24"/>
        </w:rPr>
        <w:t>including Canada and the US.</w:t>
      </w:r>
    </w:p>
    <w:p w14:paraId="1C0BC241" w14:textId="77777777" w:rsidR="007A6C40" w:rsidRPr="006165B4" w:rsidRDefault="007A6C40" w:rsidP="006730A5">
      <w:pPr>
        <w:tabs>
          <w:tab w:val="left" w:pos="6696"/>
        </w:tabs>
        <w:spacing w:before="120" w:line="360" w:lineRule="auto"/>
        <w:ind w:left="720"/>
        <w:rPr>
          <w:rFonts w:ascii="Times New Roman" w:hAnsi="Times New Roman" w:cs="Times New Roman"/>
          <w:b/>
          <w:bCs/>
          <w:i/>
          <w:iCs/>
          <w:sz w:val="24"/>
          <w:szCs w:val="24"/>
        </w:rPr>
      </w:pPr>
    </w:p>
    <w:p w14:paraId="39447996" w14:textId="66DB3C56" w:rsidR="007A6C40" w:rsidRDefault="00887640" w:rsidP="0093190D">
      <w:pPr>
        <w:tabs>
          <w:tab w:val="left" w:pos="6696"/>
        </w:tabs>
        <w:spacing w:before="120" w:line="360" w:lineRule="auto"/>
        <w:rPr>
          <w:rFonts w:ascii="Times New Roman" w:hAnsi="Times New Roman" w:cs="Times New Roman"/>
          <w:b/>
          <w:bCs/>
          <w:i/>
          <w:iCs/>
          <w:sz w:val="24"/>
          <w:szCs w:val="24"/>
        </w:rPr>
      </w:pPr>
      <w:r w:rsidRPr="006165B4">
        <w:rPr>
          <w:rFonts w:ascii="Times New Roman" w:hAnsi="Times New Roman" w:cs="Times New Roman"/>
          <w:b/>
          <w:bCs/>
          <w:i/>
          <w:iCs/>
          <w:sz w:val="24"/>
          <w:szCs w:val="24"/>
        </w:rPr>
        <w:t>The position under</w:t>
      </w:r>
      <w:r w:rsidR="006165B4" w:rsidRPr="006165B4">
        <w:rPr>
          <w:rFonts w:ascii="Times New Roman" w:hAnsi="Times New Roman" w:cs="Times New Roman"/>
          <w:b/>
          <w:bCs/>
          <w:i/>
          <w:iCs/>
          <w:sz w:val="24"/>
          <w:szCs w:val="24"/>
        </w:rPr>
        <w:t xml:space="preserve"> English law</w:t>
      </w:r>
    </w:p>
    <w:p w14:paraId="2A3E55C3" w14:textId="77777777" w:rsidR="006165B4" w:rsidRDefault="006165B4" w:rsidP="0093190D">
      <w:pPr>
        <w:tabs>
          <w:tab w:val="left" w:pos="6696"/>
        </w:tabs>
        <w:spacing w:before="120" w:line="360" w:lineRule="auto"/>
        <w:rPr>
          <w:rFonts w:ascii="Times New Roman" w:hAnsi="Times New Roman" w:cs="Times New Roman"/>
          <w:b/>
          <w:bCs/>
          <w:i/>
          <w:iCs/>
          <w:sz w:val="24"/>
          <w:szCs w:val="24"/>
        </w:rPr>
      </w:pPr>
    </w:p>
    <w:p w14:paraId="52AAAD6F" w14:textId="05880A4B" w:rsidR="006165B4" w:rsidRPr="00080E32" w:rsidRDefault="009424A0" w:rsidP="00FF2CBE">
      <w:pPr>
        <w:pStyle w:val="ListParagraph"/>
        <w:numPr>
          <w:ilvl w:val="0"/>
          <w:numId w:val="13"/>
        </w:numPr>
        <w:tabs>
          <w:tab w:val="left" w:pos="450"/>
        </w:tabs>
        <w:spacing w:before="120" w:line="360" w:lineRule="auto"/>
        <w:ind w:left="450" w:hanging="450"/>
        <w:jc w:val="both"/>
        <w:rPr>
          <w:rFonts w:ascii="Times New Roman" w:hAnsi="Times New Roman" w:cs="Times New Roman"/>
          <w:sz w:val="24"/>
          <w:szCs w:val="24"/>
        </w:rPr>
      </w:pPr>
      <w:r w:rsidRPr="00080E32">
        <w:rPr>
          <w:rFonts w:ascii="Times New Roman" w:hAnsi="Times New Roman" w:cs="Times New Roman"/>
          <w:sz w:val="24"/>
          <w:szCs w:val="24"/>
        </w:rPr>
        <w:t>It is common ground that</w:t>
      </w:r>
      <w:r w:rsidR="00004974" w:rsidRPr="00080E32">
        <w:rPr>
          <w:rFonts w:ascii="Times New Roman" w:hAnsi="Times New Roman" w:cs="Times New Roman"/>
          <w:sz w:val="24"/>
          <w:szCs w:val="24"/>
        </w:rPr>
        <w:t xml:space="preserve"> </w:t>
      </w:r>
      <w:r w:rsidR="007E7CE8" w:rsidRPr="00080E32">
        <w:rPr>
          <w:rFonts w:ascii="Times New Roman" w:hAnsi="Times New Roman" w:cs="Times New Roman"/>
          <w:sz w:val="24"/>
          <w:szCs w:val="24"/>
        </w:rPr>
        <w:t xml:space="preserve">the English </w:t>
      </w:r>
      <w:r w:rsidR="00345A01" w:rsidRPr="00080E32">
        <w:rPr>
          <w:rFonts w:ascii="Times New Roman" w:hAnsi="Times New Roman" w:cs="Times New Roman"/>
          <w:sz w:val="24"/>
          <w:szCs w:val="24"/>
        </w:rPr>
        <w:t>r</w:t>
      </w:r>
      <w:r w:rsidR="007E7CE8" w:rsidRPr="00080E32">
        <w:rPr>
          <w:rFonts w:ascii="Times New Roman" w:hAnsi="Times New Roman" w:cs="Times New Roman"/>
          <w:sz w:val="24"/>
          <w:szCs w:val="24"/>
        </w:rPr>
        <w:t>ule precluding a company from claiming privilege against its shareholders has its origin in cases decided in the 1880s, directly applying partnership and trust principles. At that time, there was a widely held view that a beneficiary of a trust, if he established an equitable interest in trust property, had a right to inspect documents held by trustees because he had a proprietary right in them and they were, in a sense,</w:t>
      </w:r>
      <w:r w:rsidR="00370749" w:rsidRPr="00080E32">
        <w:rPr>
          <w:rFonts w:ascii="Times New Roman" w:hAnsi="Times New Roman" w:cs="Times New Roman"/>
          <w:sz w:val="24"/>
          <w:szCs w:val="24"/>
        </w:rPr>
        <w:t xml:space="preserve"> his own.</w:t>
      </w:r>
      <w:r w:rsidR="004E7F70" w:rsidRPr="00080E32">
        <w:rPr>
          <w:rFonts w:ascii="Times New Roman" w:hAnsi="Times New Roman" w:cs="Times New Roman"/>
          <w:sz w:val="24"/>
          <w:szCs w:val="24"/>
        </w:rPr>
        <w:t xml:space="preserve"> Thus,</w:t>
      </w:r>
      <w:r w:rsidR="00C87047" w:rsidRPr="00080E32">
        <w:rPr>
          <w:rFonts w:ascii="Times New Roman" w:hAnsi="Times New Roman" w:cs="Times New Roman"/>
          <w:sz w:val="24"/>
          <w:szCs w:val="24"/>
        </w:rPr>
        <w:t xml:space="preserve"> in </w:t>
      </w:r>
      <w:r w:rsidR="00C87047" w:rsidRPr="00080E32">
        <w:rPr>
          <w:rFonts w:ascii="Times New Roman" w:hAnsi="Times New Roman" w:cs="Times New Roman"/>
          <w:i/>
          <w:iCs/>
          <w:sz w:val="24"/>
          <w:szCs w:val="24"/>
        </w:rPr>
        <w:t>Lewin on Trusts</w:t>
      </w:r>
      <w:r w:rsidR="00C87047" w:rsidRPr="00080E32">
        <w:rPr>
          <w:rFonts w:ascii="Times New Roman" w:hAnsi="Times New Roman" w:cs="Times New Roman"/>
          <w:sz w:val="24"/>
          <w:szCs w:val="24"/>
        </w:rPr>
        <w:t>, 20</w:t>
      </w:r>
      <w:r w:rsidR="00C87047" w:rsidRPr="00080E32">
        <w:rPr>
          <w:rFonts w:ascii="Times New Roman" w:hAnsi="Times New Roman" w:cs="Times New Roman"/>
          <w:sz w:val="24"/>
          <w:szCs w:val="24"/>
          <w:vertAlign w:val="superscript"/>
        </w:rPr>
        <w:t>th</w:t>
      </w:r>
      <w:r w:rsidR="00C87047" w:rsidRPr="00080E32">
        <w:rPr>
          <w:rFonts w:ascii="Times New Roman" w:hAnsi="Times New Roman" w:cs="Times New Roman"/>
          <w:sz w:val="24"/>
          <w:szCs w:val="24"/>
        </w:rPr>
        <w:t xml:space="preserve"> ed</w:t>
      </w:r>
      <w:r w:rsidR="005D59A0" w:rsidRPr="00080E32">
        <w:rPr>
          <w:rFonts w:ascii="Times New Roman" w:hAnsi="Times New Roman" w:cs="Times New Roman"/>
          <w:sz w:val="24"/>
          <w:szCs w:val="24"/>
        </w:rPr>
        <w:t>., the learned editors state at paragraph</w:t>
      </w:r>
      <w:r w:rsidR="00832F46" w:rsidRPr="00080E32">
        <w:rPr>
          <w:rFonts w:ascii="Times New Roman" w:hAnsi="Times New Roman" w:cs="Times New Roman"/>
          <w:sz w:val="24"/>
          <w:szCs w:val="24"/>
        </w:rPr>
        <w:t xml:space="preserve"> 21-021</w:t>
      </w:r>
      <w:r w:rsidR="00080E32">
        <w:rPr>
          <w:rFonts w:ascii="Times New Roman" w:hAnsi="Times New Roman" w:cs="Times New Roman"/>
          <w:sz w:val="24"/>
          <w:szCs w:val="24"/>
        </w:rPr>
        <w:t xml:space="preserve"> </w:t>
      </w:r>
      <w:r w:rsidR="00832F46" w:rsidRPr="00080E32">
        <w:rPr>
          <w:rFonts w:ascii="Times New Roman" w:hAnsi="Times New Roman" w:cs="Times New Roman"/>
          <w:sz w:val="24"/>
          <w:szCs w:val="24"/>
        </w:rPr>
        <w:t>that</w:t>
      </w:r>
      <w:r w:rsidR="005F362F" w:rsidRPr="00080E32">
        <w:rPr>
          <w:rFonts w:ascii="Times New Roman" w:hAnsi="Times New Roman" w:cs="Times New Roman"/>
          <w:sz w:val="24"/>
          <w:szCs w:val="24"/>
        </w:rPr>
        <w:t>:</w:t>
      </w:r>
    </w:p>
    <w:p w14:paraId="226C8C93" w14:textId="58636B89" w:rsidR="005F362F" w:rsidRPr="009424A0" w:rsidRDefault="008C4525" w:rsidP="002C6E40">
      <w:pPr>
        <w:tabs>
          <w:tab w:val="left" w:pos="6696"/>
        </w:tabs>
        <w:spacing w:before="120" w:line="276" w:lineRule="auto"/>
        <w:ind w:left="720"/>
        <w:rPr>
          <w:rFonts w:ascii="Times New Roman" w:hAnsi="Times New Roman" w:cs="Times New Roman"/>
          <w:sz w:val="24"/>
          <w:szCs w:val="24"/>
        </w:rPr>
      </w:pPr>
      <w:r w:rsidRPr="005E6158">
        <w:rPr>
          <w:rFonts w:ascii="Times New Roman" w:hAnsi="Times New Roman" w:cs="Times New Roman"/>
          <w:i/>
          <w:iCs/>
          <w:sz w:val="24"/>
          <w:szCs w:val="24"/>
        </w:rPr>
        <w:t>There was a widely held view, supported by earlier editions of this work, that a beneﬁciary, if he established that he had an equitable interest in the trust property, had a right of inspection of documents owned or held by trustees because he had a proprietary right in them, and they were in that sense his own</w:t>
      </w:r>
      <w:r w:rsidR="00615934">
        <w:rPr>
          <w:rFonts w:ascii="Times New Roman" w:hAnsi="Times New Roman" w:cs="Times New Roman"/>
          <w:sz w:val="24"/>
          <w:szCs w:val="24"/>
        </w:rPr>
        <w:t xml:space="preserve"> (citing </w:t>
      </w:r>
      <w:r w:rsidR="004932F1" w:rsidRPr="005E6158">
        <w:rPr>
          <w:rFonts w:ascii="Times New Roman" w:hAnsi="Times New Roman" w:cs="Times New Roman"/>
          <w:i/>
          <w:iCs/>
          <w:sz w:val="24"/>
          <w:szCs w:val="24"/>
        </w:rPr>
        <w:t>O’Rourke v Darbishire</w:t>
      </w:r>
      <w:r w:rsidR="004932F1" w:rsidRPr="004932F1">
        <w:rPr>
          <w:rFonts w:ascii="Times New Roman" w:hAnsi="Times New Roman" w:cs="Times New Roman"/>
          <w:sz w:val="24"/>
          <w:szCs w:val="24"/>
        </w:rPr>
        <w:t xml:space="preserve"> [1920] AC 581 at 626, HL, per Lord Wrenbury</w:t>
      </w:r>
      <w:r w:rsidR="004932F1">
        <w:rPr>
          <w:rFonts w:ascii="Times New Roman" w:hAnsi="Times New Roman" w:cs="Times New Roman"/>
          <w:sz w:val="24"/>
          <w:szCs w:val="24"/>
        </w:rPr>
        <w:t>.</w:t>
      </w:r>
    </w:p>
    <w:p w14:paraId="73724982" w14:textId="77777777" w:rsidR="00792F1E" w:rsidRDefault="00792F1E" w:rsidP="0093190D">
      <w:pPr>
        <w:tabs>
          <w:tab w:val="left" w:pos="6696"/>
        </w:tabs>
        <w:spacing w:before="120" w:line="360" w:lineRule="auto"/>
        <w:rPr>
          <w:rFonts w:ascii="Times New Roman" w:hAnsi="Times New Roman" w:cs="Times New Roman"/>
          <w:sz w:val="24"/>
          <w:szCs w:val="24"/>
        </w:rPr>
      </w:pPr>
    </w:p>
    <w:p w14:paraId="2D4E5E6B" w14:textId="134F9753" w:rsidR="007D6908" w:rsidRPr="00080E32" w:rsidRDefault="008452FA" w:rsidP="00FF2CBE">
      <w:pPr>
        <w:pStyle w:val="ListParagraph"/>
        <w:numPr>
          <w:ilvl w:val="0"/>
          <w:numId w:val="13"/>
        </w:numPr>
        <w:tabs>
          <w:tab w:val="left" w:pos="450"/>
        </w:tabs>
        <w:spacing w:before="120" w:line="360" w:lineRule="auto"/>
        <w:ind w:left="450" w:hanging="450"/>
        <w:jc w:val="both"/>
        <w:rPr>
          <w:rFonts w:ascii="Times New Roman" w:hAnsi="Times New Roman" w:cs="Times New Roman"/>
          <w:sz w:val="24"/>
          <w:szCs w:val="24"/>
        </w:rPr>
      </w:pPr>
      <w:r w:rsidRPr="00080E32">
        <w:rPr>
          <w:rFonts w:ascii="Times New Roman" w:hAnsi="Times New Roman" w:cs="Times New Roman"/>
          <w:sz w:val="24"/>
          <w:szCs w:val="24"/>
        </w:rPr>
        <w:t>Again,</w:t>
      </w:r>
      <w:r w:rsidR="00072EC4" w:rsidRPr="00080E32">
        <w:rPr>
          <w:rFonts w:ascii="Times New Roman" w:hAnsi="Times New Roman" w:cs="Times New Roman"/>
          <w:sz w:val="24"/>
          <w:szCs w:val="24"/>
        </w:rPr>
        <w:t xml:space="preserve"> it appears to be common ground</w:t>
      </w:r>
      <w:r w:rsidR="0097786D" w:rsidRPr="00080E32">
        <w:rPr>
          <w:rFonts w:ascii="Times New Roman" w:hAnsi="Times New Roman" w:cs="Times New Roman"/>
          <w:sz w:val="24"/>
          <w:szCs w:val="24"/>
        </w:rPr>
        <w:t xml:space="preserve"> that </w:t>
      </w:r>
      <w:r w:rsidR="001D6AB9" w:rsidRPr="00080E32">
        <w:rPr>
          <w:rFonts w:ascii="Times New Roman" w:hAnsi="Times New Roman" w:cs="Times New Roman"/>
          <w:sz w:val="24"/>
          <w:szCs w:val="24"/>
        </w:rPr>
        <w:t>t</w:t>
      </w:r>
      <w:r w:rsidR="007D6908" w:rsidRPr="00080E32">
        <w:rPr>
          <w:rFonts w:ascii="Times New Roman" w:hAnsi="Times New Roman" w:cs="Times New Roman"/>
          <w:sz w:val="24"/>
          <w:szCs w:val="24"/>
        </w:rPr>
        <w:t xml:space="preserve">he trust principles were directly carried across to the company–shareholder relationship without regard for a company’s separate legal personality. In </w:t>
      </w:r>
      <w:r w:rsidR="007D6908" w:rsidRPr="00080E32">
        <w:rPr>
          <w:rFonts w:ascii="Times New Roman" w:hAnsi="Times New Roman" w:cs="Times New Roman"/>
          <w:i/>
          <w:iCs/>
          <w:sz w:val="24"/>
          <w:szCs w:val="24"/>
        </w:rPr>
        <w:t>Mayor and Corporation of Bristol v Cox</w:t>
      </w:r>
      <w:r w:rsidR="007D6908" w:rsidRPr="00080E32">
        <w:rPr>
          <w:rFonts w:ascii="Times New Roman" w:hAnsi="Times New Roman" w:cs="Times New Roman"/>
          <w:sz w:val="24"/>
          <w:szCs w:val="24"/>
        </w:rPr>
        <w:t xml:space="preserve"> (1884) 26 Ch D 678, which is </w:t>
      </w:r>
      <w:r w:rsidR="00500926" w:rsidRPr="00080E32">
        <w:rPr>
          <w:rFonts w:ascii="Times New Roman" w:hAnsi="Times New Roman" w:cs="Times New Roman"/>
          <w:sz w:val="24"/>
          <w:szCs w:val="24"/>
        </w:rPr>
        <w:t>one of the earliest cases</w:t>
      </w:r>
      <w:r w:rsidR="007D6908" w:rsidRPr="00080E32">
        <w:rPr>
          <w:rFonts w:ascii="Times New Roman" w:hAnsi="Times New Roman" w:cs="Times New Roman"/>
          <w:sz w:val="24"/>
          <w:szCs w:val="24"/>
        </w:rPr>
        <w:t xml:space="preserve"> of the English </w:t>
      </w:r>
      <w:r w:rsidR="00500926" w:rsidRPr="00080E32">
        <w:rPr>
          <w:rFonts w:ascii="Times New Roman" w:hAnsi="Times New Roman" w:cs="Times New Roman"/>
          <w:sz w:val="24"/>
          <w:szCs w:val="24"/>
        </w:rPr>
        <w:t>r</w:t>
      </w:r>
      <w:r w:rsidR="007D6908" w:rsidRPr="00080E32">
        <w:rPr>
          <w:rFonts w:ascii="Times New Roman" w:hAnsi="Times New Roman" w:cs="Times New Roman"/>
          <w:sz w:val="24"/>
          <w:szCs w:val="24"/>
        </w:rPr>
        <w:t xml:space="preserve">ule in a company–shareholder context, Pearson J </w:t>
      </w:r>
      <w:r w:rsidR="00500926" w:rsidRPr="00080E32">
        <w:rPr>
          <w:rFonts w:ascii="Times New Roman" w:hAnsi="Times New Roman" w:cs="Times New Roman"/>
          <w:sz w:val="24"/>
          <w:szCs w:val="24"/>
        </w:rPr>
        <w:t>held</w:t>
      </w:r>
      <w:r w:rsidR="007D6908" w:rsidRPr="00080E32">
        <w:rPr>
          <w:rFonts w:ascii="Times New Roman" w:hAnsi="Times New Roman" w:cs="Times New Roman"/>
          <w:sz w:val="24"/>
          <w:szCs w:val="24"/>
        </w:rPr>
        <w:t xml:space="preserve">: </w:t>
      </w:r>
    </w:p>
    <w:p w14:paraId="3D50D2BC" w14:textId="08EBAFFB" w:rsidR="007D6908" w:rsidRPr="00C63BC7" w:rsidRDefault="007D6908" w:rsidP="00387468">
      <w:pPr>
        <w:tabs>
          <w:tab w:val="left" w:pos="6696"/>
        </w:tabs>
        <w:spacing w:before="120" w:line="276" w:lineRule="auto"/>
        <w:ind w:left="720"/>
        <w:rPr>
          <w:rFonts w:ascii="Times New Roman" w:hAnsi="Times New Roman" w:cs="Times New Roman"/>
          <w:i/>
          <w:iCs/>
          <w:sz w:val="24"/>
          <w:szCs w:val="24"/>
        </w:rPr>
      </w:pPr>
      <w:r w:rsidRPr="00C63BC7">
        <w:rPr>
          <w:rFonts w:ascii="Times New Roman" w:hAnsi="Times New Roman" w:cs="Times New Roman"/>
          <w:i/>
          <w:iCs/>
          <w:sz w:val="24"/>
          <w:szCs w:val="24"/>
        </w:rPr>
        <w:t xml:space="preserve">“He says … he is also a ratepayer of the City of Bristol, and being a ratepayer he has contributed towards paying for [the privileged documents], and having done that, the case comes within the authorities of those cases where trustees have taken counsel’s opinion at the expense of the trust estate and the cestuis que trust are entitled to see it. He says that the corporation are trustees for Mr Cox, that they have got these [privileged documents] practically at the expense of Mr Cox, and Mr Cox is therefore entitled to see them. </w:t>
      </w:r>
    </w:p>
    <w:p w14:paraId="20B3E8C3" w14:textId="1675CFE6" w:rsidR="00FA70EB" w:rsidRDefault="007D6908" w:rsidP="00387468">
      <w:pPr>
        <w:tabs>
          <w:tab w:val="left" w:pos="6696"/>
        </w:tabs>
        <w:spacing w:before="120" w:line="276" w:lineRule="auto"/>
        <w:ind w:left="1440"/>
        <w:rPr>
          <w:rFonts w:ascii="Times New Roman" w:hAnsi="Times New Roman" w:cs="Times New Roman"/>
          <w:i/>
          <w:iCs/>
          <w:sz w:val="24"/>
          <w:szCs w:val="24"/>
        </w:rPr>
      </w:pPr>
      <w:r w:rsidRPr="00C63BC7">
        <w:rPr>
          <w:rFonts w:ascii="Times New Roman" w:hAnsi="Times New Roman" w:cs="Times New Roman"/>
          <w:i/>
          <w:iCs/>
          <w:sz w:val="24"/>
          <w:szCs w:val="24"/>
        </w:rPr>
        <w:t>I think that if this was an action by Mr Cox as a ratepayer against the corporation of the city of Bristol with regards to some matter or other which related to the raising of the rates, or to the expenditure of the rates, it may be quite possible, and it is very probable, that Mr Cox would have a right to see them, but this is an action by the mayor, alderman and burgesses of the city of Bristol, not as against Mr Cox in any way whatever as a ratepayer, but as a corporation really defending the interests of the ratepayers themselves against the Defendant, who they say is injuring those interests. That is a totally different case altogether …”.</w:t>
      </w:r>
    </w:p>
    <w:p w14:paraId="2C378917" w14:textId="77777777" w:rsidR="00A047A3" w:rsidRDefault="00A047A3" w:rsidP="00C63BC7">
      <w:pPr>
        <w:tabs>
          <w:tab w:val="left" w:pos="6696"/>
        </w:tabs>
        <w:spacing w:before="120" w:line="360" w:lineRule="auto"/>
        <w:ind w:left="720"/>
        <w:rPr>
          <w:rFonts w:ascii="Times New Roman" w:hAnsi="Times New Roman" w:cs="Times New Roman"/>
          <w:i/>
          <w:iCs/>
          <w:sz w:val="24"/>
          <w:szCs w:val="24"/>
        </w:rPr>
      </w:pPr>
    </w:p>
    <w:p w14:paraId="4A0D8C19" w14:textId="0B72A90F" w:rsidR="004F603B" w:rsidRPr="00080E32" w:rsidRDefault="00240B8E" w:rsidP="00FF2CBE">
      <w:pPr>
        <w:pStyle w:val="ListParagraph"/>
        <w:numPr>
          <w:ilvl w:val="0"/>
          <w:numId w:val="13"/>
        </w:numPr>
        <w:tabs>
          <w:tab w:val="left" w:pos="450"/>
        </w:tabs>
        <w:spacing w:before="120" w:line="360" w:lineRule="auto"/>
        <w:ind w:left="450" w:hanging="450"/>
        <w:jc w:val="both"/>
        <w:rPr>
          <w:rFonts w:ascii="Times New Roman" w:hAnsi="Times New Roman" w:cs="Times New Roman"/>
          <w:sz w:val="24"/>
          <w:szCs w:val="24"/>
        </w:rPr>
      </w:pPr>
      <w:r w:rsidRPr="00080E32">
        <w:rPr>
          <w:rFonts w:ascii="Times New Roman" w:hAnsi="Times New Roman" w:cs="Times New Roman"/>
          <w:sz w:val="24"/>
          <w:szCs w:val="24"/>
        </w:rPr>
        <w:t>The statement of</w:t>
      </w:r>
      <w:r w:rsidR="009308F2" w:rsidRPr="00080E32">
        <w:rPr>
          <w:rFonts w:ascii="Times New Roman" w:hAnsi="Times New Roman" w:cs="Times New Roman"/>
          <w:sz w:val="24"/>
          <w:szCs w:val="24"/>
        </w:rPr>
        <w:t xml:space="preserve"> Pearson J in </w:t>
      </w:r>
      <w:r w:rsidR="009308F2" w:rsidRPr="00080E32">
        <w:rPr>
          <w:rFonts w:ascii="Times New Roman" w:hAnsi="Times New Roman" w:cs="Times New Roman"/>
          <w:i/>
          <w:iCs/>
          <w:sz w:val="24"/>
          <w:szCs w:val="24"/>
        </w:rPr>
        <w:t>Corporation of Bristol</w:t>
      </w:r>
      <w:r w:rsidR="009308F2" w:rsidRPr="00080E32">
        <w:rPr>
          <w:rFonts w:ascii="Times New Roman" w:hAnsi="Times New Roman" w:cs="Times New Roman"/>
          <w:sz w:val="24"/>
          <w:szCs w:val="24"/>
        </w:rPr>
        <w:t xml:space="preserve"> was applied</w:t>
      </w:r>
      <w:r w:rsidR="009416E8" w:rsidRPr="00080E32">
        <w:rPr>
          <w:rFonts w:ascii="Times New Roman" w:hAnsi="Times New Roman" w:cs="Times New Roman"/>
          <w:sz w:val="24"/>
          <w:szCs w:val="24"/>
        </w:rPr>
        <w:t xml:space="preserve"> as “</w:t>
      </w:r>
      <w:r w:rsidR="009416E8" w:rsidRPr="00080E32">
        <w:rPr>
          <w:rFonts w:ascii="Times New Roman" w:hAnsi="Times New Roman" w:cs="Times New Roman"/>
          <w:i/>
          <w:iCs/>
          <w:sz w:val="24"/>
          <w:szCs w:val="24"/>
        </w:rPr>
        <w:t>the general principle</w:t>
      </w:r>
      <w:r w:rsidR="009416E8" w:rsidRPr="00080E32">
        <w:rPr>
          <w:rFonts w:ascii="Times New Roman" w:hAnsi="Times New Roman" w:cs="Times New Roman"/>
          <w:sz w:val="24"/>
          <w:szCs w:val="24"/>
        </w:rPr>
        <w:t xml:space="preserve">” in the shareholder and company context in </w:t>
      </w:r>
      <w:r w:rsidR="009416E8" w:rsidRPr="00080E32">
        <w:rPr>
          <w:rFonts w:ascii="Times New Roman" w:hAnsi="Times New Roman" w:cs="Times New Roman"/>
          <w:i/>
          <w:iCs/>
          <w:sz w:val="24"/>
          <w:szCs w:val="24"/>
        </w:rPr>
        <w:t>Gourad v Edison Telephone</w:t>
      </w:r>
      <w:r w:rsidR="00C81F0C" w:rsidRPr="00080E32">
        <w:rPr>
          <w:rFonts w:ascii="Times New Roman" w:hAnsi="Times New Roman" w:cs="Times New Roman"/>
          <w:i/>
          <w:iCs/>
          <w:sz w:val="24"/>
          <w:szCs w:val="24"/>
        </w:rPr>
        <w:t xml:space="preserve"> Co</w:t>
      </w:r>
      <w:r w:rsidR="00C81F0C" w:rsidRPr="00080E32">
        <w:rPr>
          <w:rFonts w:ascii="Times New Roman" w:hAnsi="Times New Roman" w:cs="Times New Roman"/>
          <w:sz w:val="24"/>
          <w:szCs w:val="24"/>
        </w:rPr>
        <w:t xml:space="preserve"> (1886) 57 LJ Ch 499</w:t>
      </w:r>
      <w:r w:rsidR="003B6997" w:rsidRPr="00080E32">
        <w:rPr>
          <w:rFonts w:ascii="Times New Roman" w:hAnsi="Times New Roman" w:cs="Times New Roman"/>
          <w:sz w:val="24"/>
          <w:szCs w:val="24"/>
        </w:rPr>
        <w:t xml:space="preserve">, </w:t>
      </w:r>
      <w:r w:rsidR="005B631D" w:rsidRPr="00080E32">
        <w:rPr>
          <w:rFonts w:ascii="Times New Roman" w:hAnsi="Times New Roman" w:cs="Times New Roman"/>
          <w:sz w:val="24"/>
          <w:szCs w:val="24"/>
        </w:rPr>
        <w:t>a common law derivative ac</w:t>
      </w:r>
      <w:r w:rsidR="003B1D37" w:rsidRPr="00080E32">
        <w:rPr>
          <w:rFonts w:ascii="Times New Roman" w:hAnsi="Times New Roman" w:cs="Times New Roman"/>
          <w:sz w:val="24"/>
          <w:szCs w:val="24"/>
        </w:rPr>
        <w:t>tion</w:t>
      </w:r>
      <w:r w:rsidR="005B631D" w:rsidRPr="00080E32">
        <w:rPr>
          <w:rFonts w:ascii="Times New Roman" w:hAnsi="Times New Roman" w:cs="Times New Roman"/>
          <w:sz w:val="24"/>
          <w:szCs w:val="24"/>
        </w:rPr>
        <w:t xml:space="preserve"> by the plaintiff shareholder personally “</w:t>
      </w:r>
      <w:r w:rsidR="005B631D" w:rsidRPr="00080E32">
        <w:rPr>
          <w:rFonts w:ascii="Times New Roman" w:hAnsi="Times New Roman" w:cs="Times New Roman"/>
          <w:i/>
          <w:iCs/>
          <w:sz w:val="24"/>
          <w:szCs w:val="24"/>
        </w:rPr>
        <w:t>on behalf of himself and all other shareholders</w:t>
      </w:r>
      <w:r w:rsidR="005B631D" w:rsidRPr="00080E32">
        <w:rPr>
          <w:rFonts w:ascii="Times New Roman" w:hAnsi="Times New Roman" w:cs="Times New Roman"/>
          <w:sz w:val="24"/>
          <w:szCs w:val="24"/>
        </w:rPr>
        <w:t>” for an injunction to restrain the company and its counterparty from acting upon an agreement said to have been made in fraud of the rights of shareholders.</w:t>
      </w:r>
      <w:r w:rsidR="003B1D37" w:rsidRPr="00080E32">
        <w:rPr>
          <w:rFonts w:ascii="Times New Roman" w:hAnsi="Times New Roman" w:cs="Times New Roman"/>
          <w:sz w:val="24"/>
          <w:szCs w:val="24"/>
        </w:rPr>
        <w:t xml:space="preserve"> Chitty J</w:t>
      </w:r>
      <w:r w:rsidR="00A308DA" w:rsidRPr="00080E32">
        <w:rPr>
          <w:rFonts w:ascii="Times New Roman" w:hAnsi="Times New Roman" w:cs="Times New Roman"/>
          <w:sz w:val="24"/>
          <w:szCs w:val="24"/>
        </w:rPr>
        <w:t xml:space="preserve"> held at page 500:</w:t>
      </w:r>
    </w:p>
    <w:p w14:paraId="6BBDB538" w14:textId="2595D188" w:rsidR="00A308DA" w:rsidRDefault="00203DD0" w:rsidP="00434C62">
      <w:pPr>
        <w:tabs>
          <w:tab w:val="left" w:pos="6696"/>
        </w:tabs>
        <w:spacing w:before="120" w:line="276" w:lineRule="auto"/>
        <w:ind w:left="720"/>
        <w:rPr>
          <w:rFonts w:ascii="Times New Roman" w:hAnsi="Times New Roman" w:cs="Times New Roman"/>
          <w:i/>
          <w:iCs/>
          <w:sz w:val="24"/>
          <w:szCs w:val="24"/>
        </w:rPr>
      </w:pPr>
      <w:r w:rsidRPr="00C07D04">
        <w:rPr>
          <w:rFonts w:ascii="Times New Roman" w:hAnsi="Times New Roman" w:cs="Times New Roman"/>
          <w:i/>
          <w:iCs/>
          <w:sz w:val="24"/>
          <w:szCs w:val="24"/>
        </w:rPr>
        <w:t xml:space="preserve">Mr Justice </w:t>
      </w:r>
      <w:r w:rsidR="00C740E9" w:rsidRPr="00C07D04">
        <w:rPr>
          <w:rFonts w:ascii="Times New Roman" w:hAnsi="Times New Roman" w:cs="Times New Roman"/>
          <w:i/>
          <w:iCs/>
          <w:sz w:val="24"/>
          <w:szCs w:val="24"/>
        </w:rPr>
        <w:t xml:space="preserve">Pearson, in </w:t>
      </w:r>
      <w:r w:rsidR="00C740E9" w:rsidRPr="00C07D04">
        <w:rPr>
          <w:rFonts w:ascii="Times New Roman" w:hAnsi="Times New Roman" w:cs="Times New Roman"/>
          <w:i/>
          <w:iCs/>
          <w:sz w:val="24"/>
          <w:szCs w:val="24"/>
          <w:u w:val="single"/>
        </w:rPr>
        <w:t>The Mayor of Bristol v Cox</w:t>
      </w:r>
      <w:r w:rsidR="00C740E9" w:rsidRPr="00C07D04">
        <w:rPr>
          <w:rFonts w:ascii="Times New Roman" w:hAnsi="Times New Roman" w:cs="Times New Roman"/>
          <w:i/>
          <w:iCs/>
          <w:sz w:val="24"/>
          <w:szCs w:val="24"/>
        </w:rPr>
        <w:t>, has, however, intimated rather,</w:t>
      </w:r>
      <w:r w:rsidR="00F87FF6" w:rsidRPr="00C07D04">
        <w:rPr>
          <w:rFonts w:ascii="Times New Roman" w:hAnsi="Times New Roman" w:cs="Times New Roman"/>
          <w:i/>
          <w:iCs/>
          <w:sz w:val="24"/>
          <w:szCs w:val="24"/>
        </w:rPr>
        <w:t xml:space="preserve"> perhaps, than laid down the rule which governs questions like the present. He says in his judgement, “I think that if this action was</w:t>
      </w:r>
      <w:r w:rsidR="00C12B72" w:rsidRPr="00C07D04">
        <w:rPr>
          <w:rFonts w:ascii="Times New Roman" w:hAnsi="Times New Roman" w:cs="Times New Roman"/>
          <w:i/>
          <w:iCs/>
          <w:sz w:val="24"/>
          <w:szCs w:val="24"/>
        </w:rPr>
        <w:t xml:space="preserve"> an action by Mr Cox, as a ratepayer, against the corporation of the city of Bristol with regard to some matter or other which related to the raising of the rates</w:t>
      </w:r>
      <w:r w:rsidR="001E24AA" w:rsidRPr="00C07D04">
        <w:rPr>
          <w:rFonts w:ascii="Times New Roman" w:hAnsi="Times New Roman" w:cs="Times New Roman"/>
          <w:i/>
          <w:iCs/>
          <w:sz w:val="24"/>
          <w:szCs w:val="24"/>
        </w:rPr>
        <w:t xml:space="preserve"> or to the expenditure of the rates, it might be quite possible, and it is very probable, that Mr Cox would have a right to see the debentures; any funds that statement, as understanding, on the general principle that obtains in partnership actions</w:t>
      </w:r>
      <w:r w:rsidR="00013454" w:rsidRPr="00C07D04">
        <w:rPr>
          <w:rFonts w:ascii="Times New Roman" w:hAnsi="Times New Roman" w:cs="Times New Roman"/>
          <w:i/>
          <w:iCs/>
          <w:sz w:val="24"/>
          <w:szCs w:val="24"/>
        </w:rPr>
        <w:t>, and also in actions by a cestui que trust against the trustee</w:t>
      </w:r>
      <w:r w:rsidR="00C12F7A" w:rsidRPr="00C07D04">
        <w:rPr>
          <w:rFonts w:ascii="Times New Roman" w:hAnsi="Times New Roman" w:cs="Times New Roman"/>
          <w:i/>
          <w:iCs/>
          <w:sz w:val="24"/>
          <w:szCs w:val="24"/>
        </w:rPr>
        <w:t xml:space="preserve"> - namely, that a party cannot resist production of documents which have been obtained by means of payment from the monies belonging to the party applying for the production. I think that is the general principle, and one which, to my mind,</w:t>
      </w:r>
      <w:r w:rsidR="00D14515" w:rsidRPr="00C07D04">
        <w:rPr>
          <w:rFonts w:ascii="Times New Roman" w:hAnsi="Times New Roman" w:cs="Times New Roman"/>
          <w:i/>
          <w:iCs/>
          <w:sz w:val="24"/>
          <w:szCs w:val="24"/>
        </w:rPr>
        <w:t xml:space="preserve"> applies as between a shareholder and the directors who manage his property, when the documents are paid for out of the property. I hold that the principal applies between a shareholder and the managing directors of the company.</w:t>
      </w:r>
    </w:p>
    <w:p w14:paraId="086D69C0" w14:textId="77777777" w:rsidR="00873083" w:rsidRDefault="00873083" w:rsidP="00C07D04">
      <w:pPr>
        <w:tabs>
          <w:tab w:val="left" w:pos="6696"/>
        </w:tabs>
        <w:spacing w:before="120" w:line="360" w:lineRule="auto"/>
        <w:ind w:left="720"/>
        <w:rPr>
          <w:rFonts w:ascii="Times New Roman" w:hAnsi="Times New Roman" w:cs="Times New Roman"/>
          <w:i/>
          <w:iCs/>
          <w:sz w:val="24"/>
          <w:szCs w:val="24"/>
        </w:rPr>
      </w:pPr>
    </w:p>
    <w:p w14:paraId="5BCE1126" w14:textId="34417A45" w:rsidR="00873083" w:rsidRPr="00080E32" w:rsidRDefault="0077405C" w:rsidP="00FF2CBE">
      <w:pPr>
        <w:pStyle w:val="ListParagraph"/>
        <w:numPr>
          <w:ilvl w:val="0"/>
          <w:numId w:val="13"/>
        </w:numPr>
        <w:tabs>
          <w:tab w:val="left" w:pos="450"/>
        </w:tabs>
        <w:spacing w:before="120" w:line="360" w:lineRule="auto"/>
        <w:ind w:left="450" w:hanging="450"/>
        <w:jc w:val="both"/>
        <w:rPr>
          <w:rFonts w:ascii="Times New Roman" w:hAnsi="Times New Roman" w:cs="Times New Roman"/>
          <w:sz w:val="24"/>
          <w:szCs w:val="24"/>
        </w:rPr>
      </w:pPr>
      <w:r w:rsidRPr="00080E32">
        <w:rPr>
          <w:rFonts w:ascii="Times New Roman" w:hAnsi="Times New Roman" w:cs="Times New Roman"/>
          <w:sz w:val="24"/>
          <w:szCs w:val="24"/>
        </w:rPr>
        <w:t xml:space="preserve">In </w:t>
      </w:r>
      <w:r w:rsidRPr="00080E32">
        <w:rPr>
          <w:rFonts w:ascii="Times New Roman" w:hAnsi="Times New Roman" w:cs="Times New Roman"/>
          <w:i/>
          <w:iCs/>
          <w:sz w:val="24"/>
          <w:szCs w:val="24"/>
        </w:rPr>
        <w:t>Woodhouse</w:t>
      </w:r>
      <w:r w:rsidR="00A157E9" w:rsidRPr="00080E32">
        <w:rPr>
          <w:rFonts w:ascii="Times New Roman" w:hAnsi="Times New Roman" w:cs="Times New Roman"/>
          <w:i/>
          <w:iCs/>
          <w:sz w:val="24"/>
          <w:szCs w:val="24"/>
        </w:rPr>
        <w:t xml:space="preserve"> v Woodhouse</w:t>
      </w:r>
      <w:r w:rsidR="00A157E9" w:rsidRPr="00080E32">
        <w:rPr>
          <w:rFonts w:ascii="Times New Roman" w:hAnsi="Times New Roman" w:cs="Times New Roman"/>
          <w:sz w:val="24"/>
          <w:szCs w:val="24"/>
        </w:rPr>
        <w:t xml:space="preserve"> (1914) 30 TLR 559</w:t>
      </w:r>
      <w:r w:rsidR="00ED1319" w:rsidRPr="00080E32">
        <w:rPr>
          <w:rFonts w:ascii="Times New Roman" w:hAnsi="Times New Roman" w:cs="Times New Roman"/>
          <w:sz w:val="24"/>
          <w:szCs w:val="24"/>
        </w:rPr>
        <w:t xml:space="preserve">, </w:t>
      </w:r>
      <w:r w:rsidR="007953B2" w:rsidRPr="00080E32">
        <w:rPr>
          <w:rFonts w:ascii="Times New Roman" w:hAnsi="Times New Roman" w:cs="Times New Roman"/>
          <w:sz w:val="24"/>
          <w:szCs w:val="24"/>
        </w:rPr>
        <w:t>the Court of Appeal (comprising Phillimore LJ and Lush J)</w:t>
      </w:r>
      <w:r w:rsidR="007D3AD8" w:rsidRPr="00080E32">
        <w:rPr>
          <w:rFonts w:ascii="Times New Roman" w:hAnsi="Times New Roman" w:cs="Times New Roman"/>
          <w:sz w:val="24"/>
          <w:szCs w:val="24"/>
        </w:rPr>
        <w:t xml:space="preserve"> considered that the rule was </w:t>
      </w:r>
      <w:r w:rsidR="005A25C6" w:rsidRPr="00080E32">
        <w:rPr>
          <w:rFonts w:ascii="Times New Roman" w:hAnsi="Times New Roman" w:cs="Times New Roman"/>
          <w:sz w:val="24"/>
          <w:szCs w:val="24"/>
        </w:rPr>
        <w:t>founded upon</w:t>
      </w:r>
      <w:r w:rsidR="007D3AD8" w:rsidRPr="00080E32">
        <w:rPr>
          <w:rFonts w:ascii="Times New Roman" w:hAnsi="Times New Roman" w:cs="Times New Roman"/>
          <w:sz w:val="24"/>
          <w:szCs w:val="24"/>
        </w:rPr>
        <w:t xml:space="preserve"> the common interest in property</w:t>
      </w:r>
      <w:r w:rsidR="00FA5114" w:rsidRPr="00080E32">
        <w:rPr>
          <w:rFonts w:ascii="Times New Roman" w:hAnsi="Times New Roman" w:cs="Times New Roman"/>
          <w:sz w:val="24"/>
          <w:szCs w:val="24"/>
        </w:rPr>
        <w:t xml:space="preserve"> expended on obtaining legal advice</w:t>
      </w:r>
      <w:r w:rsidR="005A25C6" w:rsidRPr="00080E32">
        <w:rPr>
          <w:rFonts w:ascii="Times New Roman" w:hAnsi="Times New Roman" w:cs="Times New Roman"/>
          <w:sz w:val="24"/>
          <w:szCs w:val="24"/>
        </w:rPr>
        <w:t xml:space="preserve"> in the context of a </w:t>
      </w:r>
      <w:r w:rsidR="00B74DFD" w:rsidRPr="00080E32">
        <w:rPr>
          <w:rFonts w:ascii="Times New Roman" w:hAnsi="Times New Roman" w:cs="Times New Roman"/>
          <w:sz w:val="24"/>
          <w:szCs w:val="24"/>
        </w:rPr>
        <w:t>shareholder</w:t>
      </w:r>
      <w:r w:rsidR="005A25C6" w:rsidRPr="00080E32">
        <w:rPr>
          <w:rFonts w:ascii="Times New Roman" w:hAnsi="Times New Roman" w:cs="Times New Roman"/>
          <w:sz w:val="24"/>
          <w:szCs w:val="24"/>
        </w:rPr>
        <w:t xml:space="preserve"> </w:t>
      </w:r>
      <w:r w:rsidR="00B74DFD" w:rsidRPr="00080E32">
        <w:rPr>
          <w:rFonts w:ascii="Times New Roman" w:hAnsi="Times New Roman" w:cs="Times New Roman"/>
          <w:sz w:val="24"/>
          <w:szCs w:val="24"/>
        </w:rPr>
        <w:t xml:space="preserve">seeking discovery from a </w:t>
      </w:r>
      <w:r w:rsidR="005A25C6" w:rsidRPr="00080E32">
        <w:rPr>
          <w:rFonts w:ascii="Times New Roman" w:hAnsi="Times New Roman" w:cs="Times New Roman"/>
          <w:sz w:val="24"/>
          <w:szCs w:val="24"/>
        </w:rPr>
        <w:t>company</w:t>
      </w:r>
      <w:r w:rsidR="006379AF" w:rsidRPr="00080E32">
        <w:rPr>
          <w:rFonts w:ascii="Times New Roman" w:hAnsi="Times New Roman" w:cs="Times New Roman"/>
          <w:sz w:val="24"/>
          <w:szCs w:val="24"/>
        </w:rPr>
        <w:t>.</w:t>
      </w:r>
      <w:r w:rsidR="00A614C2" w:rsidRPr="00080E32">
        <w:rPr>
          <w:rFonts w:ascii="Times New Roman" w:hAnsi="Times New Roman" w:cs="Times New Roman"/>
          <w:sz w:val="24"/>
          <w:szCs w:val="24"/>
        </w:rPr>
        <w:t xml:space="preserve"> Phillimore LJ held at 560:</w:t>
      </w:r>
    </w:p>
    <w:p w14:paraId="07C5D75A" w14:textId="77777777" w:rsidR="00B74DFD" w:rsidRDefault="00B74DFD" w:rsidP="00873083">
      <w:pPr>
        <w:tabs>
          <w:tab w:val="left" w:pos="6696"/>
        </w:tabs>
        <w:spacing w:before="120" w:line="360" w:lineRule="auto"/>
        <w:rPr>
          <w:rFonts w:ascii="Times New Roman" w:hAnsi="Times New Roman" w:cs="Times New Roman"/>
          <w:sz w:val="24"/>
          <w:szCs w:val="24"/>
        </w:rPr>
      </w:pPr>
    </w:p>
    <w:p w14:paraId="105C204E" w14:textId="68D73BA1" w:rsidR="007A36DD" w:rsidRDefault="00B74DFD" w:rsidP="00B50876">
      <w:pPr>
        <w:tabs>
          <w:tab w:val="left" w:pos="6696"/>
        </w:tabs>
        <w:spacing w:before="120" w:line="276" w:lineRule="auto"/>
        <w:ind w:left="720"/>
        <w:rPr>
          <w:rFonts w:ascii="Times New Roman" w:hAnsi="Times New Roman" w:cs="Times New Roman"/>
          <w:i/>
          <w:iCs/>
          <w:sz w:val="24"/>
          <w:szCs w:val="24"/>
        </w:rPr>
      </w:pPr>
      <w:r w:rsidRPr="00A614C2">
        <w:rPr>
          <w:rFonts w:ascii="Times New Roman" w:hAnsi="Times New Roman" w:cs="Times New Roman"/>
          <w:i/>
          <w:iCs/>
          <w:sz w:val="24"/>
          <w:szCs w:val="24"/>
        </w:rPr>
        <w:t>The princip</w:t>
      </w:r>
      <w:r w:rsidR="00C45B83" w:rsidRPr="00A614C2">
        <w:rPr>
          <w:rFonts w:ascii="Times New Roman" w:hAnsi="Times New Roman" w:cs="Times New Roman"/>
          <w:i/>
          <w:iCs/>
          <w:sz w:val="24"/>
          <w:szCs w:val="24"/>
        </w:rPr>
        <w:t>le</w:t>
      </w:r>
      <w:r w:rsidRPr="00A614C2">
        <w:rPr>
          <w:rFonts w:ascii="Times New Roman" w:hAnsi="Times New Roman" w:cs="Times New Roman"/>
          <w:i/>
          <w:iCs/>
          <w:sz w:val="24"/>
          <w:szCs w:val="24"/>
        </w:rPr>
        <w:t xml:space="preserve"> was</w:t>
      </w:r>
      <w:r w:rsidR="00C45B83" w:rsidRPr="00A614C2">
        <w:rPr>
          <w:rFonts w:ascii="Times New Roman" w:hAnsi="Times New Roman" w:cs="Times New Roman"/>
          <w:i/>
          <w:iCs/>
          <w:sz w:val="24"/>
          <w:szCs w:val="24"/>
        </w:rPr>
        <w:t xml:space="preserve"> that if people had a common interest in property, an opinion having regard to that property,</w:t>
      </w:r>
      <w:r w:rsidR="002C7B50" w:rsidRPr="00A614C2">
        <w:rPr>
          <w:rFonts w:ascii="Times New Roman" w:hAnsi="Times New Roman" w:cs="Times New Roman"/>
          <w:i/>
          <w:iCs/>
          <w:sz w:val="24"/>
          <w:szCs w:val="24"/>
        </w:rPr>
        <w:t xml:space="preserve"> paid for out of the common fund, i.e., company’s money or trust fund, was the common property of the shareholders,</w:t>
      </w:r>
      <w:r w:rsidR="00077272" w:rsidRPr="00A614C2">
        <w:rPr>
          <w:rFonts w:ascii="Times New Roman" w:hAnsi="Times New Roman" w:cs="Times New Roman"/>
          <w:i/>
          <w:iCs/>
          <w:sz w:val="24"/>
          <w:szCs w:val="24"/>
        </w:rPr>
        <w:t xml:space="preserve"> or cestui que trust.</w:t>
      </w:r>
      <w:r w:rsidR="009C5137" w:rsidRPr="00A614C2">
        <w:rPr>
          <w:rFonts w:ascii="Times New Roman" w:hAnsi="Times New Roman" w:cs="Times New Roman"/>
          <w:i/>
          <w:iCs/>
          <w:sz w:val="24"/>
          <w:szCs w:val="24"/>
        </w:rPr>
        <w:t xml:space="preserve"> But where the parties were sundered by litigation such an opinion obtained by one of them was the privileged</w:t>
      </w:r>
      <w:r w:rsidR="00CD2AD5" w:rsidRPr="00A614C2">
        <w:rPr>
          <w:rFonts w:ascii="Times New Roman" w:hAnsi="Times New Roman" w:cs="Times New Roman"/>
          <w:i/>
          <w:iCs/>
          <w:sz w:val="24"/>
          <w:szCs w:val="24"/>
        </w:rPr>
        <w:t>… Where a company obtain advice in the common interest and paid for it out of the common fund, undoubtedly the shareholder would have</w:t>
      </w:r>
      <w:r w:rsidR="006379AF" w:rsidRPr="00A614C2">
        <w:rPr>
          <w:rFonts w:ascii="Times New Roman" w:hAnsi="Times New Roman" w:cs="Times New Roman"/>
          <w:i/>
          <w:iCs/>
          <w:sz w:val="24"/>
          <w:szCs w:val="24"/>
        </w:rPr>
        <w:t xml:space="preserve"> a right to see it. But that did not apply where the interest of the company and the shareholder were adverse.</w:t>
      </w:r>
    </w:p>
    <w:p w14:paraId="5359F3AE" w14:textId="77777777" w:rsidR="005C5E96" w:rsidRDefault="005C5E96" w:rsidP="007A36DD">
      <w:pPr>
        <w:tabs>
          <w:tab w:val="left" w:pos="6696"/>
        </w:tabs>
        <w:spacing w:before="120" w:line="360" w:lineRule="auto"/>
        <w:ind w:left="720"/>
        <w:rPr>
          <w:rFonts w:ascii="Times New Roman" w:hAnsi="Times New Roman" w:cs="Times New Roman"/>
          <w:i/>
          <w:iCs/>
          <w:sz w:val="24"/>
          <w:szCs w:val="24"/>
        </w:rPr>
      </w:pPr>
    </w:p>
    <w:p w14:paraId="5E3D1485" w14:textId="093668A9" w:rsidR="00EB3851" w:rsidRPr="00080E32" w:rsidRDefault="007A36DD" w:rsidP="00FF2CBE">
      <w:pPr>
        <w:pStyle w:val="ListParagraph"/>
        <w:numPr>
          <w:ilvl w:val="0"/>
          <w:numId w:val="13"/>
        </w:numPr>
        <w:tabs>
          <w:tab w:val="left" w:pos="450"/>
        </w:tabs>
        <w:spacing w:before="120" w:line="360" w:lineRule="auto"/>
        <w:ind w:left="450" w:hanging="450"/>
        <w:jc w:val="both"/>
        <w:rPr>
          <w:rFonts w:ascii="Times New Roman" w:hAnsi="Times New Roman" w:cs="Times New Roman"/>
          <w:sz w:val="24"/>
          <w:szCs w:val="24"/>
        </w:rPr>
      </w:pPr>
      <w:r w:rsidRPr="00080E32">
        <w:rPr>
          <w:rFonts w:ascii="Times New Roman" w:hAnsi="Times New Roman" w:cs="Times New Roman"/>
          <w:sz w:val="24"/>
          <w:szCs w:val="24"/>
        </w:rPr>
        <w:t xml:space="preserve">In </w:t>
      </w:r>
      <w:r w:rsidRPr="00080E32">
        <w:rPr>
          <w:rFonts w:ascii="Times New Roman" w:hAnsi="Times New Roman" w:cs="Times New Roman"/>
          <w:i/>
          <w:iCs/>
          <w:sz w:val="24"/>
          <w:szCs w:val="24"/>
        </w:rPr>
        <w:t>Dennis &amp; Sons v West Norfolk Farmers Manure and Chemical Co-op</w:t>
      </w:r>
      <w:r w:rsidRPr="00080E32">
        <w:rPr>
          <w:rFonts w:ascii="Times New Roman" w:hAnsi="Times New Roman" w:cs="Times New Roman"/>
          <w:sz w:val="24"/>
          <w:szCs w:val="24"/>
        </w:rPr>
        <w:t xml:space="preserve"> [1943] Ch 220, Simonds J referred</w:t>
      </w:r>
      <w:r w:rsidR="00DF35B0" w:rsidRPr="00080E32">
        <w:rPr>
          <w:rFonts w:ascii="Times New Roman" w:hAnsi="Times New Roman" w:cs="Times New Roman"/>
          <w:sz w:val="24"/>
          <w:szCs w:val="24"/>
        </w:rPr>
        <w:t xml:space="preserve"> at page </w:t>
      </w:r>
      <w:r w:rsidR="00374DF0" w:rsidRPr="00080E32">
        <w:rPr>
          <w:rFonts w:ascii="Times New Roman" w:hAnsi="Times New Roman" w:cs="Times New Roman"/>
          <w:sz w:val="24"/>
          <w:szCs w:val="24"/>
        </w:rPr>
        <w:t>222</w:t>
      </w:r>
      <w:r w:rsidRPr="00080E32">
        <w:rPr>
          <w:rFonts w:ascii="Times New Roman" w:hAnsi="Times New Roman" w:cs="Times New Roman"/>
          <w:sz w:val="24"/>
          <w:szCs w:val="24"/>
        </w:rPr>
        <w:t xml:space="preserve"> to the “</w:t>
      </w:r>
      <w:r w:rsidRPr="00080E32">
        <w:rPr>
          <w:rFonts w:ascii="Times New Roman" w:hAnsi="Times New Roman" w:cs="Times New Roman"/>
          <w:i/>
          <w:iCs/>
          <w:sz w:val="24"/>
          <w:szCs w:val="24"/>
        </w:rPr>
        <w:t>general rule</w:t>
      </w:r>
      <w:r w:rsidRPr="00080E32">
        <w:rPr>
          <w:rFonts w:ascii="Times New Roman" w:hAnsi="Times New Roman" w:cs="Times New Roman"/>
          <w:sz w:val="24"/>
          <w:szCs w:val="24"/>
        </w:rPr>
        <w:t>” which applied “</w:t>
      </w:r>
      <w:r w:rsidRPr="00080E32">
        <w:rPr>
          <w:rFonts w:ascii="Times New Roman" w:hAnsi="Times New Roman" w:cs="Times New Roman"/>
          <w:i/>
          <w:iCs/>
          <w:sz w:val="24"/>
          <w:szCs w:val="24"/>
        </w:rPr>
        <w:t>equally as between a company and its shareholders and as between a trustee and his beneficiaries</w:t>
      </w:r>
      <w:r w:rsidRPr="00080E32">
        <w:rPr>
          <w:rFonts w:ascii="Times New Roman" w:hAnsi="Times New Roman" w:cs="Times New Roman"/>
          <w:sz w:val="24"/>
          <w:szCs w:val="24"/>
        </w:rPr>
        <w:t>”</w:t>
      </w:r>
      <w:r w:rsidR="00374DF0" w:rsidRPr="00080E32">
        <w:rPr>
          <w:rFonts w:ascii="Times New Roman" w:hAnsi="Times New Roman" w:cs="Times New Roman"/>
          <w:sz w:val="24"/>
          <w:szCs w:val="24"/>
        </w:rPr>
        <w:t>:</w:t>
      </w:r>
    </w:p>
    <w:p w14:paraId="1AAF2F57" w14:textId="4BC7599D" w:rsidR="00963929" w:rsidRPr="00AA7938" w:rsidRDefault="00963929" w:rsidP="00C31DBF">
      <w:pPr>
        <w:pStyle w:val="NormalWeb"/>
        <w:spacing w:before="0" w:beforeAutospacing="0" w:after="270" w:afterAutospacing="0" w:line="276" w:lineRule="auto"/>
        <w:ind w:left="720"/>
        <w:textAlignment w:val="baseline"/>
        <w:rPr>
          <w:i/>
          <w:iCs/>
          <w:color w:val="333335"/>
        </w:rPr>
      </w:pPr>
      <w:r w:rsidRPr="00AA7938">
        <w:rPr>
          <w:i/>
          <w:iCs/>
          <w:color w:val="333335"/>
        </w:rPr>
        <w:t>The general rule which applies equally as between a company and its shareholders or as between a trustee and his beneficiaries is stated at pp 518, 519 of the Annual Practice:</w:t>
      </w:r>
    </w:p>
    <w:p w14:paraId="4DB7D3FA" w14:textId="39C5CB3B" w:rsidR="00963929" w:rsidRPr="00C31DBF" w:rsidRDefault="00963929" w:rsidP="00C31DBF">
      <w:pPr>
        <w:pStyle w:val="NormalWeb"/>
        <w:spacing w:before="0" w:beforeAutospacing="0" w:after="0" w:afterAutospacing="0" w:line="276" w:lineRule="auto"/>
        <w:ind w:left="2310" w:hanging="150"/>
        <w:textAlignment w:val="baseline"/>
        <w:rPr>
          <w:i/>
          <w:iCs/>
          <w:color w:val="333335"/>
        </w:rPr>
      </w:pPr>
      <w:r w:rsidRPr="00AA7938">
        <w:rPr>
          <w:i/>
          <w:iCs/>
          <w:color w:val="333335"/>
        </w:rPr>
        <w:t>'A </w:t>
      </w:r>
      <w:r w:rsidRPr="00AA7938">
        <w:rPr>
          <w:rStyle w:val="Emphasis"/>
          <w:i w:val="0"/>
          <w:iCs w:val="0"/>
          <w:color w:val="333335"/>
          <w:bdr w:val="none" w:sz="0" w:space="0" w:color="auto" w:frame="1"/>
        </w:rPr>
        <w:t>cestui que trust</w:t>
      </w:r>
      <w:r w:rsidRPr="00AA7938">
        <w:rPr>
          <w:i/>
          <w:iCs/>
          <w:color w:val="333335"/>
        </w:rPr>
        <w:t> … is entitled to see cases and opinions submitted and taken by the trustee for the purpose of the administration of the trust; but where stated and taken by the trustees not for that purpose, but for the purpose of their own defence in litigation against themselves by the </w:t>
      </w:r>
      <w:r w:rsidRPr="00AA7938">
        <w:rPr>
          <w:rStyle w:val="Emphasis"/>
          <w:i w:val="0"/>
          <w:iCs w:val="0"/>
          <w:color w:val="333335"/>
          <w:bdr w:val="none" w:sz="0" w:space="0" w:color="auto" w:frame="1"/>
        </w:rPr>
        <w:t>cestui que trust</w:t>
      </w:r>
      <w:r w:rsidRPr="00AA7938">
        <w:rPr>
          <w:i/>
          <w:iCs/>
          <w:color w:val="333335"/>
        </w:rPr>
        <w:t> they are protected … On the same principle a ratepayer would be entitled to see cases and opinions taken by the corporation on the subject of rates … and so in </w:t>
      </w:r>
      <w:r w:rsidRPr="00AA7938">
        <w:rPr>
          <w:rStyle w:val="Emphasis"/>
          <w:color w:val="333335"/>
          <w:u w:val="single"/>
          <w:bdr w:val="none" w:sz="0" w:space="0" w:color="auto" w:frame="1"/>
        </w:rPr>
        <w:t>Gouraud</w:t>
      </w:r>
      <w:r w:rsidRPr="00AA7938">
        <w:rPr>
          <w:color w:val="333335"/>
          <w:u w:val="single"/>
        </w:rPr>
        <w:t> v.</w:t>
      </w:r>
      <w:r w:rsidRPr="00AA7938">
        <w:rPr>
          <w:rStyle w:val="Emphasis"/>
          <w:color w:val="333335"/>
          <w:u w:val="single"/>
          <w:bdr w:val="none" w:sz="0" w:space="0" w:color="auto" w:frame="1"/>
        </w:rPr>
        <w:t> Edison</w:t>
      </w:r>
      <w:r w:rsidRPr="00AA7938">
        <w:rPr>
          <w:i/>
          <w:iCs/>
          <w:color w:val="333335"/>
        </w:rPr>
        <w:t>, an action by shareholders against the company, the plaintiffs were held entitled to see communications between the company and their solicitors: but similarly a shareholder could not see counsel's opinions taken by the company in respect of the matter in dispute between them …</w:t>
      </w:r>
    </w:p>
    <w:p w14:paraId="4560BD2B" w14:textId="77777777" w:rsidR="00F97F0C" w:rsidRPr="00AA7938" w:rsidRDefault="00F97F0C" w:rsidP="00AA7938">
      <w:pPr>
        <w:pStyle w:val="NormalWeb"/>
        <w:spacing w:before="0" w:beforeAutospacing="0" w:after="0" w:afterAutospacing="0" w:line="360" w:lineRule="auto"/>
        <w:ind w:left="1590" w:hanging="150"/>
        <w:textAlignment w:val="baseline"/>
        <w:rPr>
          <w:i/>
          <w:iCs/>
          <w:color w:val="333335"/>
        </w:rPr>
      </w:pPr>
    </w:p>
    <w:p w14:paraId="3F240A2D" w14:textId="77777777" w:rsidR="0069064A" w:rsidRPr="00AA7938" w:rsidRDefault="0069064A" w:rsidP="00AA7938">
      <w:pPr>
        <w:pStyle w:val="NormalWeb"/>
        <w:spacing w:before="0" w:beforeAutospacing="0" w:after="0" w:afterAutospacing="0" w:line="360" w:lineRule="auto"/>
        <w:ind w:left="1590" w:hanging="150"/>
        <w:textAlignment w:val="baseline"/>
        <w:rPr>
          <w:i/>
          <w:iCs/>
          <w:color w:val="333335"/>
        </w:rPr>
      </w:pPr>
    </w:p>
    <w:p w14:paraId="7F560AC2" w14:textId="6EB1070C" w:rsidR="0069064A" w:rsidRPr="00AA7938" w:rsidRDefault="002756C2" w:rsidP="00FF2CBE">
      <w:pPr>
        <w:pStyle w:val="NormalWeb"/>
        <w:numPr>
          <w:ilvl w:val="0"/>
          <w:numId w:val="13"/>
        </w:numPr>
        <w:tabs>
          <w:tab w:val="left" w:pos="450"/>
        </w:tabs>
        <w:spacing w:before="0" w:beforeAutospacing="0" w:after="0" w:afterAutospacing="0" w:line="360" w:lineRule="auto"/>
        <w:ind w:left="450" w:hanging="450"/>
        <w:jc w:val="both"/>
        <w:textAlignment w:val="baseline"/>
        <w:rPr>
          <w:color w:val="333335"/>
        </w:rPr>
      </w:pPr>
      <w:r w:rsidRPr="00AA7938">
        <w:rPr>
          <w:color w:val="333335"/>
        </w:rPr>
        <w:t>The modern</w:t>
      </w:r>
      <w:r w:rsidR="00F97F0C" w:rsidRPr="00AA7938">
        <w:rPr>
          <w:color w:val="333335"/>
        </w:rPr>
        <w:t xml:space="preserve"> statement of the rule is set out in the judgment of Nugee J in </w:t>
      </w:r>
      <w:r w:rsidR="00F21B57" w:rsidRPr="00AA7938">
        <w:rPr>
          <w:color w:val="333335"/>
        </w:rPr>
        <w:t xml:space="preserve"> </w:t>
      </w:r>
      <w:r w:rsidR="00F21B57" w:rsidRPr="00AA7938">
        <w:rPr>
          <w:i/>
          <w:iCs/>
          <w:color w:val="333335"/>
        </w:rPr>
        <w:t>Sharpe v Lloyds Banking Group PLC</w:t>
      </w:r>
      <w:r w:rsidR="00F21B57" w:rsidRPr="00AA7938">
        <w:rPr>
          <w:color w:val="333335"/>
        </w:rPr>
        <w:t xml:space="preserve"> [2015] EWHC</w:t>
      </w:r>
      <w:r w:rsidR="00801338" w:rsidRPr="00AA7938">
        <w:rPr>
          <w:color w:val="333335"/>
        </w:rPr>
        <w:t xml:space="preserve"> 2681</w:t>
      </w:r>
      <w:r w:rsidR="00F21B57" w:rsidRPr="00AA7938">
        <w:rPr>
          <w:color w:val="333335"/>
        </w:rPr>
        <w:t xml:space="preserve"> (CH)</w:t>
      </w:r>
      <w:r w:rsidR="00801338" w:rsidRPr="00AA7938">
        <w:rPr>
          <w:color w:val="333335"/>
        </w:rPr>
        <w:t xml:space="preserve"> at</w:t>
      </w:r>
      <w:r w:rsidR="008A6513" w:rsidRPr="00AA7938">
        <w:rPr>
          <w:color w:val="333335"/>
        </w:rPr>
        <w:t xml:space="preserve"> [9]:</w:t>
      </w:r>
    </w:p>
    <w:p w14:paraId="0319FBA2" w14:textId="7F26FF05" w:rsidR="008A6513" w:rsidRPr="00AA7938" w:rsidRDefault="000106AB" w:rsidP="00FE46AD">
      <w:pPr>
        <w:pStyle w:val="NormalWeb"/>
        <w:spacing w:after="0" w:line="276" w:lineRule="auto"/>
        <w:ind w:left="720"/>
        <w:textAlignment w:val="baseline"/>
        <w:rPr>
          <w:i/>
          <w:iCs/>
          <w:color w:val="333335"/>
        </w:rPr>
      </w:pPr>
      <w:r w:rsidRPr="00AA7938">
        <w:rPr>
          <w:i/>
          <w:iCs/>
          <w:color w:val="333335"/>
        </w:rPr>
        <w:t>The foundation, as I understand it, of the general rule is the same as the foundation of the similar general rule that applies in the case of trustees and beneficiaries. Just as a trustee who takes advice as to his duties in relation to the running of a trust, and pays for it out of the trust assets cannot assert privilege against the beneficiaries who have, indirectly, paid for that advice, so too a company taking advice on the running of the company’s affairs and paying for it out of the company’s assets cannot assert a privilege against the shareholders who, similarly, have indirectly paid for it.</w:t>
      </w:r>
    </w:p>
    <w:p w14:paraId="7974901C" w14:textId="77777777" w:rsidR="00745B6B" w:rsidRPr="00AA7938" w:rsidRDefault="00745B6B" w:rsidP="00AA7938">
      <w:pPr>
        <w:pStyle w:val="NormalWeb"/>
        <w:spacing w:after="0" w:line="360" w:lineRule="auto"/>
        <w:ind w:left="300" w:hanging="150"/>
        <w:textAlignment w:val="baseline"/>
        <w:rPr>
          <w:i/>
          <w:iCs/>
          <w:color w:val="333335"/>
        </w:rPr>
      </w:pPr>
    </w:p>
    <w:p w14:paraId="563FC9C7" w14:textId="0B592652" w:rsidR="00745B6B" w:rsidRDefault="004A4C81" w:rsidP="00FF2CBE">
      <w:pPr>
        <w:pStyle w:val="NormalWeb"/>
        <w:numPr>
          <w:ilvl w:val="0"/>
          <w:numId w:val="13"/>
        </w:numPr>
        <w:tabs>
          <w:tab w:val="left" w:pos="450"/>
        </w:tabs>
        <w:spacing w:after="0" w:line="360" w:lineRule="auto"/>
        <w:ind w:left="450" w:hanging="450"/>
        <w:jc w:val="both"/>
        <w:textAlignment w:val="baseline"/>
        <w:rPr>
          <w:color w:val="333335"/>
        </w:rPr>
      </w:pPr>
      <w:r w:rsidRPr="00AA7938">
        <w:rPr>
          <w:color w:val="333335"/>
        </w:rPr>
        <w:t xml:space="preserve">In </w:t>
      </w:r>
      <w:r w:rsidR="00587083" w:rsidRPr="005D5639">
        <w:rPr>
          <w:i/>
          <w:iCs/>
          <w:color w:val="333335"/>
        </w:rPr>
        <w:t>CAS (Nominees) Limited v Nottingham Forest</w:t>
      </w:r>
      <w:r w:rsidR="00B549F8" w:rsidRPr="005D5639">
        <w:rPr>
          <w:i/>
          <w:iCs/>
          <w:color w:val="333335"/>
        </w:rPr>
        <w:t xml:space="preserve"> PLC</w:t>
      </w:r>
      <w:r w:rsidR="00B549F8" w:rsidRPr="00AA7938">
        <w:rPr>
          <w:color w:val="333335"/>
        </w:rPr>
        <w:t xml:space="preserve"> </w:t>
      </w:r>
      <w:r w:rsidR="000E479B" w:rsidRPr="00AA7938">
        <w:rPr>
          <w:color w:val="333335"/>
        </w:rPr>
        <w:t xml:space="preserve">[2001] </w:t>
      </w:r>
      <w:r w:rsidR="00296B4D" w:rsidRPr="00AA7938">
        <w:rPr>
          <w:color w:val="333335"/>
        </w:rPr>
        <w:t>1 All ER 954 Evans-Lombe J</w:t>
      </w:r>
      <w:r w:rsidR="00E17C36" w:rsidRPr="00AA7938">
        <w:rPr>
          <w:color w:val="333335"/>
        </w:rPr>
        <w:t xml:space="preserve"> held </w:t>
      </w:r>
      <w:r w:rsidR="00AA7938" w:rsidRPr="00AA7938">
        <w:rPr>
          <w:color w:val="333335"/>
        </w:rPr>
        <w:t xml:space="preserve">at [17] </w:t>
      </w:r>
      <w:r w:rsidR="00E17C36" w:rsidRPr="00AA7938">
        <w:rPr>
          <w:color w:val="333335"/>
        </w:rPr>
        <w:t xml:space="preserve">that </w:t>
      </w:r>
      <w:r w:rsidR="00A47B9F" w:rsidRPr="00AA7938">
        <w:rPr>
          <w:color w:val="333335"/>
        </w:rPr>
        <w:t xml:space="preserve">in applying this rule </w:t>
      </w:r>
      <w:r w:rsidR="00E17C36" w:rsidRPr="00AA7938">
        <w:rPr>
          <w:color w:val="333335"/>
        </w:rPr>
        <w:t>no relevant distinction could be drawn</w:t>
      </w:r>
      <w:r w:rsidR="005D26A6" w:rsidRPr="00AA7938">
        <w:rPr>
          <w:color w:val="333335"/>
        </w:rPr>
        <w:t xml:space="preserve"> between small private companies with limited shareholdings and publicly listed companies with substantial number of shares</w:t>
      </w:r>
      <w:r w:rsidR="00CA6FCA" w:rsidRPr="00AA7938">
        <w:rPr>
          <w:color w:val="333335"/>
        </w:rPr>
        <w:t>holders given that “</w:t>
      </w:r>
      <w:r w:rsidR="00CA6FCA" w:rsidRPr="005D5639">
        <w:rPr>
          <w:i/>
          <w:iCs/>
          <w:color w:val="333335"/>
        </w:rPr>
        <w:t>the directors are subject to the same duty to shareholders</w:t>
      </w:r>
      <w:r w:rsidR="00AA7938" w:rsidRPr="005D5639">
        <w:rPr>
          <w:i/>
          <w:iCs/>
          <w:color w:val="333335"/>
        </w:rPr>
        <w:t xml:space="preserve"> regardless of the size of the company concerned</w:t>
      </w:r>
      <w:r w:rsidR="00AA7938" w:rsidRPr="00AA7938">
        <w:rPr>
          <w:color w:val="333335"/>
        </w:rPr>
        <w:t>”:</w:t>
      </w:r>
    </w:p>
    <w:p w14:paraId="1C59B0DA" w14:textId="43B805C8" w:rsidR="004545B5" w:rsidRDefault="004545B5" w:rsidP="00686388">
      <w:pPr>
        <w:pStyle w:val="NormalWeb"/>
        <w:spacing w:after="0" w:line="276" w:lineRule="auto"/>
        <w:ind w:left="720"/>
        <w:textAlignment w:val="baseline"/>
        <w:rPr>
          <w:i/>
          <w:iCs/>
          <w:color w:val="333335"/>
        </w:rPr>
      </w:pPr>
      <w:r w:rsidRPr="0008500C">
        <w:rPr>
          <w:i/>
          <w:iCs/>
          <w:color w:val="333335"/>
        </w:rPr>
        <w:t>…</w:t>
      </w:r>
      <w:r w:rsidR="00E15F87" w:rsidRPr="0008500C">
        <w:rPr>
          <w:i/>
          <w:iCs/>
          <w:color w:val="333335"/>
        </w:rPr>
        <w:t xml:space="preserve">Nothing in the Woodhouse case or the subsequent authorities down to and including the </w:t>
      </w:r>
      <w:r w:rsidR="00E15F87" w:rsidRPr="0008500C">
        <w:rPr>
          <w:i/>
          <w:iCs/>
          <w:color w:val="333335"/>
          <w:u w:val="single"/>
        </w:rPr>
        <w:t>Hydrosan</w:t>
      </w:r>
      <w:r w:rsidR="00E15F87" w:rsidRPr="0008500C">
        <w:rPr>
          <w:i/>
          <w:iCs/>
          <w:color w:val="333335"/>
        </w:rPr>
        <w:t xml:space="preserve"> case is supports the proposition that the rule is to be differently applied depending on the size and importance of the company concerned. As the authorities show the rule is based on principles of trust law, an analogy being drawn between the position of directors as fiduciaries and trustees. As the authorities show directors though not properly described as trustees of the assets of the company within their </w:t>
      </w:r>
      <w:r w:rsidR="0008500C" w:rsidRPr="0008500C">
        <w:rPr>
          <w:i/>
          <w:iCs/>
          <w:color w:val="333335"/>
        </w:rPr>
        <w:t>charge, nonetheless owe fiduciary duties to the shareholders which prevent them from applying those assets save for the purpose of the company. Directors are subject to the same duty to shareholders regardless of the size of the company concerned.</w:t>
      </w:r>
    </w:p>
    <w:p w14:paraId="4ACA1BAD" w14:textId="77777777" w:rsidR="009C065B" w:rsidRDefault="009C065B" w:rsidP="002C69A0">
      <w:pPr>
        <w:pStyle w:val="NormalWeb"/>
        <w:spacing w:after="0" w:line="360" w:lineRule="auto"/>
        <w:ind w:left="870" w:hanging="150"/>
        <w:textAlignment w:val="baseline"/>
        <w:rPr>
          <w:i/>
          <w:iCs/>
          <w:color w:val="333335"/>
        </w:rPr>
      </w:pPr>
    </w:p>
    <w:p w14:paraId="4F83F87C" w14:textId="3618851C" w:rsidR="009C065B" w:rsidRDefault="00875609" w:rsidP="00B27221">
      <w:pPr>
        <w:pStyle w:val="NormalWeb"/>
        <w:numPr>
          <w:ilvl w:val="0"/>
          <w:numId w:val="13"/>
        </w:numPr>
        <w:tabs>
          <w:tab w:val="left" w:pos="450"/>
        </w:tabs>
        <w:spacing w:after="0" w:line="360" w:lineRule="auto"/>
        <w:jc w:val="both"/>
        <w:textAlignment w:val="baseline"/>
        <w:rPr>
          <w:color w:val="333335"/>
        </w:rPr>
      </w:pPr>
      <w:r w:rsidRPr="00C674E7">
        <w:rPr>
          <w:color w:val="333335"/>
        </w:rPr>
        <w:t xml:space="preserve">In </w:t>
      </w:r>
      <w:r w:rsidR="00E17D00" w:rsidRPr="00C674E7">
        <w:rPr>
          <w:i/>
          <w:iCs/>
          <w:color w:val="333335"/>
        </w:rPr>
        <w:t>Thanki: The Law of Privilege (3</w:t>
      </w:r>
      <w:r w:rsidR="00E17D00" w:rsidRPr="00C674E7">
        <w:rPr>
          <w:i/>
          <w:iCs/>
          <w:color w:val="333335"/>
          <w:vertAlign w:val="superscript"/>
        </w:rPr>
        <w:t>rd</w:t>
      </w:r>
      <w:r w:rsidR="00800740" w:rsidRPr="00C674E7">
        <w:rPr>
          <w:i/>
          <w:iCs/>
          <w:color w:val="333335"/>
        </w:rPr>
        <w:t xml:space="preserve"> ed</w:t>
      </w:r>
      <w:r w:rsidR="00800740" w:rsidRPr="00C674E7">
        <w:rPr>
          <w:color w:val="333335"/>
        </w:rPr>
        <w:t>)</w:t>
      </w:r>
      <w:r w:rsidR="00250039" w:rsidRPr="00C674E7">
        <w:rPr>
          <w:color w:val="333335"/>
        </w:rPr>
        <w:t xml:space="preserve"> the existence of the rule</w:t>
      </w:r>
      <w:r w:rsidR="00800740" w:rsidRPr="00C674E7">
        <w:rPr>
          <w:color w:val="333335"/>
        </w:rPr>
        <w:t xml:space="preserve"> is justified</w:t>
      </w:r>
      <w:r w:rsidR="00C674E7" w:rsidRPr="00C674E7">
        <w:rPr>
          <w:color w:val="333335"/>
        </w:rPr>
        <w:t xml:space="preserve"> on the basis of joint interest of the parties</w:t>
      </w:r>
      <w:r w:rsidR="00577A7B">
        <w:rPr>
          <w:color w:val="333335"/>
        </w:rPr>
        <w:t xml:space="preserve"> as opposed to interest of the shareholder</w:t>
      </w:r>
      <w:r w:rsidR="0072141A">
        <w:rPr>
          <w:color w:val="333335"/>
        </w:rPr>
        <w:t xml:space="preserve"> in the property of the company</w:t>
      </w:r>
      <w:r w:rsidR="00EF5078">
        <w:rPr>
          <w:color w:val="333335"/>
        </w:rPr>
        <w:t>:</w:t>
      </w:r>
    </w:p>
    <w:p w14:paraId="35AC0F00" w14:textId="6026A941" w:rsidR="00EF5078" w:rsidRPr="00B57095" w:rsidRDefault="003F3A71" w:rsidP="00B27221">
      <w:pPr>
        <w:pStyle w:val="NormalWeb"/>
        <w:spacing w:after="0" w:line="276" w:lineRule="auto"/>
        <w:ind w:left="900"/>
        <w:textAlignment w:val="baseline"/>
        <w:rPr>
          <w:i/>
          <w:iCs/>
          <w:color w:val="333335"/>
        </w:rPr>
      </w:pPr>
      <w:r w:rsidRPr="00B57095">
        <w:rPr>
          <w:i/>
          <w:iCs/>
          <w:color w:val="333335"/>
        </w:rPr>
        <w:t xml:space="preserve">6.07 </w:t>
      </w:r>
      <w:r w:rsidR="00DF1154" w:rsidRPr="00B57095">
        <w:rPr>
          <w:i/>
          <w:iCs/>
          <w:color w:val="333335"/>
        </w:rPr>
        <w:t>Joint privilege</w:t>
      </w:r>
      <w:r w:rsidR="009376D7" w:rsidRPr="00B57095">
        <w:rPr>
          <w:i/>
          <w:iCs/>
          <w:color w:val="333335"/>
        </w:rPr>
        <w:t xml:space="preserve"> can also arise, even though party A and party B had not jointly retained a lawyer (and only one of them is a party to the relevant lawyer-lawyer</w:t>
      </w:r>
      <w:r w:rsidR="009E3C5E" w:rsidRPr="00B57095">
        <w:rPr>
          <w:i/>
          <w:iCs/>
          <w:color w:val="333335"/>
        </w:rPr>
        <w:t xml:space="preserve"> relationship), they have a joint interest in the subject matter of the communication. The defining characteristic of this aspect of joint privilege is that the joint interest must exist at the time that the communication comes into existence</w:t>
      </w:r>
      <w:r w:rsidR="00C75C75" w:rsidRPr="00B57095">
        <w:rPr>
          <w:i/>
          <w:iCs/>
          <w:color w:val="333335"/>
        </w:rPr>
        <w:t xml:space="preserve">. </w:t>
      </w:r>
      <w:r w:rsidR="00BD580A" w:rsidRPr="00B57095">
        <w:rPr>
          <w:i/>
          <w:iCs/>
          <w:color w:val="333335"/>
        </w:rPr>
        <w:t>So joint privilege will only rise in respect of a document created during the period when the joint interest subsists; in other words, the documents must have come into being for the furtherance of the joint purpose or interest…</w:t>
      </w:r>
    </w:p>
    <w:p w14:paraId="771F339D" w14:textId="6BF93DC1" w:rsidR="00C75C75" w:rsidRPr="00B57095" w:rsidRDefault="00C75C75" w:rsidP="00B27221">
      <w:pPr>
        <w:pStyle w:val="NormalWeb"/>
        <w:spacing w:after="0" w:line="276" w:lineRule="auto"/>
        <w:ind w:left="1050" w:hanging="150"/>
        <w:textAlignment w:val="baseline"/>
        <w:rPr>
          <w:i/>
          <w:iCs/>
          <w:color w:val="333335"/>
        </w:rPr>
      </w:pPr>
      <w:r w:rsidRPr="00B57095">
        <w:rPr>
          <w:i/>
          <w:iCs/>
          <w:color w:val="333335"/>
        </w:rPr>
        <w:t>6.08</w:t>
      </w:r>
      <w:r w:rsidR="00BD580A" w:rsidRPr="00B57095">
        <w:rPr>
          <w:i/>
          <w:iCs/>
          <w:color w:val="333335"/>
        </w:rPr>
        <w:t xml:space="preserve"> </w:t>
      </w:r>
      <w:r w:rsidR="00B0209A" w:rsidRPr="00B57095">
        <w:rPr>
          <w:i/>
          <w:iCs/>
          <w:color w:val="333335"/>
        </w:rPr>
        <w:t>If a joint interest exists then the same principles as those set out above in relation to joint retainers with generally apply. Accordingly, neither party can assert privilege as against the other in respect of communications</w:t>
      </w:r>
      <w:r w:rsidR="001E3300" w:rsidRPr="00B57095">
        <w:rPr>
          <w:i/>
          <w:iCs/>
          <w:color w:val="333335"/>
        </w:rPr>
        <w:t xml:space="preserve"> coming into existence at the time the joint interest subsisted; hence, each party to a relationship can obtain disclosure of the other’s (</w:t>
      </w:r>
      <w:r w:rsidR="00DD1D96" w:rsidRPr="00B57095">
        <w:rPr>
          <w:i/>
          <w:iCs/>
          <w:color w:val="333335"/>
        </w:rPr>
        <w:t>otherwise privileged) document so far as they concern the joint purpose or interest. However, both parties are entitled to maintain privilege as against the rest of the world</w:t>
      </w:r>
      <w:r w:rsidR="0079621A" w:rsidRPr="00B57095">
        <w:rPr>
          <w:i/>
          <w:iCs/>
          <w:color w:val="333335"/>
        </w:rPr>
        <w:t>. As with a joint retainers, the privilege is not lost simply because the parties subsequently fall out…</w:t>
      </w:r>
    </w:p>
    <w:p w14:paraId="4FC2D036" w14:textId="65AB86AF" w:rsidR="00515039" w:rsidRPr="00B57095" w:rsidRDefault="001F6ECE" w:rsidP="00B27221">
      <w:pPr>
        <w:pStyle w:val="NormalWeb"/>
        <w:spacing w:after="0" w:line="276" w:lineRule="auto"/>
        <w:ind w:left="900"/>
        <w:textAlignment w:val="baseline"/>
        <w:rPr>
          <w:i/>
          <w:iCs/>
          <w:color w:val="333335"/>
        </w:rPr>
      </w:pPr>
      <w:r w:rsidRPr="00B57095">
        <w:rPr>
          <w:i/>
          <w:iCs/>
          <w:color w:val="333335"/>
        </w:rPr>
        <w:t>6.09 Examples of joint interests. Whilst not rigidly defined concept, examples of situations where joint interest has been how to price our between</w:t>
      </w:r>
      <w:r w:rsidR="00515039" w:rsidRPr="00B57095">
        <w:rPr>
          <w:i/>
          <w:iCs/>
          <w:color w:val="333335"/>
        </w:rPr>
        <w:t>:</w:t>
      </w:r>
    </w:p>
    <w:p w14:paraId="3A3B51D0" w14:textId="10AB2BFB" w:rsidR="00515039" w:rsidRPr="00B57095" w:rsidRDefault="00640275" w:rsidP="00B27221">
      <w:pPr>
        <w:pStyle w:val="NormalWeb"/>
        <w:numPr>
          <w:ilvl w:val="0"/>
          <w:numId w:val="10"/>
        </w:numPr>
        <w:spacing w:after="0" w:line="276" w:lineRule="auto"/>
        <w:ind w:left="1620"/>
        <w:textAlignment w:val="baseline"/>
        <w:rPr>
          <w:i/>
          <w:iCs/>
          <w:color w:val="333335"/>
        </w:rPr>
      </w:pPr>
      <w:r w:rsidRPr="00B57095">
        <w:rPr>
          <w:i/>
          <w:iCs/>
          <w:color w:val="333335"/>
        </w:rPr>
        <w:t>a trustee (properly so called) and the beneficiary;</w:t>
      </w:r>
    </w:p>
    <w:p w14:paraId="7F0F10F3" w14:textId="23E82D0E" w:rsidR="00640275" w:rsidRPr="00B57095" w:rsidRDefault="00640275" w:rsidP="00B27221">
      <w:pPr>
        <w:pStyle w:val="NormalWeb"/>
        <w:numPr>
          <w:ilvl w:val="0"/>
          <w:numId w:val="10"/>
        </w:numPr>
        <w:spacing w:after="0" w:line="276" w:lineRule="auto"/>
        <w:ind w:left="1620"/>
        <w:textAlignment w:val="baseline"/>
        <w:rPr>
          <w:i/>
          <w:iCs/>
          <w:color w:val="333335"/>
        </w:rPr>
      </w:pPr>
      <w:r w:rsidRPr="00B57095">
        <w:rPr>
          <w:i/>
          <w:iCs/>
          <w:color w:val="333335"/>
        </w:rPr>
        <w:t>a parent company and its wholly-owned subsidiary;</w:t>
      </w:r>
    </w:p>
    <w:p w14:paraId="3B7DB5A3" w14:textId="738F43A6" w:rsidR="009F7474" w:rsidRPr="00B57095" w:rsidRDefault="009F7474" w:rsidP="00B27221">
      <w:pPr>
        <w:pStyle w:val="NormalWeb"/>
        <w:numPr>
          <w:ilvl w:val="0"/>
          <w:numId w:val="10"/>
        </w:numPr>
        <w:spacing w:after="0" w:line="276" w:lineRule="auto"/>
        <w:ind w:left="1620"/>
        <w:textAlignment w:val="baseline"/>
        <w:rPr>
          <w:i/>
          <w:iCs/>
          <w:color w:val="333335"/>
        </w:rPr>
      </w:pPr>
      <w:r w:rsidRPr="00B57095">
        <w:rPr>
          <w:i/>
          <w:iCs/>
          <w:color w:val="333335"/>
        </w:rPr>
        <w:t>a company and its shareholders;</w:t>
      </w:r>
    </w:p>
    <w:p w14:paraId="52AA5DF4" w14:textId="141E4491" w:rsidR="00640275" w:rsidRPr="00B57095" w:rsidRDefault="009F7474" w:rsidP="00B27221">
      <w:pPr>
        <w:pStyle w:val="NormalWeb"/>
        <w:numPr>
          <w:ilvl w:val="0"/>
          <w:numId w:val="10"/>
        </w:numPr>
        <w:spacing w:after="0" w:line="276" w:lineRule="auto"/>
        <w:ind w:left="1620"/>
        <w:textAlignment w:val="baseline"/>
        <w:rPr>
          <w:i/>
          <w:iCs/>
          <w:color w:val="333335"/>
        </w:rPr>
      </w:pPr>
      <w:r w:rsidRPr="00B57095">
        <w:rPr>
          <w:i/>
          <w:iCs/>
          <w:color w:val="333335"/>
        </w:rPr>
        <w:t xml:space="preserve">a limited liability partnership and its members </w:t>
      </w:r>
      <w:r w:rsidR="00640275" w:rsidRPr="00B57095">
        <w:rPr>
          <w:i/>
          <w:iCs/>
          <w:color w:val="333335"/>
        </w:rPr>
        <w:t>a company and its shareholders</w:t>
      </w:r>
      <w:r w:rsidR="00626954" w:rsidRPr="00B57095">
        <w:rPr>
          <w:i/>
          <w:iCs/>
          <w:color w:val="333335"/>
        </w:rPr>
        <w:t>;</w:t>
      </w:r>
    </w:p>
    <w:p w14:paraId="73391FD4" w14:textId="0190F60E" w:rsidR="00626954" w:rsidRPr="00B57095" w:rsidRDefault="00626954" w:rsidP="00B27221">
      <w:pPr>
        <w:pStyle w:val="NormalWeb"/>
        <w:numPr>
          <w:ilvl w:val="0"/>
          <w:numId w:val="10"/>
        </w:numPr>
        <w:spacing w:after="0" w:line="276" w:lineRule="auto"/>
        <w:ind w:left="1620"/>
        <w:textAlignment w:val="baseline"/>
        <w:rPr>
          <w:i/>
          <w:iCs/>
          <w:color w:val="333335"/>
        </w:rPr>
      </w:pPr>
      <w:r w:rsidRPr="00B57095">
        <w:rPr>
          <w:i/>
          <w:iCs/>
          <w:color w:val="333335"/>
        </w:rPr>
        <w:t>a company and its director; and</w:t>
      </w:r>
    </w:p>
    <w:p w14:paraId="6D33BCBB" w14:textId="42F30E3D" w:rsidR="00626954" w:rsidRDefault="00626954" w:rsidP="00B27221">
      <w:pPr>
        <w:pStyle w:val="NormalWeb"/>
        <w:numPr>
          <w:ilvl w:val="0"/>
          <w:numId w:val="10"/>
        </w:numPr>
        <w:spacing w:after="0" w:line="276" w:lineRule="auto"/>
        <w:ind w:left="1620"/>
        <w:textAlignment w:val="baseline"/>
        <w:rPr>
          <w:i/>
          <w:iCs/>
          <w:color w:val="333335"/>
        </w:rPr>
      </w:pPr>
      <w:r w:rsidRPr="00B57095">
        <w:rPr>
          <w:i/>
          <w:iCs/>
          <w:color w:val="333335"/>
        </w:rPr>
        <w:t>partners.</w:t>
      </w:r>
    </w:p>
    <w:p w14:paraId="5B60019D" w14:textId="77777777" w:rsidR="00F163E3" w:rsidRDefault="00F163E3" w:rsidP="00F163E3">
      <w:pPr>
        <w:pStyle w:val="NormalWeb"/>
        <w:spacing w:after="0" w:line="360" w:lineRule="auto"/>
        <w:ind w:left="1170"/>
        <w:textAlignment w:val="baseline"/>
        <w:rPr>
          <w:i/>
          <w:iCs/>
          <w:color w:val="333335"/>
        </w:rPr>
      </w:pPr>
    </w:p>
    <w:p w14:paraId="1E71336C" w14:textId="30DD263E" w:rsidR="006B0A76" w:rsidRDefault="007A3AEA" w:rsidP="00FF2CBE">
      <w:pPr>
        <w:pStyle w:val="NormalWeb"/>
        <w:numPr>
          <w:ilvl w:val="0"/>
          <w:numId w:val="13"/>
        </w:numPr>
        <w:tabs>
          <w:tab w:val="left" w:pos="450"/>
        </w:tabs>
        <w:spacing w:before="240" w:after="0" w:line="360" w:lineRule="auto"/>
        <w:ind w:left="450" w:hanging="450"/>
        <w:jc w:val="both"/>
        <w:textAlignment w:val="baseline"/>
        <w:rPr>
          <w:color w:val="333335"/>
        </w:rPr>
      </w:pPr>
      <w:r>
        <w:rPr>
          <w:color w:val="333335"/>
        </w:rPr>
        <w:t xml:space="preserve">As the cases reviewed above demonstrates </w:t>
      </w:r>
      <w:r w:rsidR="007D4280">
        <w:rPr>
          <w:color w:val="333335"/>
        </w:rPr>
        <w:t>it is established under English law that</w:t>
      </w:r>
      <w:r w:rsidR="00CA3170">
        <w:rPr>
          <w:color w:val="333335"/>
        </w:rPr>
        <w:t xml:space="preserve"> a company may not claim privilege against its shareholders. The rule was originally based upon the proprietary interest of the shareholder in the property of the</w:t>
      </w:r>
      <w:r w:rsidR="00D417AE">
        <w:rPr>
          <w:color w:val="333335"/>
        </w:rPr>
        <w:t xml:space="preserve"> company</w:t>
      </w:r>
      <w:r w:rsidR="00DA579B">
        <w:rPr>
          <w:color w:val="333335"/>
        </w:rPr>
        <w:t xml:space="preserve"> expended on obtaining legal advice</w:t>
      </w:r>
      <w:r w:rsidR="00D417AE">
        <w:rPr>
          <w:color w:val="333335"/>
        </w:rPr>
        <w:t>. The justification of the rule has changed to the discharge of the fiduciary duties</w:t>
      </w:r>
      <w:r w:rsidR="001A7B4A">
        <w:rPr>
          <w:color w:val="333335"/>
        </w:rPr>
        <w:t xml:space="preserve"> owed by a director to the shareholders (</w:t>
      </w:r>
      <w:r w:rsidR="004A098D">
        <w:rPr>
          <w:color w:val="333335"/>
        </w:rPr>
        <w:t xml:space="preserve">Evans-Lombe J in </w:t>
      </w:r>
      <w:r w:rsidR="004A098D" w:rsidRPr="005D5639">
        <w:rPr>
          <w:i/>
          <w:iCs/>
          <w:color w:val="333335"/>
        </w:rPr>
        <w:t>CAS (Nominees) Limited v Nottingham Forest PLC</w:t>
      </w:r>
      <w:r w:rsidR="004A098D" w:rsidRPr="00AA7938">
        <w:rPr>
          <w:color w:val="333335"/>
        </w:rPr>
        <w:t xml:space="preserve"> [2001] 1 All ER 954</w:t>
      </w:r>
      <w:r w:rsidR="004A098D">
        <w:rPr>
          <w:color w:val="333335"/>
        </w:rPr>
        <w:t xml:space="preserve">) </w:t>
      </w:r>
      <w:r w:rsidR="00BE289D">
        <w:rPr>
          <w:color w:val="333335"/>
        </w:rPr>
        <w:t>and</w:t>
      </w:r>
      <w:r w:rsidR="006F58FC">
        <w:rPr>
          <w:color w:val="333335"/>
        </w:rPr>
        <w:t xml:space="preserve"> the existence of joint interest in the subject matter of the communication (</w:t>
      </w:r>
      <w:r w:rsidR="00CE2004" w:rsidRPr="00C674E7">
        <w:rPr>
          <w:i/>
          <w:iCs/>
          <w:color w:val="333335"/>
        </w:rPr>
        <w:t>Thanki: The Law of Privilege (3</w:t>
      </w:r>
      <w:r w:rsidR="00CE2004" w:rsidRPr="00C674E7">
        <w:rPr>
          <w:i/>
          <w:iCs/>
          <w:color w:val="333335"/>
          <w:vertAlign w:val="superscript"/>
        </w:rPr>
        <w:t>rd</w:t>
      </w:r>
      <w:r w:rsidR="00CE2004" w:rsidRPr="00C674E7">
        <w:rPr>
          <w:i/>
          <w:iCs/>
          <w:color w:val="333335"/>
        </w:rPr>
        <w:t xml:space="preserve"> ed</w:t>
      </w:r>
      <w:r w:rsidR="00CE2004" w:rsidRPr="00C674E7">
        <w:rPr>
          <w:color w:val="333335"/>
        </w:rPr>
        <w:t>)</w:t>
      </w:r>
      <w:r w:rsidR="00016DE1">
        <w:rPr>
          <w:color w:val="333335"/>
        </w:rPr>
        <w:t>).</w:t>
      </w:r>
    </w:p>
    <w:p w14:paraId="0F8C1B24" w14:textId="77777777" w:rsidR="00FA5114" w:rsidRDefault="00FA5114" w:rsidP="00CE2004">
      <w:pPr>
        <w:pStyle w:val="NormalWeb"/>
        <w:spacing w:before="240" w:after="0" w:line="360" w:lineRule="auto"/>
        <w:textAlignment w:val="baseline"/>
        <w:rPr>
          <w:color w:val="333335"/>
        </w:rPr>
      </w:pPr>
    </w:p>
    <w:p w14:paraId="69D62886" w14:textId="05465CC4" w:rsidR="00FA5114" w:rsidRDefault="00961892" w:rsidP="00CE2004">
      <w:pPr>
        <w:pStyle w:val="NormalWeb"/>
        <w:spacing w:before="240" w:after="0" w:line="360" w:lineRule="auto"/>
        <w:textAlignment w:val="baseline"/>
        <w:rPr>
          <w:b/>
          <w:bCs/>
          <w:i/>
          <w:iCs/>
          <w:color w:val="333335"/>
        </w:rPr>
      </w:pPr>
      <w:r w:rsidRPr="00E15250">
        <w:rPr>
          <w:b/>
          <w:bCs/>
          <w:i/>
          <w:iCs/>
          <w:color w:val="333335"/>
        </w:rPr>
        <w:t>The application of the rule</w:t>
      </w:r>
      <w:r w:rsidR="00E15250" w:rsidRPr="00E15250">
        <w:rPr>
          <w:b/>
          <w:bCs/>
          <w:i/>
          <w:iCs/>
          <w:color w:val="333335"/>
        </w:rPr>
        <w:t xml:space="preserve"> to past shareholders</w:t>
      </w:r>
    </w:p>
    <w:p w14:paraId="6FBC081C" w14:textId="77777777" w:rsidR="00E15250" w:rsidRPr="007F64F0" w:rsidRDefault="00E15250" w:rsidP="00CE2004">
      <w:pPr>
        <w:pStyle w:val="NormalWeb"/>
        <w:spacing w:before="240" w:after="0" w:line="360" w:lineRule="auto"/>
        <w:textAlignment w:val="baseline"/>
        <w:rPr>
          <w:color w:val="333335"/>
        </w:rPr>
      </w:pPr>
    </w:p>
    <w:p w14:paraId="7E17D73F" w14:textId="4DC2C75E" w:rsidR="00E15250" w:rsidRDefault="004B4A6B" w:rsidP="00FF2CBE">
      <w:pPr>
        <w:pStyle w:val="NormalWeb"/>
        <w:numPr>
          <w:ilvl w:val="0"/>
          <w:numId w:val="13"/>
        </w:numPr>
        <w:tabs>
          <w:tab w:val="left" w:pos="450"/>
        </w:tabs>
        <w:spacing w:before="240" w:after="0" w:line="360" w:lineRule="auto"/>
        <w:ind w:left="450" w:hanging="450"/>
        <w:jc w:val="both"/>
        <w:textAlignment w:val="baseline"/>
        <w:rPr>
          <w:color w:val="333335"/>
        </w:rPr>
      </w:pPr>
      <w:r w:rsidRPr="007F64F0">
        <w:rPr>
          <w:color w:val="333335"/>
        </w:rPr>
        <w:t>The Defendants contend that</w:t>
      </w:r>
      <w:r w:rsidR="007F64F0">
        <w:rPr>
          <w:color w:val="333335"/>
        </w:rPr>
        <w:t xml:space="preserve"> t</w:t>
      </w:r>
      <w:r w:rsidR="007F64F0" w:rsidRPr="007F64F0">
        <w:rPr>
          <w:color w:val="333335"/>
        </w:rPr>
        <w:t>here is no authority the Plaintiffs can point to</w:t>
      </w:r>
      <w:r w:rsidR="007F64F0">
        <w:rPr>
          <w:color w:val="333335"/>
        </w:rPr>
        <w:t xml:space="preserve"> </w:t>
      </w:r>
      <w:r w:rsidR="007F64F0" w:rsidRPr="007F64F0">
        <w:rPr>
          <w:color w:val="333335"/>
        </w:rPr>
        <w:t>for</w:t>
      </w:r>
      <w:r w:rsidR="007F64F0">
        <w:rPr>
          <w:color w:val="333335"/>
        </w:rPr>
        <w:t xml:space="preserve"> </w:t>
      </w:r>
      <w:r w:rsidR="007F64F0" w:rsidRPr="007F64F0">
        <w:rPr>
          <w:color w:val="333335"/>
        </w:rPr>
        <w:t xml:space="preserve">the proposition that a company may not claim privilege against a past shareholder. Instead, </w:t>
      </w:r>
      <w:r w:rsidR="007F64F0">
        <w:rPr>
          <w:color w:val="333335"/>
        </w:rPr>
        <w:t xml:space="preserve">the Defendants contend, </w:t>
      </w:r>
      <w:r w:rsidR="00270AED">
        <w:rPr>
          <w:color w:val="333335"/>
        </w:rPr>
        <w:t xml:space="preserve">that </w:t>
      </w:r>
      <w:r w:rsidR="007F64F0" w:rsidRPr="007F64F0">
        <w:rPr>
          <w:color w:val="333335"/>
        </w:rPr>
        <w:t xml:space="preserve">it is clear from the authorities that the English </w:t>
      </w:r>
      <w:r w:rsidR="007A120A">
        <w:rPr>
          <w:color w:val="333335"/>
        </w:rPr>
        <w:t>r</w:t>
      </w:r>
      <w:r w:rsidR="007F64F0" w:rsidRPr="007F64F0">
        <w:rPr>
          <w:color w:val="333335"/>
        </w:rPr>
        <w:t xml:space="preserve">ule is limited to a company’s present shareholders. </w:t>
      </w:r>
      <w:r w:rsidR="00270AED">
        <w:rPr>
          <w:color w:val="333335"/>
        </w:rPr>
        <w:t>They argue that i</w:t>
      </w:r>
      <w:r w:rsidR="007F64F0" w:rsidRPr="007F64F0">
        <w:rPr>
          <w:color w:val="333335"/>
        </w:rPr>
        <w:t>t is a person’s status as shareholder which precludes a company from claiming privilege</w:t>
      </w:r>
      <w:r w:rsidR="00E96465">
        <w:rPr>
          <w:color w:val="333335"/>
        </w:rPr>
        <w:t>.</w:t>
      </w:r>
    </w:p>
    <w:p w14:paraId="407097AF" w14:textId="77777777" w:rsidR="00BB7105" w:rsidRDefault="00BB7105" w:rsidP="007F64F0">
      <w:pPr>
        <w:pStyle w:val="NormalWeb"/>
        <w:spacing w:before="240" w:after="0" w:line="360" w:lineRule="auto"/>
        <w:textAlignment w:val="baseline"/>
        <w:rPr>
          <w:color w:val="333335"/>
        </w:rPr>
      </w:pPr>
    </w:p>
    <w:p w14:paraId="2302ACB6" w14:textId="0AA62DD7" w:rsidR="00BB7105" w:rsidRDefault="00BB7105" w:rsidP="00FF2CBE">
      <w:pPr>
        <w:pStyle w:val="NormalWeb"/>
        <w:numPr>
          <w:ilvl w:val="0"/>
          <w:numId w:val="13"/>
        </w:numPr>
        <w:tabs>
          <w:tab w:val="left" w:pos="450"/>
        </w:tabs>
        <w:spacing w:before="240" w:after="0" w:line="360" w:lineRule="auto"/>
        <w:ind w:left="450" w:hanging="450"/>
        <w:jc w:val="both"/>
        <w:textAlignment w:val="baseline"/>
        <w:rPr>
          <w:color w:val="333335"/>
        </w:rPr>
      </w:pPr>
      <w:r>
        <w:rPr>
          <w:color w:val="333335"/>
        </w:rPr>
        <w:t>The Defendants argue</w:t>
      </w:r>
      <w:r w:rsidR="00673CF1">
        <w:rPr>
          <w:color w:val="333335"/>
        </w:rPr>
        <w:t xml:space="preserve"> that </w:t>
      </w:r>
      <w:r w:rsidR="00673CF1" w:rsidRPr="00673CF1">
        <w:rPr>
          <w:color w:val="333335"/>
        </w:rPr>
        <w:t xml:space="preserve">to extend the general rule to past shareholders would be inconsistent with its basis as formulated in the case law. Once a shareholder has disposed of his shareholding, he can, on no footing, be described as having any proprietary interest in the company’s assets. The consequence of the Plaintiffs’ argument, if accepted, would </w:t>
      </w:r>
      <w:r w:rsidR="00645F12">
        <w:rPr>
          <w:color w:val="333335"/>
        </w:rPr>
        <w:t>lead to</w:t>
      </w:r>
      <w:r w:rsidR="00673CF1" w:rsidRPr="00673CF1">
        <w:rPr>
          <w:color w:val="333335"/>
        </w:rPr>
        <w:t xml:space="preserve"> an ever-increasing pool of persons who can go behind its assertion of privilege. The</w:t>
      </w:r>
      <w:r w:rsidR="00B85631">
        <w:rPr>
          <w:color w:val="333335"/>
        </w:rPr>
        <w:t xml:space="preserve"> </w:t>
      </w:r>
      <w:r w:rsidR="00673CF1" w:rsidRPr="00673CF1">
        <w:rPr>
          <w:color w:val="333335"/>
        </w:rPr>
        <w:t>pool could only get bigger, not smaller, as a company’s shareholder base changes over time, and is potentially unlimited. A publicly traded company, like Jardine Strategic, would end up with potentially tens of thousands of unrelated persons entitled to inspect its privileged documents in litigation.</w:t>
      </w:r>
    </w:p>
    <w:p w14:paraId="46A0DBED" w14:textId="77777777" w:rsidR="00645F12" w:rsidRPr="009B088E" w:rsidRDefault="00645F12" w:rsidP="00673CF1">
      <w:pPr>
        <w:pStyle w:val="NormalWeb"/>
        <w:spacing w:before="240" w:after="0" w:line="360" w:lineRule="auto"/>
        <w:textAlignment w:val="baseline"/>
        <w:rPr>
          <w:color w:val="333335"/>
        </w:rPr>
      </w:pPr>
    </w:p>
    <w:p w14:paraId="458B5959" w14:textId="4431D0B2" w:rsidR="00645F12" w:rsidRPr="00FF2CBE" w:rsidRDefault="00467A2A" w:rsidP="00FF2CBE">
      <w:pPr>
        <w:pStyle w:val="ListParagraph"/>
        <w:numPr>
          <w:ilvl w:val="0"/>
          <w:numId w:val="13"/>
        </w:numPr>
        <w:tabs>
          <w:tab w:val="left" w:pos="450"/>
        </w:tabs>
        <w:spacing w:before="120" w:line="360" w:lineRule="auto"/>
        <w:ind w:left="450" w:hanging="450"/>
        <w:jc w:val="both"/>
        <w:rPr>
          <w:rFonts w:ascii="Times New Roman" w:hAnsi="Times New Roman" w:cs="Times New Roman"/>
          <w:sz w:val="24"/>
          <w:szCs w:val="24"/>
        </w:rPr>
      </w:pPr>
      <w:r w:rsidRPr="00FF2CBE">
        <w:rPr>
          <w:rFonts w:ascii="Times New Roman" w:hAnsi="Times New Roman" w:cs="Times New Roman"/>
          <w:color w:val="333335"/>
          <w:sz w:val="24"/>
          <w:szCs w:val="24"/>
        </w:rPr>
        <w:t>As noted earlier</w:t>
      </w:r>
      <w:r w:rsidR="006C65E6" w:rsidRPr="00FF2CBE">
        <w:rPr>
          <w:rFonts w:ascii="Times New Roman" w:hAnsi="Times New Roman" w:cs="Times New Roman"/>
          <w:color w:val="333335"/>
          <w:sz w:val="24"/>
          <w:szCs w:val="24"/>
        </w:rPr>
        <w:t>,</w:t>
      </w:r>
      <w:r w:rsidR="006C65E6" w:rsidRPr="00FF2CBE">
        <w:rPr>
          <w:rFonts w:ascii="Times New Roman" w:hAnsi="Times New Roman" w:cs="Times New Roman"/>
          <w:i/>
          <w:iCs/>
          <w:color w:val="333335"/>
          <w:sz w:val="24"/>
          <w:szCs w:val="24"/>
        </w:rPr>
        <w:t xml:space="preserve"> Thanki </w:t>
      </w:r>
      <w:r w:rsidR="006C65E6" w:rsidRPr="00FF2CBE">
        <w:rPr>
          <w:rFonts w:ascii="Times New Roman" w:hAnsi="Times New Roman" w:cs="Times New Roman"/>
          <w:color w:val="333335"/>
          <w:sz w:val="24"/>
          <w:szCs w:val="24"/>
        </w:rPr>
        <w:t>considers that the relationship of the company and its shareholders gives rise to joint interest privilege. He further states that</w:t>
      </w:r>
      <w:r w:rsidR="00FE0447" w:rsidRPr="00FF2CBE">
        <w:rPr>
          <w:rFonts w:ascii="Times New Roman" w:hAnsi="Times New Roman" w:cs="Times New Roman"/>
          <w:color w:val="333335"/>
          <w:sz w:val="24"/>
          <w:szCs w:val="24"/>
        </w:rPr>
        <w:t xml:space="preserve"> the defining characteristic</w:t>
      </w:r>
      <w:r w:rsidR="00DA252C" w:rsidRPr="00FF2CBE">
        <w:rPr>
          <w:rFonts w:ascii="Times New Roman" w:hAnsi="Times New Roman" w:cs="Times New Roman"/>
          <w:color w:val="333335"/>
          <w:sz w:val="24"/>
          <w:szCs w:val="24"/>
        </w:rPr>
        <w:t xml:space="preserve"> of joint privilege is that the joint interest must exist at the time that the communication comes into existence</w:t>
      </w:r>
      <w:r w:rsidR="00493048" w:rsidRPr="00FF2CBE">
        <w:rPr>
          <w:rFonts w:ascii="Times New Roman" w:hAnsi="Times New Roman" w:cs="Times New Roman"/>
          <w:color w:val="333335"/>
          <w:sz w:val="24"/>
          <w:szCs w:val="24"/>
        </w:rPr>
        <w:t xml:space="preserve"> </w:t>
      </w:r>
      <w:r w:rsidR="00A1597E" w:rsidRPr="00FF2CBE">
        <w:rPr>
          <w:rFonts w:ascii="Times New Roman" w:hAnsi="Times New Roman" w:cs="Times New Roman"/>
          <w:color w:val="333335"/>
          <w:sz w:val="24"/>
          <w:szCs w:val="24"/>
        </w:rPr>
        <w:t>and that the privilege is not lost simply because the parties subsequently fall out.</w:t>
      </w:r>
    </w:p>
    <w:p w14:paraId="29610889" w14:textId="77777777" w:rsidR="00A1597E" w:rsidRDefault="00A1597E" w:rsidP="00673CF1">
      <w:pPr>
        <w:pStyle w:val="NormalWeb"/>
        <w:spacing w:before="240" w:after="0" w:line="360" w:lineRule="auto"/>
        <w:textAlignment w:val="baseline"/>
        <w:rPr>
          <w:color w:val="333335"/>
        </w:rPr>
      </w:pPr>
    </w:p>
    <w:p w14:paraId="006332A3" w14:textId="734FDEA5" w:rsidR="00A1597E" w:rsidRDefault="00A1597E" w:rsidP="00FF2CBE">
      <w:pPr>
        <w:pStyle w:val="NormalWeb"/>
        <w:numPr>
          <w:ilvl w:val="0"/>
          <w:numId w:val="13"/>
        </w:numPr>
        <w:spacing w:before="240" w:after="0" w:line="360" w:lineRule="auto"/>
        <w:ind w:left="450" w:hanging="450"/>
        <w:jc w:val="both"/>
        <w:textAlignment w:val="baseline"/>
        <w:rPr>
          <w:color w:val="333335"/>
        </w:rPr>
      </w:pPr>
      <w:r>
        <w:rPr>
          <w:color w:val="333335"/>
        </w:rPr>
        <w:t>The above analysis is supported by a number of authorities</w:t>
      </w:r>
      <w:r w:rsidR="00706BA3">
        <w:rPr>
          <w:color w:val="333335"/>
        </w:rPr>
        <w:t xml:space="preserve">. </w:t>
      </w:r>
      <w:r w:rsidR="006F0217">
        <w:rPr>
          <w:color w:val="333335"/>
        </w:rPr>
        <w:t>I</w:t>
      </w:r>
      <w:r w:rsidR="006F0217" w:rsidRPr="006F0217">
        <w:rPr>
          <w:color w:val="333335"/>
        </w:rPr>
        <w:t xml:space="preserve">n </w:t>
      </w:r>
      <w:r w:rsidR="006F0217" w:rsidRPr="006F0217">
        <w:rPr>
          <w:i/>
          <w:iCs/>
          <w:color w:val="333335"/>
        </w:rPr>
        <w:t xml:space="preserve">Dennis &amp; Sons v West Norfolk Farmers Manure and Chemical Co-op </w:t>
      </w:r>
      <w:r w:rsidR="006F0217" w:rsidRPr="006F0217">
        <w:rPr>
          <w:color w:val="333335"/>
        </w:rPr>
        <w:t>[1943] Ch 220,</w:t>
      </w:r>
      <w:r w:rsidR="00034CFF">
        <w:rPr>
          <w:color w:val="333335"/>
        </w:rPr>
        <w:t xml:space="preserve"> a report obtained by company from chartered accountants</w:t>
      </w:r>
      <w:r w:rsidR="00C660C3">
        <w:rPr>
          <w:color w:val="333335"/>
        </w:rPr>
        <w:t xml:space="preserve"> on the interpretation of one of the articles of association of the company involving the duty of the directors in administering the affairs of the company</w:t>
      </w:r>
      <w:r w:rsidR="009A63FF">
        <w:rPr>
          <w:color w:val="333335"/>
        </w:rPr>
        <w:t xml:space="preserve"> was held to be a report obtained on behalf of all shareholders and was no</w:t>
      </w:r>
      <w:r w:rsidR="008B3E1D">
        <w:rPr>
          <w:color w:val="333335"/>
        </w:rPr>
        <w:t>t</w:t>
      </w:r>
      <w:r w:rsidR="009A63FF">
        <w:rPr>
          <w:color w:val="333335"/>
        </w:rPr>
        <w:t xml:space="preserve"> privileged if ordered before, even if received after, the commencement of legal proceedings by certain shareholders against the company to determine a dispute on the construction of the article.</w:t>
      </w:r>
      <w:r w:rsidR="00035621">
        <w:rPr>
          <w:color w:val="333335"/>
        </w:rPr>
        <w:t xml:space="preserve"> Thus, this case</w:t>
      </w:r>
      <w:r w:rsidR="00CE5F09">
        <w:rPr>
          <w:color w:val="333335"/>
        </w:rPr>
        <w:t xml:space="preserve"> supports the thesis that the relevant time to consider the existence of the privilege is at the time</w:t>
      </w:r>
      <w:r w:rsidR="00981085">
        <w:rPr>
          <w:color w:val="333335"/>
        </w:rPr>
        <w:t xml:space="preserve"> of the relevant communication </w:t>
      </w:r>
      <w:r w:rsidR="002932AB">
        <w:rPr>
          <w:color w:val="333335"/>
        </w:rPr>
        <w:t>under consideration</w:t>
      </w:r>
      <w:r w:rsidR="00981085">
        <w:rPr>
          <w:color w:val="333335"/>
        </w:rPr>
        <w:t>.</w:t>
      </w:r>
    </w:p>
    <w:p w14:paraId="542DFE2E" w14:textId="77777777" w:rsidR="0050335E" w:rsidRDefault="0050335E" w:rsidP="006F0217">
      <w:pPr>
        <w:pStyle w:val="NormalWeb"/>
        <w:spacing w:before="240" w:after="0" w:line="360" w:lineRule="auto"/>
        <w:textAlignment w:val="baseline"/>
        <w:rPr>
          <w:color w:val="333335"/>
        </w:rPr>
      </w:pPr>
    </w:p>
    <w:p w14:paraId="4C834045" w14:textId="77777777" w:rsidR="005E28F2" w:rsidRDefault="00160806" w:rsidP="00FF2CBE">
      <w:pPr>
        <w:pStyle w:val="NormalWeb"/>
        <w:numPr>
          <w:ilvl w:val="0"/>
          <w:numId w:val="13"/>
        </w:numPr>
        <w:tabs>
          <w:tab w:val="left" w:pos="450"/>
        </w:tabs>
        <w:spacing w:before="240" w:after="0" w:line="360" w:lineRule="auto"/>
        <w:ind w:left="450" w:hanging="450"/>
        <w:jc w:val="both"/>
        <w:textAlignment w:val="baseline"/>
        <w:rPr>
          <w:color w:val="333335"/>
        </w:rPr>
      </w:pPr>
      <w:r>
        <w:rPr>
          <w:color w:val="333335"/>
        </w:rPr>
        <w:t xml:space="preserve">In </w:t>
      </w:r>
      <w:r w:rsidRPr="0031499B">
        <w:rPr>
          <w:i/>
          <w:iCs/>
          <w:color w:val="333335"/>
        </w:rPr>
        <w:t>BBGP Managing General Partners Ltd</w:t>
      </w:r>
      <w:r w:rsidR="00D208B8" w:rsidRPr="0031499B">
        <w:rPr>
          <w:i/>
          <w:iCs/>
          <w:color w:val="333335"/>
        </w:rPr>
        <w:t xml:space="preserve"> v Babcock &amp; Brown Global Partners</w:t>
      </w:r>
      <w:r w:rsidR="00D208B8">
        <w:rPr>
          <w:color w:val="333335"/>
        </w:rPr>
        <w:t xml:space="preserve"> [2010] EWHC 2176 (Ch) [2011] </w:t>
      </w:r>
      <w:r w:rsidR="00EC2AC2">
        <w:rPr>
          <w:color w:val="333335"/>
        </w:rPr>
        <w:t>Ch 296, Norris J approved</w:t>
      </w:r>
      <w:r w:rsidR="00F31071">
        <w:rPr>
          <w:color w:val="333335"/>
        </w:rPr>
        <w:t xml:space="preserve"> the </w:t>
      </w:r>
      <w:r w:rsidR="00F31071" w:rsidRPr="00F31071">
        <w:rPr>
          <w:color w:val="333335"/>
        </w:rPr>
        <w:t xml:space="preserve">statement of the law in </w:t>
      </w:r>
      <w:r w:rsidR="00F31071" w:rsidRPr="00D32628">
        <w:rPr>
          <w:i/>
          <w:iCs/>
          <w:color w:val="333335"/>
        </w:rPr>
        <w:t>The Law of Privilege</w:t>
      </w:r>
      <w:r w:rsidR="00F31071" w:rsidRPr="00F31071">
        <w:rPr>
          <w:color w:val="333335"/>
        </w:rPr>
        <w:t xml:space="preserve"> (2006), ed Bankim Thanki QC, para 6.12: </w:t>
      </w:r>
    </w:p>
    <w:p w14:paraId="090C8EE2" w14:textId="6E742148" w:rsidR="004A7823" w:rsidRDefault="005E28F2" w:rsidP="00390135">
      <w:pPr>
        <w:pStyle w:val="NormalWeb"/>
        <w:spacing w:before="240" w:after="0" w:line="276" w:lineRule="auto"/>
        <w:ind w:left="720"/>
        <w:textAlignment w:val="baseline"/>
        <w:rPr>
          <w:i/>
          <w:iCs/>
          <w:color w:val="333335"/>
        </w:rPr>
      </w:pPr>
      <w:r w:rsidRPr="0031499B">
        <w:rPr>
          <w:i/>
          <w:iCs/>
          <w:color w:val="333335"/>
        </w:rPr>
        <w:t>“</w:t>
      </w:r>
      <w:r w:rsidR="00F31071" w:rsidRPr="0031499B">
        <w:rPr>
          <w:i/>
          <w:iCs/>
          <w:color w:val="333335"/>
        </w:rPr>
        <w:t xml:space="preserve">in order for joint privilege to arise the joint interest must exist at the time that the communication comes into existence. If the parties subsequently fall out and sue one another, neither of them can claim privilege as against the other in respect of any documents that are caught </w:t>
      </w:r>
      <w:r w:rsidR="00996777" w:rsidRPr="0031499B">
        <w:rPr>
          <w:i/>
          <w:iCs/>
          <w:color w:val="333335"/>
        </w:rPr>
        <w:t>by the joint privilege, as the original joint interest is not destroyed by a</w:t>
      </w:r>
      <w:r w:rsidR="0031499B" w:rsidRPr="0031499B">
        <w:rPr>
          <w:i/>
          <w:iCs/>
          <w:color w:val="333335"/>
        </w:rPr>
        <w:t xml:space="preserve"> </w:t>
      </w:r>
      <w:r w:rsidR="00996777" w:rsidRPr="0031499B">
        <w:rPr>
          <w:i/>
          <w:iCs/>
          <w:color w:val="333335"/>
        </w:rPr>
        <w:t>subsequent disagreement between the parties.</w:t>
      </w:r>
      <w:r w:rsidR="002A2EE0">
        <w:rPr>
          <w:i/>
          <w:iCs/>
          <w:color w:val="333335"/>
        </w:rPr>
        <w:t>”</w:t>
      </w:r>
    </w:p>
    <w:p w14:paraId="1E26604D" w14:textId="77777777" w:rsidR="00B94844" w:rsidRDefault="00B94844" w:rsidP="00390135">
      <w:pPr>
        <w:pStyle w:val="NormalWeb"/>
        <w:spacing w:before="240" w:after="0" w:line="276" w:lineRule="auto"/>
        <w:ind w:left="720"/>
        <w:textAlignment w:val="baseline"/>
        <w:rPr>
          <w:i/>
          <w:iCs/>
          <w:color w:val="333335"/>
        </w:rPr>
      </w:pPr>
    </w:p>
    <w:p w14:paraId="5C0A9B97" w14:textId="708179EB" w:rsidR="00E234E9" w:rsidRDefault="009A29F9" w:rsidP="00FF2CBE">
      <w:pPr>
        <w:pStyle w:val="NormalWeb"/>
        <w:numPr>
          <w:ilvl w:val="0"/>
          <w:numId w:val="13"/>
        </w:numPr>
        <w:tabs>
          <w:tab w:val="left" w:pos="450"/>
        </w:tabs>
        <w:spacing w:before="240" w:after="0" w:line="360" w:lineRule="auto"/>
        <w:ind w:left="450" w:hanging="450"/>
        <w:jc w:val="both"/>
        <w:textAlignment w:val="baseline"/>
        <w:rPr>
          <w:color w:val="333335"/>
        </w:rPr>
      </w:pPr>
      <w:r w:rsidRPr="006D7E9E">
        <w:rPr>
          <w:color w:val="333335"/>
        </w:rPr>
        <w:t>Paragraphs 6.7-6.9</w:t>
      </w:r>
      <w:r w:rsidR="00CA4F6B" w:rsidRPr="006D7E9E">
        <w:rPr>
          <w:color w:val="333335"/>
        </w:rPr>
        <w:t xml:space="preserve"> were referred to and set out</w:t>
      </w:r>
      <w:r w:rsidR="00D04EB9">
        <w:rPr>
          <w:color w:val="333335"/>
        </w:rPr>
        <w:t xml:space="preserve"> with apparent approval</w:t>
      </w:r>
      <w:r w:rsidR="00CA4F6B" w:rsidRPr="006D7E9E">
        <w:rPr>
          <w:color w:val="333335"/>
        </w:rPr>
        <w:t xml:space="preserve"> in the</w:t>
      </w:r>
      <w:r w:rsidR="006D7E9E" w:rsidRPr="006D7E9E">
        <w:rPr>
          <w:color w:val="333335"/>
        </w:rPr>
        <w:t xml:space="preserve"> Court of Appeal </w:t>
      </w:r>
      <w:r w:rsidR="00CA4F6B" w:rsidRPr="006D7E9E">
        <w:rPr>
          <w:color w:val="333335"/>
        </w:rPr>
        <w:t>judgments of Clarke</w:t>
      </w:r>
      <w:r w:rsidR="00D04EB9">
        <w:rPr>
          <w:color w:val="333335"/>
        </w:rPr>
        <w:t xml:space="preserve"> </w:t>
      </w:r>
      <w:r w:rsidR="00CA4F6B" w:rsidRPr="006D7E9E">
        <w:rPr>
          <w:color w:val="333335"/>
        </w:rPr>
        <w:t xml:space="preserve">P and </w:t>
      </w:r>
      <w:r w:rsidR="00E234E9" w:rsidRPr="006D7E9E">
        <w:rPr>
          <w:color w:val="333335"/>
        </w:rPr>
        <w:t>S</w:t>
      </w:r>
      <w:r w:rsidR="00CA4F6B" w:rsidRPr="006D7E9E">
        <w:rPr>
          <w:color w:val="333335"/>
        </w:rPr>
        <w:t>ubair</w:t>
      </w:r>
      <w:r w:rsidR="00E234E9" w:rsidRPr="006D7E9E">
        <w:rPr>
          <w:color w:val="333335"/>
        </w:rPr>
        <w:t xml:space="preserve">-Williams JA </w:t>
      </w:r>
      <w:r w:rsidR="002B5BCC">
        <w:rPr>
          <w:color w:val="333335"/>
        </w:rPr>
        <w:t>i</w:t>
      </w:r>
      <w:r w:rsidR="006D7E9E">
        <w:rPr>
          <w:color w:val="333335"/>
        </w:rPr>
        <w:t xml:space="preserve">n </w:t>
      </w:r>
      <w:r w:rsidR="00D04EB9">
        <w:rPr>
          <w:i/>
          <w:iCs/>
          <w:color w:val="333335"/>
        </w:rPr>
        <w:t>W</w:t>
      </w:r>
      <w:r w:rsidR="006D7E9E" w:rsidRPr="00D04EB9">
        <w:rPr>
          <w:i/>
          <w:iCs/>
          <w:color w:val="333335"/>
        </w:rPr>
        <w:t xml:space="preserve">ang v </w:t>
      </w:r>
      <w:r w:rsidR="002B5BCC" w:rsidRPr="00D04EB9">
        <w:rPr>
          <w:i/>
          <w:iCs/>
          <w:color w:val="333335"/>
        </w:rPr>
        <w:t xml:space="preserve">Grand View Private Trust Co Limited </w:t>
      </w:r>
      <w:r w:rsidR="002B5BCC">
        <w:rPr>
          <w:color w:val="333335"/>
        </w:rPr>
        <w:t>[2021] Bda LR 29</w:t>
      </w:r>
      <w:r w:rsidR="005F5A87">
        <w:rPr>
          <w:color w:val="333335"/>
        </w:rPr>
        <w:t>, at [77]</w:t>
      </w:r>
      <w:r w:rsidR="001A2CBC">
        <w:rPr>
          <w:color w:val="333335"/>
        </w:rPr>
        <w:t>, [138] and [139].</w:t>
      </w:r>
    </w:p>
    <w:p w14:paraId="534FDD4B" w14:textId="77777777" w:rsidR="001A2CBC" w:rsidRDefault="001A2CBC" w:rsidP="002A2EE0">
      <w:pPr>
        <w:pStyle w:val="NormalWeb"/>
        <w:spacing w:before="240" w:after="0" w:line="360" w:lineRule="auto"/>
        <w:textAlignment w:val="baseline"/>
        <w:rPr>
          <w:color w:val="333335"/>
        </w:rPr>
      </w:pPr>
    </w:p>
    <w:p w14:paraId="4B5F8369" w14:textId="73BFFD7D" w:rsidR="001A2CBC" w:rsidRDefault="00CB5B48" w:rsidP="00FF2CBE">
      <w:pPr>
        <w:pStyle w:val="NormalWeb"/>
        <w:numPr>
          <w:ilvl w:val="0"/>
          <w:numId w:val="13"/>
        </w:numPr>
        <w:tabs>
          <w:tab w:val="left" w:pos="450"/>
        </w:tabs>
        <w:spacing w:before="240" w:after="0" w:line="360" w:lineRule="auto"/>
        <w:ind w:left="450" w:hanging="450"/>
        <w:jc w:val="both"/>
        <w:textAlignment w:val="baseline"/>
        <w:rPr>
          <w:color w:val="333335"/>
        </w:rPr>
      </w:pPr>
      <w:r>
        <w:rPr>
          <w:color w:val="333335"/>
        </w:rPr>
        <w:t>The Court of Appeal decision in</w:t>
      </w:r>
      <w:r w:rsidR="00D37D54">
        <w:rPr>
          <w:color w:val="333335"/>
        </w:rPr>
        <w:t xml:space="preserve"> </w:t>
      </w:r>
      <w:r w:rsidR="00D37D54" w:rsidRPr="008C6595">
        <w:rPr>
          <w:i/>
          <w:iCs/>
          <w:color w:val="333335"/>
        </w:rPr>
        <w:t>CIA Barca</w:t>
      </w:r>
      <w:r w:rsidR="003216D6" w:rsidRPr="008C6595">
        <w:rPr>
          <w:i/>
          <w:iCs/>
          <w:color w:val="333335"/>
        </w:rPr>
        <w:t xml:space="preserve"> De Panama S.A. v George Wimpey &amp; Co Ltd </w:t>
      </w:r>
      <w:r w:rsidR="003216D6">
        <w:rPr>
          <w:color w:val="333335"/>
        </w:rPr>
        <w:t>[</w:t>
      </w:r>
      <w:r w:rsidR="005A180D">
        <w:rPr>
          <w:color w:val="333335"/>
        </w:rPr>
        <w:t>1980] Lloyd’s Law Reports 598</w:t>
      </w:r>
      <w:r w:rsidR="00D45422">
        <w:rPr>
          <w:color w:val="333335"/>
        </w:rPr>
        <w:t>, further support the proposition that the relevant time for the consideration of the joint interest</w:t>
      </w:r>
      <w:r w:rsidR="00376F03">
        <w:rPr>
          <w:color w:val="333335"/>
        </w:rPr>
        <w:t xml:space="preserve"> is at the time of communication. In this case in the 1960s Barca</w:t>
      </w:r>
      <w:r w:rsidR="001F01EA">
        <w:rPr>
          <w:color w:val="333335"/>
        </w:rPr>
        <w:t xml:space="preserve"> and Wimpey formed a company called DLW each having 50% holding. The object of the joint venture was to provide services to the oil companies and all or most of DLW</w:t>
      </w:r>
      <w:r w:rsidR="00967137">
        <w:rPr>
          <w:color w:val="333335"/>
        </w:rPr>
        <w:t>’s work was undertaken in the Middle East. In 1972, the parties decided to terminate the joint venture, the chosen method being that Wimpey should buy Barca’s interest in DLW,</w:t>
      </w:r>
      <w:r w:rsidR="00D27A0D">
        <w:rPr>
          <w:color w:val="333335"/>
        </w:rPr>
        <w:t xml:space="preserve"> and entered into an agreement which provided in detail how this was to be achieved. One outstanding item</w:t>
      </w:r>
      <w:r w:rsidR="00E57D65">
        <w:rPr>
          <w:color w:val="333335"/>
        </w:rPr>
        <w:t xml:space="preserve"> under the agreement was the settlement of disputed claims between </w:t>
      </w:r>
      <w:r w:rsidR="00393BF4">
        <w:rPr>
          <w:color w:val="333335"/>
        </w:rPr>
        <w:t>DLW</w:t>
      </w:r>
      <w:r w:rsidR="00E57D65">
        <w:rPr>
          <w:color w:val="333335"/>
        </w:rPr>
        <w:t xml:space="preserve"> and Aramco</w:t>
      </w:r>
      <w:r w:rsidR="00393BF4">
        <w:rPr>
          <w:color w:val="333335"/>
        </w:rPr>
        <w:t>. Negotiation of the disputed claims arising out of the DLW contracts</w:t>
      </w:r>
      <w:r w:rsidR="005D2BC6">
        <w:rPr>
          <w:color w:val="333335"/>
        </w:rPr>
        <w:t xml:space="preserve"> were conducted by Wimpey and Aramco in May 1975 a settlement was agreed. No approval written or otherwise of Barca was ever sought when the compromise was concluded nor were Barca informed in advance of the terms of th</w:t>
      </w:r>
      <w:r w:rsidR="00A7047C">
        <w:rPr>
          <w:color w:val="333335"/>
        </w:rPr>
        <w:t>at</w:t>
      </w:r>
      <w:r w:rsidR="005D2BC6">
        <w:rPr>
          <w:color w:val="333335"/>
        </w:rPr>
        <w:t xml:space="preserve"> agreement</w:t>
      </w:r>
      <w:r w:rsidR="00A7047C">
        <w:rPr>
          <w:color w:val="333335"/>
        </w:rPr>
        <w:t>. Parker rejected the settlement</w:t>
      </w:r>
      <w:r w:rsidR="00AF75E2">
        <w:rPr>
          <w:color w:val="333335"/>
        </w:rPr>
        <w:t xml:space="preserve"> and sought discovery of documents in relation to this claim</w:t>
      </w:r>
      <w:r w:rsidR="009D6056">
        <w:rPr>
          <w:color w:val="333335"/>
        </w:rPr>
        <w:t xml:space="preserve"> including documents which would be claimed with the subject of legal professional privilege.</w:t>
      </w:r>
    </w:p>
    <w:p w14:paraId="0DB1CFAF" w14:textId="77777777" w:rsidR="009D6056" w:rsidRDefault="009D6056" w:rsidP="002A2EE0">
      <w:pPr>
        <w:pStyle w:val="NormalWeb"/>
        <w:spacing w:before="240" w:after="0" w:line="360" w:lineRule="auto"/>
        <w:textAlignment w:val="baseline"/>
        <w:rPr>
          <w:color w:val="333335"/>
        </w:rPr>
      </w:pPr>
    </w:p>
    <w:p w14:paraId="3972E601" w14:textId="589D2AEA" w:rsidR="009D6056" w:rsidRDefault="00535164" w:rsidP="00FF2CBE">
      <w:pPr>
        <w:pStyle w:val="NormalWeb"/>
        <w:numPr>
          <w:ilvl w:val="0"/>
          <w:numId w:val="13"/>
        </w:numPr>
        <w:tabs>
          <w:tab w:val="left" w:pos="450"/>
        </w:tabs>
        <w:spacing w:before="240" w:after="0" w:line="360" w:lineRule="auto"/>
        <w:ind w:left="450" w:hanging="450"/>
        <w:jc w:val="both"/>
        <w:textAlignment w:val="baseline"/>
        <w:rPr>
          <w:color w:val="333335"/>
        </w:rPr>
      </w:pPr>
      <w:r>
        <w:rPr>
          <w:color w:val="333335"/>
        </w:rPr>
        <w:t>The Court of Appeal held that it was clear that Barker and Wimpey had a common (joint) interest in the dispute between the DLW and Aramco</w:t>
      </w:r>
      <w:r w:rsidR="00FD2745">
        <w:rPr>
          <w:color w:val="333335"/>
        </w:rPr>
        <w:t xml:space="preserve"> and up to the point where the unapproved compromise was concluded with Aramco and Wimpey there was no dispute between Wimpey and Barca and since there was no litigation between Wimpey and Barca to which the documents relating to the earlier dispute with Aramco were relevant</w:t>
      </w:r>
      <w:r w:rsidR="00B91950">
        <w:rPr>
          <w:color w:val="333335"/>
        </w:rPr>
        <w:t>, legal professional privilege for those documents could not be claimed by Wimpey.</w:t>
      </w:r>
      <w:r w:rsidR="0024717E">
        <w:rPr>
          <w:color w:val="333335"/>
        </w:rPr>
        <w:t xml:space="preserve"> </w:t>
      </w:r>
      <w:r w:rsidR="005C1AAA">
        <w:rPr>
          <w:color w:val="333335"/>
        </w:rPr>
        <w:t xml:space="preserve">The Court of Appeal </w:t>
      </w:r>
      <w:r w:rsidR="00EE6575">
        <w:rPr>
          <w:color w:val="333335"/>
        </w:rPr>
        <w:t xml:space="preserve">clearly took the view that the settlement agreement was relevant to this issue of joint </w:t>
      </w:r>
      <w:r w:rsidR="0090793B">
        <w:rPr>
          <w:color w:val="333335"/>
        </w:rPr>
        <w:t>privilege. However</w:t>
      </w:r>
      <w:r w:rsidR="00EE6575">
        <w:rPr>
          <w:color w:val="333335"/>
        </w:rPr>
        <w:t>, a</w:t>
      </w:r>
      <w:r w:rsidR="00EE0DF8">
        <w:rPr>
          <w:color w:val="333335"/>
        </w:rPr>
        <w:t xml:space="preserve">s a proposition of general application </w:t>
      </w:r>
      <w:r w:rsidR="0024717E">
        <w:rPr>
          <w:color w:val="333335"/>
        </w:rPr>
        <w:t>Bridge LJ</w:t>
      </w:r>
      <w:r w:rsidR="00EE0DF8">
        <w:rPr>
          <w:color w:val="333335"/>
        </w:rPr>
        <w:t xml:space="preserve"> held at 615 that:</w:t>
      </w:r>
    </w:p>
    <w:p w14:paraId="0C36022A" w14:textId="6694FC72" w:rsidR="00233AFC" w:rsidRPr="00190DCB" w:rsidRDefault="00233AFC" w:rsidP="00EE6575">
      <w:pPr>
        <w:pStyle w:val="NormalWeb"/>
        <w:spacing w:before="240" w:after="0" w:line="276" w:lineRule="auto"/>
        <w:ind w:left="720"/>
        <w:textAlignment w:val="baseline"/>
        <w:rPr>
          <w:i/>
          <w:iCs/>
          <w:color w:val="333335"/>
        </w:rPr>
      </w:pPr>
      <w:r w:rsidRPr="00190DCB">
        <w:rPr>
          <w:i/>
          <w:iCs/>
          <w:color w:val="333335"/>
        </w:rPr>
        <w:t>“</w:t>
      </w:r>
      <w:r w:rsidR="00E04625" w:rsidRPr="00190DCB">
        <w:rPr>
          <w:i/>
          <w:iCs/>
          <w:color w:val="333335"/>
        </w:rPr>
        <w:t>If</w:t>
      </w:r>
      <w:r w:rsidR="00466357" w:rsidRPr="00190DCB">
        <w:rPr>
          <w:i/>
          <w:iCs/>
          <w:color w:val="333335"/>
        </w:rPr>
        <w:t xml:space="preserve"> A and B have a common interest in litigation against C and </w:t>
      </w:r>
      <w:r w:rsidR="003D24DB" w:rsidRPr="00190DCB">
        <w:rPr>
          <w:i/>
          <w:iCs/>
          <w:color w:val="333335"/>
        </w:rPr>
        <w:t xml:space="preserve">if at </w:t>
      </w:r>
      <w:r w:rsidR="00466357" w:rsidRPr="00190DCB">
        <w:rPr>
          <w:i/>
          <w:iCs/>
          <w:color w:val="333335"/>
        </w:rPr>
        <w:t xml:space="preserve">that point there is no dispute between A and B then </w:t>
      </w:r>
      <w:r w:rsidR="00473786" w:rsidRPr="00190DCB">
        <w:rPr>
          <w:i/>
          <w:iCs/>
          <w:color w:val="333335"/>
        </w:rPr>
        <w:t xml:space="preserve">if </w:t>
      </w:r>
      <w:r w:rsidR="00466357" w:rsidRPr="00190DCB">
        <w:rPr>
          <w:i/>
          <w:iCs/>
          <w:color w:val="333335"/>
        </w:rPr>
        <w:t>subsequently</w:t>
      </w:r>
      <w:r w:rsidR="001165D7" w:rsidRPr="00190DCB">
        <w:rPr>
          <w:i/>
          <w:iCs/>
          <w:color w:val="333335"/>
        </w:rPr>
        <w:t xml:space="preserve"> A and B fallout and litigate bet</w:t>
      </w:r>
      <w:r w:rsidR="00473786" w:rsidRPr="00190DCB">
        <w:rPr>
          <w:i/>
          <w:iCs/>
          <w:color w:val="333335"/>
        </w:rPr>
        <w:t>ween themselves and the litigation against C is relevant to the disputes between A and B</w:t>
      </w:r>
      <w:r w:rsidR="001165D7" w:rsidRPr="00190DCB">
        <w:rPr>
          <w:i/>
          <w:iCs/>
          <w:color w:val="333335"/>
        </w:rPr>
        <w:t xml:space="preserve"> then in the litigation between </w:t>
      </w:r>
      <w:r w:rsidR="00D23CEE" w:rsidRPr="00190DCB">
        <w:rPr>
          <w:i/>
          <w:iCs/>
          <w:color w:val="333335"/>
        </w:rPr>
        <w:t>A</w:t>
      </w:r>
      <w:r w:rsidR="00C97A66" w:rsidRPr="00190DCB">
        <w:rPr>
          <w:i/>
          <w:iCs/>
          <w:color w:val="333335"/>
        </w:rPr>
        <w:t xml:space="preserve"> and B neither A</w:t>
      </w:r>
      <w:r w:rsidR="005B7D62" w:rsidRPr="00190DCB">
        <w:rPr>
          <w:i/>
          <w:iCs/>
          <w:color w:val="333335"/>
        </w:rPr>
        <w:t xml:space="preserve"> nor </w:t>
      </w:r>
      <w:r w:rsidR="00C97A66" w:rsidRPr="00190DCB">
        <w:rPr>
          <w:i/>
          <w:iCs/>
          <w:color w:val="333335"/>
        </w:rPr>
        <w:t>B can claim legal professional privilege for documents which c</w:t>
      </w:r>
      <w:r w:rsidR="005B7D62" w:rsidRPr="00190DCB">
        <w:rPr>
          <w:i/>
          <w:iCs/>
          <w:color w:val="333335"/>
        </w:rPr>
        <w:t>a</w:t>
      </w:r>
      <w:r w:rsidR="00C97A66" w:rsidRPr="00190DCB">
        <w:rPr>
          <w:i/>
          <w:iCs/>
          <w:color w:val="333335"/>
        </w:rPr>
        <w:t xml:space="preserve">me into existence </w:t>
      </w:r>
      <w:r w:rsidR="00924925" w:rsidRPr="00190DCB">
        <w:rPr>
          <w:i/>
          <w:iCs/>
          <w:color w:val="333335"/>
        </w:rPr>
        <w:t>in relation to the earlier litigation against C.</w:t>
      </w:r>
    </w:p>
    <w:p w14:paraId="2154C9C7" w14:textId="1FE716CB" w:rsidR="007E789B" w:rsidRPr="00190DCB" w:rsidRDefault="00022B51" w:rsidP="00EE6575">
      <w:pPr>
        <w:pStyle w:val="NormalWeb"/>
        <w:spacing w:before="240" w:after="0" w:line="276" w:lineRule="auto"/>
        <w:ind w:left="720"/>
        <w:textAlignment w:val="baseline"/>
        <w:rPr>
          <w:i/>
          <w:iCs/>
          <w:color w:val="333335"/>
        </w:rPr>
      </w:pPr>
      <w:r w:rsidRPr="00190DCB">
        <w:rPr>
          <w:i/>
          <w:iCs/>
          <w:color w:val="333335"/>
        </w:rPr>
        <w:t xml:space="preserve">Applying that a broad general principle in the circumstances of this case, it is clear beyond argument… </w:t>
      </w:r>
      <w:r w:rsidR="00CC3B92" w:rsidRPr="00190DCB">
        <w:rPr>
          <w:i/>
          <w:iCs/>
          <w:color w:val="333335"/>
        </w:rPr>
        <w:t>t</w:t>
      </w:r>
      <w:r w:rsidRPr="00190DCB">
        <w:rPr>
          <w:i/>
          <w:iCs/>
          <w:color w:val="333335"/>
        </w:rPr>
        <w:t xml:space="preserve">hat </w:t>
      </w:r>
      <w:r w:rsidR="005D3F93" w:rsidRPr="00190DCB">
        <w:rPr>
          <w:i/>
          <w:iCs/>
          <w:color w:val="333335"/>
        </w:rPr>
        <w:t>Barca</w:t>
      </w:r>
      <w:r w:rsidRPr="00190DCB">
        <w:rPr>
          <w:i/>
          <w:iCs/>
          <w:color w:val="333335"/>
        </w:rPr>
        <w:t xml:space="preserve"> and Wimpey had a common interest in the dispute between</w:t>
      </w:r>
      <w:r w:rsidR="00A01AF8" w:rsidRPr="00190DCB">
        <w:rPr>
          <w:i/>
          <w:iCs/>
          <w:color w:val="333335"/>
        </w:rPr>
        <w:t xml:space="preserve"> DLW and Aramco and Wimpeys</w:t>
      </w:r>
      <w:r w:rsidR="00CC3B92" w:rsidRPr="00190DCB">
        <w:rPr>
          <w:i/>
          <w:iCs/>
          <w:color w:val="333335"/>
        </w:rPr>
        <w:t>, there was no dispute between B</w:t>
      </w:r>
      <w:r w:rsidR="005D3F93" w:rsidRPr="00190DCB">
        <w:rPr>
          <w:i/>
          <w:iCs/>
          <w:color w:val="333335"/>
        </w:rPr>
        <w:t>arca</w:t>
      </w:r>
      <w:r w:rsidR="00CC3B92" w:rsidRPr="00190DCB">
        <w:rPr>
          <w:i/>
          <w:iCs/>
          <w:color w:val="333335"/>
        </w:rPr>
        <w:t xml:space="preserve"> and Wimpey</w:t>
      </w:r>
      <w:r w:rsidR="005D3F93" w:rsidRPr="00190DCB">
        <w:rPr>
          <w:i/>
          <w:iCs/>
          <w:color w:val="333335"/>
        </w:rPr>
        <w:t>.</w:t>
      </w:r>
      <w:r w:rsidR="00CB2D37" w:rsidRPr="00190DCB">
        <w:rPr>
          <w:i/>
          <w:iCs/>
          <w:color w:val="333335"/>
        </w:rPr>
        <w:t xml:space="preserve"> To which the documents relating to the earlier dispute and Aramco are relevant that legal professional privilege for those documents cannot be claimed by Wimpeys.”</w:t>
      </w:r>
    </w:p>
    <w:p w14:paraId="3E96724F" w14:textId="77777777" w:rsidR="001873D0" w:rsidRDefault="001873D0" w:rsidP="002A2EE0">
      <w:pPr>
        <w:pStyle w:val="NormalWeb"/>
        <w:spacing w:before="240" w:after="0" w:line="360" w:lineRule="auto"/>
        <w:textAlignment w:val="baseline"/>
        <w:rPr>
          <w:color w:val="333335"/>
        </w:rPr>
      </w:pPr>
    </w:p>
    <w:p w14:paraId="609FDC05" w14:textId="0CC62FB7" w:rsidR="001873D0" w:rsidRDefault="001873D0" w:rsidP="0090793B">
      <w:pPr>
        <w:pStyle w:val="NormalWeb"/>
        <w:spacing w:before="240" w:after="0" w:line="276" w:lineRule="auto"/>
        <w:ind w:left="720"/>
        <w:textAlignment w:val="baseline"/>
        <w:rPr>
          <w:color w:val="333335"/>
        </w:rPr>
      </w:pPr>
      <w:r>
        <w:rPr>
          <w:color w:val="333335"/>
        </w:rPr>
        <w:t>Stephenson LJ</w:t>
      </w:r>
      <w:r w:rsidR="000A56C6">
        <w:rPr>
          <w:color w:val="333335"/>
        </w:rPr>
        <w:t xml:space="preserve"> held at page </w:t>
      </w:r>
      <w:r w:rsidR="00E55E86">
        <w:rPr>
          <w:color w:val="333335"/>
        </w:rPr>
        <w:t>615 that:</w:t>
      </w:r>
    </w:p>
    <w:p w14:paraId="2EC8EB58" w14:textId="19AE9C17" w:rsidR="00E55E86" w:rsidRDefault="00E55E86" w:rsidP="0090793B">
      <w:pPr>
        <w:pStyle w:val="NormalWeb"/>
        <w:spacing w:before="240" w:after="0" w:line="276" w:lineRule="auto"/>
        <w:ind w:left="720"/>
        <w:textAlignment w:val="baseline"/>
        <w:rPr>
          <w:i/>
          <w:iCs/>
          <w:color w:val="333335"/>
        </w:rPr>
      </w:pPr>
      <w:r w:rsidRPr="008C6595">
        <w:rPr>
          <w:i/>
          <w:iCs/>
          <w:color w:val="333335"/>
        </w:rPr>
        <w:t>“I cannot accept Mr Tackaberry’s argument that by severing their relationship of the shareholders and so on</w:t>
      </w:r>
      <w:r w:rsidR="00190DCB" w:rsidRPr="008C6595">
        <w:rPr>
          <w:i/>
          <w:iCs/>
          <w:color w:val="333335"/>
        </w:rPr>
        <w:t xml:space="preserve"> by some of the terms of the purchase agreement, the plaintiffs in some mysterious way destroyed their interest in the Aramco proceedings. If they still have that interest, they must be entitled to inspect all the documents for which privilege is claimed.”</w:t>
      </w:r>
    </w:p>
    <w:p w14:paraId="27242C76" w14:textId="77777777" w:rsidR="006F7B98" w:rsidRDefault="006F7B98" w:rsidP="00190DCB">
      <w:pPr>
        <w:pStyle w:val="NormalWeb"/>
        <w:spacing w:before="240" w:after="0" w:line="360" w:lineRule="auto"/>
        <w:ind w:left="720"/>
        <w:textAlignment w:val="baseline"/>
        <w:rPr>
          <w:i/>
          <w:iCs/>
          <w:color w:val="333335"/>
        </w:rPr>
      </w:pPr>
    </w:p>
    <w:p w14:paraId="6ECA9DC3" w14:textId="5D086BB0" w:rsidR="008C6595" w:rsidRDefault="0040291F" w:rsidP="00FF2CBE">
      <w:pPr>
        <w:pStyle w:val="NormalWeb"/>
        <w:numPr>
          <w:ilvl w:val="0"/>
          <w:numId w:val="13"/>
        </w:numPr>
        <w:tabs>
          <w:tab w:val="left" w:pos="450"/>
        </w:tabs>
        <w:spacing w:before="240" w:after="0" w:line="360" w:lineRule="auto"/>
        <w:ind w:left="450" w:hanging="450"/>
        <w:jc w:val="both"/>
        <w:textAlignment w:val="baseline"/>
        <w:rPr>
          <w:color w:val="333335"/>
        </w:rPr>
      </w:pPr>
      <w:r>
        <w:rPr>
          <w:color w:val="333335"/>
        </w:rPr>
        <w:t>Here, the documents in respect of which discover</w:t>
      </w:r>
      <w:r w:rsidR="0090793B">
        <w:rPr>
          <w:color w:val="333335"/>
        </w:rPr>
        <w:t>y is</w:t>
      </w:r>
      <w:r>
        <w:rPr>
          <w:color w:val="333335"/>
        </w:rPr>
        <w:t xml:space="preserve"> sought by the Plaintiffs came into existence when the plaintiffs were still shareholders of the company</w:t>
      </w:r>
      <w:r w:rsidR="004930A2">
        <w:rPr>
          <w:color w:val="333335"/>
        </w:rPr>
        <w:t xml:space="preserve">, a relationship which, as the English authorities appear to indicate, gives rise to joint interest privilege. The fact that the parties fallout </w:t>
      </w:r>
      <w:r w:rsidR="00186889">
        <w:rPr>
          <w:color w:val="333335"/>
        </w:rPr>
        <w:t>after</w:t>
      </w:r>
      <w:r w:rsidR="004930A2">
        <w:rPr>
          <w:color w:val="333335"/>
        </w:rPr>
        <w:t xml:space="preserve"> the relevant privileged</w:t>
      </w:r>
      <w:r w:rsidR="00E84FB7">
        <w:rPr>
          <w:color w:val="333335"/>
        </w:rPr>
        <w:t xml:space="preserve"> documents came into existence or a party is no longer in the relationship giving rise to joint interest privilege, does not affect the privileged communications which have already taken place and the documents which have already come into existence</w:t>
      </w:r>
      <w:r w:rsidR="00EA121E">
        <w:rPr>
          <w:color w:val="333335"/>
        </w:rPr>
        <w:t xml:space="preserve"> during the privileged</w:t>
      </w:r>
      <w:r w:rsidR="00DF1D71">
        <w:rPr>
          <w:color w:val="333335"/>
        </w:rPr>
        <w:t xml:space="preserve"> relationship. It follows, in the Court’s judgment, that any documents which were, at the time of their creation, the subject of joint privilege between the Company and the Plaintiffs, remain the subject of joint privilege</w:t>
      </w:r>
      <w:r w:rsidR="00FB4865">
        <w:rPr>
          <w:color w:val="333335"/>
        </w:rPr>
        <w:t xml:space="preserve"> in the present proceedings commenced by the Plaintiffs as shareholders under section 106 of the </w:t>
      </w:r>
      <w:r w:rsidR="00160701">
        <w:rPr>
          <w:color w:val="333335"/>
        </w:rPr>
        <w:t>A</w:t>
      </w:r>
      <w:r w:rsidR="00FB4865">
        <w:rPr>
          <w:color w:val="333335"/>
        </w:rPr>
        <w:t>ct.</w:t>
      </w:r>
    </w:p>
    <w:p w14:paraId="572020A8" w14:textId="77777777" w:rsidR="00065060" w:rsidRDefault="00065060" w:rsidP="0040291F">
      <w:pPr>
        <w:pStyle w:val="NormalWeb"/>
        <w:spacing w:before="240" w:after="0" w:line="360" w:lineRule="auto"/>
        <w:textAlignment w:val="baseline"/>
        <w:rPr>
          <w:color w:val="333335"/>
        </w:rPr>
      </w:pPr>
    </w:p>
    <w:p w14:paraId="1C4B6FBB" w14:textId="5D553E75" w:rsidR="00065060" w:rsidRDefault="00462235" w:rsidP="00FF2CBE">
      <w:pPr>
        <w:pStyle w:val="NormalWeb"/>
        <w:numPr>
          <w:ilvl w:val="0"/>
          <w:numId w:val="13"/>
        </w:numPr>
        <w:tabs>
          <w:tab w:val="left" w:pos="450"/>
        </w:tabs>
        <w:spacing w:before="240" w:after="0" w:line="360" w:lineRule="auto"/>
        <w:ind w:left="450" w:hanging="450"/>
        <w:jc w:val="both"/>
        <w:textAlignment w:val="baseline"/>
        <w:rPr>
          <w:color w:val="333335"/>
        </w:rPr>
      </w:pPr>
      <w:r>
        <w:rPr>
          <w:color w:val="333335"/>
        </w:rPr>
        <w:t>The Defendants argue that</w:t>
      </w:r>
      <w:r w:rsidR="00DE0D26">
        <w:rPr>
          <w:color w:val="333335"/>
        </w:rPr>
        <w:t xml:space="preserve"> </w:t>
      </w:r>
      <w:r w:rsidR="00DE0D26" w:rsidRPr="00DE0D26">
        <w:rPr>
          <w:color w:val="333335"/>
        </w:rPr>
        <w:t xml:space="preserve">Any entitlement of a shareholder to see a company’s privileged documents in litigation could not be a personal right independent of a person’s shareholding. Instead, it would be a right derived from, and incidental to, that person’s status as a member. </w:t>
      </w:r>
      <w:r w:rsidR="00445928" w:rsidRPr="00445928">
        <w:rPr>
          <w:color w:val="333335"/>
        </w:rPr>
        <w:t>It would follow</w:t>
      </w:r>
      <w:r w:rsidR="00445928">
        <w:rPr>
          <w:color w:val="333335"/>
        </w:rPr>
        <w:t>, it is contended,</w:t>
      </w:r>
      <w:r w:rsidR="00445928" w:rsidRPr="00445928">
        <w:rPr>
          <w:color w:val="333335"/>
        </w:rPr>
        <w:t xml:space="preserve"> that once a shareholder ceases to be a member, whether by transfer or cancellation of his shares, any rights to see the company’s privileged documents in litigation, like all of his rights incidental to status as a member, cease to exist and, in the case of a transfer, would be assumed by his successor in title. Therefore, </w:t>
      </w:r>
      <w:r w:rsidR="00CC1665">
        <w:rPr>
          <w:color w:val="333335"/>
        </w:rPr>
        <w:t>the Defendants contend</w:t>
      </w:r>
      <w:r w:rsidR="00445928" w:rsidRPr="00445928">
        <w:rPr>
          <w:color w:val="333335"/>
        </w:rPr>
        <w:t>, a former shareholder does not retain any “</w:t>
      </w:r>
      <w:r w:rsidR="00445928" w:rsidRPr="00094337">
        <w:rPr>
          <w:i/>
          <w:iCs/>
          <w:color w:val="333335"/>
        </w:rPr>
        <w:t>joint interest rights</w:t>
      </w:r>
      <w:r w:rsidR="00445928" w:rsidRPr="00445928">
        <w:rPr>
          <w:color w:val="333335"/>
        </w:rPr>
        <w:t>”.</w:t>
      </w:r>
    </w:p>
    <w:p w14:paraId="734EA803" w14:textId="77777777" w:rsidR="00094337" w:rsidRDefault="00094337" w:rsidP="00445928">
      <w:pPr>
        <w:pStyle w:val="NormalWeb"/>
        <w:spacing w:before="240" w:after="0" w:line="360" w:lineRule="auto"/>
        <w:textAlignment w:val="baseline"/>
        <w:rPr>
          <w:color w:val="333335"/>
        </w:rPr>
      </w:pPr>
    </w:p>
    <w:p w14:paraId="612CFA1D" w14:textId="696BFCCB" w:rsidR="00094337" w:rsidRDefault="00670C2A" w:rsidP="00FF2CBE">
      <w:pPr>
        <w:pStyle w:val="NormalWeb"/>
        <w:numPr>
          <w:ilvl w:val="0"/>
          <w:numId w:val="13"/>
        </w:numPr>
        <w:tabs>
          <w:tab w:val="left" w:pos="450"/>
        </w:tabs>
        <w:spacing w:before="240" w:after="0" w:line="360" w:lineRule="auto"/>
        <w:ind w:left="450" w:hanging="450"/>
        <w:jc w:val="both"/>
        <w:textAlignment w:val="baseline"/>
        <w:rPr>
          <w:color w:val="333335"/>
        </w:rPr>
      </w:pPr>
      <w:r>
        <w:rPr>
          <w:color w:val="333335"/>
        </w:rPr>
        <w:t xml:space="preserve">In relation to this argument advanced by the Defendants, the Court accepts Mr Hollander KC’s </w:t>
      </w:r>
      <w:r w:rsidR="00F86DE9">
        <w:rPr>
          <w:color w:val="333335"/>
        </w:rPr>
        <w:t>submission that</w:t>
      </w:r>
      <w:r w:rsidR="008A1B8A">
        <w:rPr>
          <w:color w:val="333335"/>
        </w:rPr>
        <w:t xml:space="preserve"> there is a distinction</w:t>
      </w:r>
      <w:r w:rsidR="00ED1128">
        <w:rPr>
          <w:color w:val="333335"/>
        </w:rPr>
        <w:t xml:space="preserve"> in analysis</w:t>
      </w:r>
      <w:r w:rsidR="008A1B8A">
        <w:rPr>
          <w:color w:val="333335"/>
        </w:rPr>
        <w:t xml:space="preserve"> between</w:t>
      </w:r>
      <w:r w:rsidR="00773C14">
        <w:rPr>
          <w:color w:val="333335"/>
        </w:rPr>
        <w:t xml:space="preserve"> (i)</w:t>
      </w:r>
      <w:r w:rsidR="006A279B">
        <w:rPr>
          <w:color w:val="333335"/>
        </w:rPr>
        <w:t xml:space="preserve"> documents created during a relationship which gives rise to joint interest privilege; and (ii)</w:t>
      </w:r>
      <w:r w:rsidR="00ED1128">
        <w:rPr>
          <w:color w:val="333335"/>
        </w:rPr>
        <w:t xml:space="preserve"> whether</w:t>
      </w:r>
      <w:r w:rsidR="00CB2376">
        <w:rPr>
          <w:color w:val="333335"/>
        </w:rPr>
        <w:t xml:space="preserve"> a new shareholder </w:t>
      </w:r>
      <w:r w:rsidR="00BA0511">
        <w:rPr>
          <w:color w:val="333335"/>
        </w:rPr>
        <w:t xml:space="preserve">is entitled to see the documents which were created during the period before he became a shareholder. </w:t>
      </w:r>
      <w:r w:rsidR="00000160">
        <w:rPr>
          <w:color w:val="333335"/>
        </w:rPr>
        <w:t>In relation to the documents created during the relationship which gives rise to joint interest privilege</w:t>
      </w:r>
      <w:r w:rsidR="00A16C34">
        <w:rPr>
          <w:color w:val="333335"/>
        </w:rPr>
        <w:t xml:space="preserve"> the relevant issue is </w:t>
      </w:r>
      <w:r w:rsidR="0010715F">
        <w:rPr>
          <w:color w:val="333335"/>
        </w:rPr>
        <w:t>whether the documents were created during the period of the relationship.</w:t>
      </w:r>
      <w:r w:rsidR="005D5DC2">
        <w:rPr>
          <w:color w:val="333335"/>
        </w:rPr>
        <w:t xml:space="preserve"> The privilege </w:t>
      </w:r>
      <w:r w:rsidR="004B2161">
        <w:rPr>
          <w:color w:val="333335"/>
        </w:rPr>
        <w:t>does not disappear when the shareholder</w:t>
      </w:r>
      <w:r w:rsidR="00C14CFA">
        <w:rPr>
          <w:color w:val="333335"/>
        </w:rPr>
        <w:t xml:space="preserve"> ceases to be a shareholder.</w:t>
      </w:r>
      <w:r w:rsidR="0010715F">
        <w:rPr>
          <w:color w:val="333335"/>
        </w:rPr>
        <w:t xml:space="preserve"> </w:t>
      </w:r>
      <w:r w:rsidR="00C37F51">
        <w:rPr>
          <w:color w:val="333335"/>
        </w:rPr>
        <w:t>In relation to whether a new shareholder</w:t>
      </w:r>
      <w:r w:rsidR="00877448">
        <w:rPr>
          <w:color w:val="333335"/>
        </w:rPr>
        <w:t xml:space="preserve"> is entitled to see the documents which were created during the period before </w:t>
      </w:r>
      <w:r w:rsidR="0005152D">
        <w:rPr>
          <w:color w:val="333335"/>
        </w:rPr>
        <w:t>he</w:t>
      </w:r>
      <w:r w:rsidR="00877448">
        <w:rPr>
          <w:color w:val="333335"/>
        </w:rPr>
        <w:t xml:space="preserve"> became a shareholder, the analysis is indeed concerned with property rights.</w:t>
      </w:r>
      <w:r w:rsidR="006526F7">
        <w:rPr>
          <w:color w:val="333335"/>
        </w:rPr>
        <w:t xml:space="preserve"> Authorities</w:t>
      </w:r>
      <w:r w:rsidR="00980F96">
        <w:rPr>
          <w:color w:val="333335"/>
        </w:rPr>
        <w:t xml:space="preserve"> show that shareholders are entitled to be treated as successors in title of prior shareholders for purposes of legal professional privilege. </w:t>
      </w:r>
      <w:r w:rsidR="00AD70A3">
        <w:rPr>
          <w:color w:val="333335"/>
        </w:rPr>
        <w:t>Under t</w:t>
      </w:r>
      <w:r w:rsidR="00980F96">
        <w:rPr>
          <w:color w:val="333335"/>
        </w:rPr>
        <w:t>his analysis</w:t>
      </w:r>
      <w:r w:rsidR="00404DD8">
        <w:rPr>
          <w:color w:val="333335"/>
        </w:rPr>
        <w:t xml:space="preserve"> privilege can be regarded as an incident of a property right, such that privilege may be asserted by successor in title to the property (</w:t>
      </w:r>
      <w:r w:rsidR="0087560F" w:rsidRPr="006904F5">
        <w:rPr>
          <w:i/>
          <w:iCs/>
          <w:color w:val="333335"/>
        </w:rPr>
        <w:t>Hollander on Documentary Evidence</w:t>
      </w:r>
      <w:r w:rsidR="001C2F60">
        <w:rPr>
          <w:color w:val="333335"/>
        </w:rPr>
        <w:t xml:space="preserve"> </w:t>
      </w:r>
      <w:r w:rsidR="001C2F60" w:rsidRPr="001C2F60">
        <w:rPr>
          <w:color w:val="333335"/>
        </w:rPr>
        <w:t xml:space="preserve">13-08 and 19-04, approved in </w:t>
      </w:r>
      <w:r w:rsidR="001C2F60" w:rsidRPr="006904F5">
        <w:rPr>
          <w:i/>
          <w:iCs/>
          <w:color w:val="333335"/>
        </w:rPr>
        <w:t>Travelers Insurance Company v Armstrong</w:t>
      </w:r>
      <w:r w:rsidR="001C2F60" w:rsidRPr="001C2F60">
        <w:rPr>
          <w:color w:val="333335"/>
        </w:rPr>
        <w:t xml:space="preserve"> [2021] EWCA Civ 978</w:t>
      </w:r>
      <w:r w:rsidR="002D5285">
        <w:rPr>
          <w:color w:val="333335"/>
        </w:rPr>
        <w:t xml:space="preserve">; </w:t>
      </w:r>
      <w:r w:rsidR="007B6BAC" w:rsidRPr="006904F5">
        <w:rPr>
          <w:i/>
          <w:iCs/>
          <w:color w:val="333335"/>
        </w:rPr>
        <w:t xml:space="preserve">Surface Technology plc v Young </w:t>
      </w:r>
      <w:r w:rsidR="007B6BAC" w:rsidRPr="007B6BAC">
        <w:rPr>
          <w:color w:val="333335"/>
        </w:rPr>
        <w:t>[2002] FSR 25</w:t>
      </w:r>
      <w:r w:rsidR="007B6BAC">
        <w:rPr>
          <w:color w:val="333335"/>
        </w:rPr>
        <w:t>;</w:t>
      </w:r>
      <w:r w:rsidR="00B96616">
        <w:rPr>
          <w:color w:val="333335"/>
        </w:rPr>
        <w:t xml:space="preserve"> </w:t>
      </w:r>
      <w:r w:rsidR="00B96616" w:rsidRPr="006904F5">
        <w:rPr>
          <w:i/>
          <w:iCs/>
          <w:color w:val="333335"/>
        </w:rPr>
        <w:t>Winterthur Swiss Insurance v AG (Manchester) Ltd</w:t>
      </w:r>
      <w:r w:rsidR="00B96616" w:rsidRPr="00B96616">
        <w:rPr>
          <w:color w:val="333335"/>
        </w:rPr>
        <w:t xml:space="preserve"> [2006] EWHC 839 (Comm)</w:t>
      </w:r>
      <w:r w:rsidR="00A110C5">
        <w:rPr>
          <w:color w:val="333335"/>
        </w:rPr>
        <w:t xml:space="preserve">; </w:t>
      </w:r>
      <w:r w:rsidR="00A110C5" w:rsidRPr="006904F5">
        <w:rPr>
          <w:i/>
          <w:iCs/>
          <w:color w:val="333335"/>
        </w:rPr>
        <w:t>Crescent Farm v Sterling Offices</w:t>
      </w:r>
      <w:r w:rsidR="00A110C5" w:rsidRPr="00A110C5">
        <w:rPr>
          <w:color w:val="333335"/>
        </w:rPr>
        <w:t xml:space="preserve"> [1972] Ch 553</w:t>
      </w:r>
      <w:r w:rsidR="00A110C5">
        <w:rPr>
          <w:color w:val="333335"/>
        </w:rPr>
        <w:t xml:space="preserve">; and </w:t>
      </w:r>
      <w:r w:rsidR="006904F5" w:rsidRPr="006904F5">
        <w:rPr>
          <w:i/>
          <w:iCs/>
          <w:color w:val="333335"/>
        </w:rPr>
        <w:t>St. John's Trust Company (PVT) v James Watlington et al</w:t>
      </w:r>
      <w:r w:rsidR="006904F5" w:rsidRPr="006904F5">
        <w:rPr>
          <w:color w:val="333335"/>
        </w:rPr>
        <w:t>. 2015 SC (Bda) 447 Civ 14 December 2020</w:t>
      </w:r>
      <w:r w:rsidR="006904F5">
        <w:rPr>
          <w:color w:val="333335"/>
        </w:rPr>
        <w:t>)</w:t>
      </w:r>
    </w:p>
    <w:p w14:paraId="6A94C627" w14:textId="77777777" w:rsidR="008D6937" w:rsidRDefault="008D6937" w:rsidP="006904F5">
      <w:pPr>
        <w:pStyle w:val="NormalWeb"/>
        <w:spacing w:before="240" w:after="0" w:line="360" w:lineRule="auto"/>
        <w:textAlignment w:val="baseline"/>
        <w:rPr>
          <w:color w:val="333335"/>
        </w:rPr>
      </w:pPr>
    </w:p>
    <w:p w14:paraId="77667134" w14:textId="53049DA9" w:rsidR="008D6937" w:rsidRDefault="00704CEE" w:rsidP="006904F5">
      <w:pPr>
        <w:pStyle w:val="NormalWeb"/>
        <w:spacing w:before="240" w:after="0" w:line="360" w:lineRule="auto"/>
        <w:textAlignment w:val="baseline"/>
        <w:rPr>
          <w:b/>
          <w:bCs/>
          <w:i/>
          <w:iCs/>
          <w:color w:val="333335"/>
        </w:rPr>
      </w:pPr>
      <w:r w:rsidRPr="00723845">
        <w:rPr>
          <w:b/>
          <w:bCs/>
          <w:i/>
          <w:iCs/>
          <w:color w:val="333335"/>
        </w:rPr>
        <w:t>Hostile</w:t>
      </w:r>
      <w:r w:rsidR="00723845" w:rsidRPr="00723845">
        <w:rPr>
          <w:b/>
          <w:bCs/>
          <w:i/>
          <w:iCs/>
          <w:color w:val="333335"/>
        </w:rPr>
        <w:t xml:space="preserve"> litigation within reasonable contemplation exception</w:t>
      </w:r>
    </w:p>
    <w:p w14:paraId="5B2A98FA" w14:textId="77777777" w:rsidR="00723845" w:rsidRDefault="00723845" w:rsidP="006904F5">
      <w:pPr>
        <w:pStyle w:val="NormalWeb"/>
        <w:spacing w:before="240" w:after="0" w:line="360" w:lineRule="auto"/>
        <w:textAlignment w:val="baseline"/>
        <w:rPr>
          <w:b/>
          <w:bCs/>
          <w:i/>
          <w:iCs/>
          <w:color w:val="333335"/>
        </w:rPr>
      </w:pPr>
    </w:p>
    <w:p w14:paraId="66212898" w14:textId="44F57296" w:rsidR="00723845" w:rsidRDefault="0046091D" w:rsidP="00FF2CBE">
      <w:pPr>
        <w:pStyle w:val="NormalWeb"/>
        <w:numPr>
          <w:ilvl w:val="0"/>
          <w:numId w:val="13"/>
        </w:numPr>
        <w:tabs>
          <w:tab w:val="left" w:pos="450"/>
        </w:tabs>
        <w:spacing w:before="240" w:after="0" w:line="360" w:lineRule="auto"/>
        <w:ind w:left="450" w:hanging="450"/>
        <w:jc w:val="both"/>
        <w:textAlignment w:val="baseline"/>
        <w:rPr>
          <w:color w:val="333335"/>
        </w:rPr>
      </w:pPr>
      <w:r>
        <w:rPr>
          <w:color w:val="333335"/>
        </w:rPr>
        <w:t>T</w:t>
      </w:r>
      <w:r w:rsidR="00694582">
        <w:rPr>
          <w:color w:val="333335"/>
        </w:rPr>
        <w:t>he Defendants submit that even if the joint privilege rule applies to the circumstances of this case</w:t>
      </w:r>
      <w:r w:rsidR="009D6AA1">
        <w:rPr>
          <w:color w:val="333335"/>
        </w:rPr>
        <w:t>, the</w:t>
      </w:r>
      <w:r w:rsidR="006B03A6">
        <w:rPr>
          <w:color w:val="333335"/>
        </w:rPr>
        <w:t xml:space="preserve"> exception is engaged in that the prospect of litigation ha</w:t>
      </w:r>
      <w:r w:rsidR="00590620">
        <w:rPr>
          <w:color w:val="333335"/>
        </w:rPr>
        <w:t>d</w:t>
      </w:r>
      <w:r w:rsidR="006B03A6">
        <w:rPr>
          <w:color w:val="333335"/>
        </w:rPr>
        <w:t xml:space="preserve"> been contemplated since the Amalgamation was first considered on the basis that</w:t>
      </w:r>
      <w:r w:rsidR="002127DF">
        <w:rPr>
          <w:color w:val="333335"/>
        </w:rPr>
        <w:t xml:space="preserve"> the Company was advised that an amalgamation would</w:t>
      </w:r>
      <w:r w:rsidR="00196D36">
        <w:rPr>
          <w:color w:val="333335"/>
        </w:rPr>
        <w:t xml:space="preserve"> afford any shareholder a statutory right to have the fair value of their</w:t>
      </w:r>
      <w:r w:rsidR="00514735">
        <w:rPr>
          <w:color w:val="333335"/>
        </w:rPr>
        <w:t xml:space="preserve"> respective shares appraised. It follows, argue the Defendants, that the Company </w:t>
      </w:r>
      <w:r w:rsidR="004C6B65">
        <w:rPr>
          <w:color w:val="333335"/>
        </w:rPr>
        <w:t>(and now Jardine Strategic) can assert privilege</w:t>
      </w:r>
      <w:r w:rsidR="004C5698">
        <w:rPr>
          <w:color w:val="333335"/>
        </w:rPr>
        <w:t xml:space="preserve"> vis-à-vis its former shareholders in relation to advice received in connection with, or relevant to, such litigation.</w:t>
      </w:r>
    </w:p>
    <w:p w14:paraId="2637D4F6" w14:textId="77777777" w:rsidR="004C5698" w:rsidRDefault="004C5698" w:rsidP="00E73B03">
      <w:pPr>
        <w:pStyle w:val="NormalWeb"/>
        <w:spacing w:before="240" w:after="0" w:line="360" w:lineRule="auto"/>
        <w:textAlignment w:val="baseline"/>
        <w:rPr>
          <w:color w:val="333335"/>
        </w:rPr>
      </w:pPr>
    </w:p>
    <w:p w14:paraId="575C35B8" w14:textId="7F028116" w:rsidR="00BC1462" w:rsidRPr="00BC1462" w:rsidRDefault="00D07BEF" w:rsidP="00FF2CBE">
      <w:pPr>
        <w:pStyle w:val="NormalWeb"/>
        <w:numPr>
          <w:ilvl w:val="0"/>
          <w:numId w:val="13"/>
        </w:numPr>
        <w:tabs>
          <w:tab w:val="left" w:pos="450"/>
        </w:tabs>
        <w:spacing w:before="240" w:after="0" w:line="360" w:lineRule="auto"/>
        <w:ind w:left="450" w:hanging="450"/>
        <w:jc w:val="both"/>
        <w:textAlignment w:val="baseline"/>
        <w:rPr>
          <w:color w:val="333335"/>
        </w:rPr>
      </w:pPr>
      <w:r>
        <w:rPr>
          <w:color w:val="333335"/>
        </w:rPr>
        <w:t>The Defendants contend</w:t>
      </w:r>
      <w:r w:rsidR="00E10475">
        <w:rPr>
          <w:color w:val="333335"/>
        </w:rPr>
        <w:t xml:space="preserve"> that</w:t>
      </w:r>
      <w:r w:rsidR="00BC1462">
        <w:rPr>
          <w:color w:val="333335"/>
        </w:rPr>
        <w:t xml:space="preserve"> </w:t>
      </w:r>
      <w:r w:rsidR="00E10475">
        <w:rPr>
          <w:color w:val="333335"/>
        </w:rPr>
        <w:t>t</w:t>
      </w:r>
      <w:r w:rsidR="00BC1462" w:rsidRPr="00BC1462">
        <w:rPr>
          <w:color w:val="333335"/>
        </w:rPr>
        <w:t>he application of th</w:t>
      </w:r>
      <w:r w:rsidR="00E10475">
        <w:rPr>
          <w:color w:val="333335"/>
        </w:rPr>
        <w:t>is exception</w:t>
      </w:r>
      <w:r w:rsidR="00BC1462" w:rsidRPr="00BC1462">
        <w:rPr>
          <w:color w:val="333335"/>
        </w:rPr>
        <w:t xml:space="preserve"> is </w:t>
      </w:r>
      <w:r w:rsidR="008C75F9" w:rsidRPr="00BC1462">
        <w:rPr>
          <w:color w:val="333335"/>
        </w:rPr>
        <w:t>fact sensitive</w:t>
      </w:r>
      <w:r w:rsidR="00BC1462" w:rsidRPr="00BC1462">
        <w:rPr>
          <w:color w:val="333335"/>
        </w:rPr>
        <w:t xml:space="preserve">. The present litigation could be (and, without waiving any privilege over legal advice received by Jardine Strategic or the Transaction Committee, was) reasonably contemplated by </w:t>
      </w:r>
      <w:r w:rsidR="00A37CCD">
        <w:rPr>
          <w:color w:val="333335"/>
        </w:rPr>
        <w:t>the Company</w:t>
      </w:r>
      <w:r w:rsidR="00BC1462" w:rsidRPr="00BC1462">
        <w:rPr>
          <w:color w:val="333335"/>
        </w:rPr>
        <w:t xml:space="preserve"> when first considering the amalgamation proposal. </w:t>
      </w:r>
      <w:r w:rsidR="00A37CCD">
        <w:rPr>
          <w:color w:val="333335"/>
        </w:rPr>
        <w:t>The Defendants say that</w:t>
      </w:r>
      <w:r w:rsidR="00BC1462" w:rsidRPr="00BC1462">
        <w:rPr>
          <w:color w:val="333335"/>
        </w:rPr>
        <w:t xml:space="preserve"> is unsurprising given: </w:t>
      </w:r>
    </w:p>
    <w:p w14:paraId="04E85C0F" w14:textId="098AD031" w:rsidR="00BC1462" w:rsidRPr="00BC1462" w:rsidRDefault="00BC1462" w:rsidP="00017756">
      <w:pPr>
        <w:pStyle w:val="NormalWeb"/>
        <w:spacing w:before="240" w:after="0" w:line="360" w:lineRule="auto"/>
        <w:ind w:left="720"/>
        <w:textAlignment w:val="baseline"/>
        <w:rPr>
          <w:color w:val="333335"/>
        </w:rPr>
      </w:pPr>
      <w:r w:rsidRPr="00BC1462">
        <w:rPr>
          <w:color w:val="333335"/>
        </w:rPr>
        <w:t>(a)</w:t>
      </w:r>
      <w:r w:rsidR="006F2B0E">
        <w:rPr>
          <w:color w:val="333335"/>
        </w:rPr>
        <w:t xml:space="preserve"> </w:t>
      </w:r>
      <w:r w:rsidRPr="00BC1462">
        <w:rPr>
          <w:color w:val="333335"/>
        </w:rPr>
        <w:t xml:space="preserve"> The</w:t>
      </w:r>
      <w:r w:rsidR="00BE68C9">
        <w:rPr>
          <w:color w:val="333335"/>
        </w:rPr>
        <w:t>re is a</w:t>
      </w:r>
      <w:r w:rsidRPr="00BC1462">
        <w:rPr>
          <w:color w:val="333335"/>
        </w:rPr>
        <w:t xml:space="preserve"> statutory right to file an action for appraisal. The Circular specifically informed shareholders of that right,</w:t>
      </w:r>
      <w:r w:rsidR="00276477">
        <w:rPr>
          <w:color w:val="333335"/>
        </w:rPr>
        <w:t xml:space="preserve"> as well as in</w:t>
      </w:r>
      <w:r w:rsidR="00F525AD">
        <w:rPr>
          <w:color w:val="333335"/>
        </w:rPr>
        <w:t xml:space="preserve"> </w:t>
      </w:r>
      <w:r w:rsidRPr="00BC1462">
        <w:rPr>
          <w:color w:val="333335"/>
        </w:rPr>
        <w:t>the letter from the Transaction Committee</w:t>
      </w:r>
      <w:r w:rsidR="000A34E4">
        <w:rPr>
          <w:color w:val="333335"/>
        </w:rPr>
        <w:t>,</w:t>
      </w:r>
      <w:r w:rsidRPr="00BC1462">
        <w:rPr>
          <w:color w:val="333335"/>
        </w:rPr>
        <w:t xml:space="preserve"> Explanatory Statement and the Notice of the Special General Meeting</w:t>
      </w:r>
      <w:r w:rsidR="00F525AD">
        <w:rPr>
          <w:color w:val="333335"/>
        </w:rPr>
        <w:t>.</w:t>
      </w:r>
      <w:r w:rsidR="00D93DEF">
        <w:rPr>
          <w:color w:val="333335"/>
        </w:rPr>
        <w:t xml:space="preserve"> The Defendants point out that n</w:t>
      </w:r>
      <w:r w:rsidR="00D93DEF" w:rsidRPr="00BC1462">
        <w:rPr>
          <w:color w:val="333335"/>
        </w:rPr>
        <w:t>o specific statutory remedy for a corporate transaction was available in any of the cases where the hostile litigation exception applied.</w:t>
      </w:r>
    </w:p>
    <w:p w14:paraId="0572C6C6" w14:textId="45B3CE91" w:rsidR="00BC1462" w:rsidRPr="00BC1462" w:rsidRDefault="00BC1462" w:rsidP="001D3BF6">
      <w:pPr>
        <w:pStyle w:val="NormalWeb"/>
        <w:spacing w:before="240" w:after="0" w:line="360" w:lineRule="auto"/>
        <w:ind w:left="720"/>
        <w:textAlignment w:val="baseline"/>
        <w:rPr>
          <w:color w:val="333335"/>
        </w:rPr>
      </w:pPr>
      <w:r w:rsidRPr="00BC1462">
        <w:rPr>
          <w:color w:val="333335"/>
        </w:rPr>
        <w:t>(b) Approximately 78% of the Plaintiffs acquired their shares (or depositary receipts) after the first announcement of the proposed Amalgamation, with the knowledge that amalgamation was a foregone conclusion (given Jardine Matheson’s direct and indirect aggregated shareholdings of ca. 85%) and merely as an arbitrage opportunity for the sole purpose of pursuing appraisal</w:t>
      </w:r>
      <w:r w:rsidR="001D3BF6">
        <w:rPr>
          <w:color w:val="333335"/>
        </w:rPr>
        <w:t xml:space="preserve"> </w:t>
      </w:r>
      <w:r w:rsidRPr="00BC1462">
        <w:rPr>
          <w:color w:val="333335"/>
        </w:rPr>
        <w:t xml:space="preserve">proceedings. </w:t>
      </w:r>
      <w:r w:rsidR="00345219">
        <w:rPr>
          <w:color w:val="333335"/>
        </w:rPr>
        <w:t>The defendants contend that</w:t>
      </w:r>
      <w:r w:rsidRPr="00BC1462">
        <w:rPr>
          <w:color w:val="333335"/>
        </w:rPr>
        <w:t xml:space="preserve"> the Plaintiffs were themselves contemplating litigation very shortly after the announcement.</w:t>
      </w:r>
      <w:r w:rsidR="00345219">
        <w:rPr>
          <w:color w:val="333335"/>
        </w:rPr>
        <w:t xml:space="preserve"> In this regard the Defendants rely upon</w:t>
      </w:r>
      <w:r w:rsidR="001F3C8D">
        <w:rPr>
          <w:color w:val="333335"/>
        </w:rPr>
        <w:t>,</w:t>
      </w:r>
      <w:r w:rsidR="003104F3">
        <w:rPr>
          <w:color w:val="333335"/>
        </w:rPr>
        <w:t xml:space="preserve"> </w:t>
      </w:r>
      <w:r w:rsidR="003104F3" w:rsidRPr="003104F3">
        <w:rPr>
          <w:color w:val="333335"/>
        </w:rPr>
        <w:t>for example, that, as at 17 March 2021, United First Partners</w:t>
      </w:r>
      <w:r w:rsidR="00993F31">
        <w:rPr>
          <w:color w:val="333335"/>
        </w:rPr>
        <w:t>,</w:t>
      </w:r>
      <w:r w:rsidR="004D3D4A">
        <w:rPr>
          <w:color w:val="333335"/>
        </w:rPr>
        <w:t xml:space="preserve"> a special situations investment and advisory group,</w:t>
      </w:r>
      <w:r w:rsidR="003104F3" w:rsidRPr="003104F3">
        <w:rPr>
          <w:color w:val="333335"/>
        </w:rPr>
        <w:t xml:space="preserve"> was “</w:t>
      </w:r>
      <w:r w:rsidR="003104F3" w:rsidRPr="003104F3">
        <w:rPr>
          <w:i/>
          <w:iCs/>
          <w:color w:val="333335"/>
        </w:rPr>
        <w:t xml:space="preserve">working with a large New-York based attorney with vast experience in dissentions in Cayman and Delaware cases” </w:t>
      </w:r>
      <w:r w:rsidR="003104F3" w:rsidRPr="00872DA0">
        <w:rPr>
          <w:color w:val="333335"/>
        </w:rPr>
        <w:t>and, already at that time, they understood</w:t>
      </w:r>
      <w:r w:rsidR="003104F3" w:rsidRPr="003104F3">
        <w:rPr>
          <w:i/>
          <w:iCs/>
          <w:color w:val="333335"/>
        </w:rPr>
        <w:t xml:space="preserve"> “that many Bermudan lawyers have been conflicted out to act for dissenters</w:t>
      </w:r>
      <w:r w:rsidR="003104F3" w:rsidRPr="003104F3">
        <w:rPr>
          <w:color w:val="333335"/>
        </w:rPr>
        <w:t>”</w:t>
      </w:r>
    </w:p>
    <w:p w14:paraId="42995293" w14:textId="27CBAB29" w:rsidR="004C5698" w:rsidRDefault="00BC1462" w:rsidP="00E73B03">
      <w:pPr>
        <w:pStyle w:val="NormalWeb"/>
        <w:spacing w:before="240" w:after="0" w:line="360" w:lineRule="auto"/>
        <w:ind w:left="720"/>
        <w:textAlignment w:val="baseline"/>
        <w:rPr>
          <w:color w:val="333335"/>
        </w:rPr>
      </w:pPr>
      <w:r w:rsidRPr="00BC1462">
        <w:rPr>
          <w:color w:val="333335"/>
        </w:rPr>
        <w:t>(c) Similar steps had been taken in relation to recent amalgamations in other jurisdictions, including by at least four of the Plaintiffs (Maso Capital Investment, Blackwell Partners LLC, Crown Managed Accounts SPC and Star V Partners) in the Cayman Islands.</w:t>
      </w:r>
    </w:p>
    <w:p w14:paraId="61C0EFC0" w14:textId="618E25A5" w:rsidR="00E10475" w:rsidRDefault="00E10475" w:rsidP="00E73B03">
      <w:pPr>
        <w:pStyle w:val="NormalWeb"/>
        <w:spacing w:before="240" w:after="0" w:line="360" w:lineRule="auto"/>
        <w:ind w:left="720"/>
        <w:textAlignment w:val="baseline"/>
        <w:rPr>
          <w:color w:val="333335"/>
        </w:rPr>
      </w:pPr>
      <w:r w:rsidRPr="00E10475">
        <w:rPr>
          <w:color w:val="333335"/>
        </w:rPr>
        <w:t>(d) In those circumstances, the Plaintiffs’ contention that hostile litigation could only reasonably be contemplated from 12 April 2021, the date on which the Amalgamation was approved by shareholders, is entirely unrealistic.</w:t>
      </w:r>
    </w:p>
    <w:p w14:paraId="5E33F556" w14:textId="77777777" w:rsidR="00337E1E" w:rsidRDefault="00337E1E" w:rsidP="00E73B03">
      <w:pPr>
        <w:pStyle w:val="NormalWeb"/>
        <w:spacing w:before="240" w:after="0" w:line="360" w:lineRule="auto"/>
        <w:ind w:left="720"/>
        <w:textAlignment w:val="baseline"/>
        <w:rPr>
          <w:color w:val="333335"/>
        </w:rPr>
      </w:pPr>
    </w:p>
    <w:p w14:paraId="3754F41D" w14:textId="40E82EFD" w:rsidR="00C8302B" w:rsidRDefault="00224EEA" w:rsidP="00FF2CBE">
      <w:pPr>
        <w:pStyle w:val="NormalWeb"/>
        <w:numPr>
          <w:ilvl w:val="0"/>
          <w:numId w:val="13"/>
        </w:numPr>
        <w:tabs>
          <w:tab w:val="left" w:pos="450"/>
        </w:tabs>
        <w:spacing w:before="240" w:after="0" w:line="360" w:lineRule="auto"/>
        <w:ind w:left="450" w:hanging="450"/>
        <w:jc w:val="both"/>
        <w:textAlignment w:val="baseline"/>
        <w:rPr>
          <w:color w:val="333335"/>
        </w:rPr>
      </w:pPr>
      <w:r>
        <w:rPr>
          <w:color w:val="333335"/>
        </w:rPr>
        <w:t>The Plaintiffs submit that the exception has no application</w:t>
      </w:r>
      <w:r w:rsidR="00FF2ECE">
        <w:rPr>
          <w:color w:val="333335"/>
        </w:rPr>
        <w:t xml:space="preserve"> </w:t>
      </w:r>
      <w:r w:rsidR="00FF2ECE" w:rsidRPr="00FF2ECE">
        <w:rPr>
          <w:color w:val="333335"/>
        </w:rPr>
        <w:t xml:space="preserve">where the real hostility or conflict is not between company and shareholder but between different shareholders. </w:t>
      </w:r>
      <w:r w:rsidR="004113B8">
        <w:rPr>
          <w:color w:val="333335"/>
        </w:rPr>
        <w:t>The Plaintiffs rely upon</w:t>
      </w:r>
      <w:r w:rsidR="00FF2ECE" w:rsidRPr="00FF2ECE">
        <w:rPr>
          <w:color w:val="333335"/>
        </w:rPr>
        <w:t xml:space="preserve"> </w:t>
      </w:r>
      <w:r w:rsidR="00FF2ECE" w:rsidRPr="004113B8">
        <w:rPr>
          <w:i/>
          <w:iCs/>
          <w:color w:val="333335"/>
        </w:rPr>
        <w:t>Re Hydrosan</w:t>
      </w:r>
      <w:r w:rsidR="00FF2ECE" w:rsidRPr="00FF2ECE">
        <w:rPr>
          <w:color w:val="333335"/>
        </w:rPr>
        <w:t xml:space="preserve"> [1991] BCC 19</w:t>
      </w:r>
      <w:r w:rsidR="004113B8">
        <w:rPr>
          <w:color w:val="333335"/>
        </w:rPr>
        <w:t>, where</w:t>
      </w:r>
      <w:r w:rsidR="00FF2ECE" w:rsidRPr="00FF2ECE">
        <w:rPr>
          <w:color w:val="333335"/>
        </w:rPr>
        <w:t xml:space="preserve"> Harman J held that a contributory’s petition for a just and equitable winding up was not hostile litigation by a shareholder against the company. It is a claim by a shareholder based upon wrongful acts by other shareholders or directors which have amounted to equitable wrongdoing within the articles.</w:t>
      </w:r>
      <w:r w:rsidR="0079422E">
        <w:rPr>
          <w:color w:val="333335"/>
        </w:rPr>
        <w:t xml:space="preserve"> The Plaintiffs also rely upon</w:t>
      </w:r>
      <w:r w:rsidR="00730069" w:rsidRPr="00730069">
        <w:rPr>
          <w:i/>
          <w:iCs/>
          <w:color w:val="333335"/>
        </w:rPr>
        <w:t xml:space="preserve"> Arrow Trading v Edwardian Group</w:t>
      </w:r>
      <w:r w:rsidR="00730069" w:rsidRPr="00730069">
        <w:rPr>
          <w:color w:val="333335"/>
        </w:rPr>
        <w:t xml:space="preserve"> [2004] BCC 955</w:t>
      </w:r>
      <w:r w:rsidR="00C43182">
        <w:rPr>
          <w:color w:val="333335"/>
        </w:rPr>
        <w:t xml:space="preserve">. </w:t>
      </w:r>
    </w:p>
    <w:p w14:paraId="52F95B57" w14:textId="77777777" w:rsidR="00C43182" w:rsidRDefault="00C43182" w:rsidP="00C43182">
      <w:pPr>
        <w:pStyle w:val="NormalWeb"/>
        <w:spacing w:before="240" w:after="0" w:line="360" w:lineRule="auto"/>
        <w:textAlignment w:val="baseline"/>
        <w:rPr>
          <w:color w:val="333335"/>
        </w:rPr>
      </w:pPr>
    </w:p>
    <w:p w14:paraId="3025BA83" w14:textId="75322C98" w:rsidR="00C8302B" w:rsidRDefault="00041497" w:rsidP="00FF2CBE">
      <w:pPr>
        <w:pStyle w:val="NormalWeb"/>
        <w:numPr>
          <w:ilvl w:val="0"/>
          <w:numId w:val="13"/>
        </w:numPr>
        <w:tabs>
          <w:tab w:val="left" w:pos="450"/>
        </w:tabs>
        <w:spacing w:before="240" w:after="0" w:line="360" w:lineRule="auto"/>
        <w:ind w:left="450" w:hanging="450"/>
        <w:jc w:val="both"/>
        <w:textAlignment w:val="baseline"/>
        <w:rPr>
          <w:color w:val="333335"/>
        </w:rPr>
      </w:pPr>
      <w:r>
        <w:rPr>
          <w:color w:val="333335"/>
        </w:rPr>
        <w:t>The Plaintiffs</w:t>
      </w:r>
      <w:r w:rsidR="00215AA8">
        <w:rPr>
          <w:color w:val="333335"/>
        </w:rPr>
        <w:t xml:space="preserve"> submit that there is no conflict between the position of the Company and the dissenters until 12 April 2021, the date upon which</w:t>
      </w:r>
      <w:r w:rsidR="00E35AD7">
        <w:rPr>
          <w:color w:val="333335"/>
        </w:rPr>
        <w:t xml:space="preserve"> the first of these proceedings were commenced by the Plaintiffs.</w:t>
      </w:r>
      <w:r w:rsidR="00FF232A">
        <w:rPr>
          <w:color w:val="333335"/>
        </w:rPr>
        <w:t xml:space="preserve"> In this regard the</w:t>
      </w:r>
      <w:r w:rsidR="00C5161C">
        <w:rPr>
          <w:color w:val="333335"/>
        </w:rPr>
        <w:t xml:space="preserve"> Plaintiff’s conten</w:t>
      </w:r>
      <w:r w:rsidR="00263AF3">
        <w:rPr>
          <w:color w:val="333335"/>
        </w:rPr>
        <w:t>d</w:t>
      </w:r>
      <w:r w:rsidR="00C5161C">
        <w:rPr>
          <w:color w:val="333335"/>
        </w:rPr>
        <w:t xml:space="preserve"> that following the announcement that</w:t>
      </w:r>
      <w:r w:rsidR="00B64D1F">
        <w:rPr>
          <w:color w:val="333335"/>
        </w:rPr>
        <w:t xml:space="preserve"> </w:t>
      </w:r>
      <w:r w:rsidR="00B64D1F" w:rsidRPr="00B64D1F">
        <w:rPr>
          <w:color w:val="333335"/>
        </w:rPr>
        <w:t>that JMHL had made an offer to the Company to purchase the minority’s shares for $33 per share</w:t>
      </w:r>
      <w:r w:rsidR="00592AA5">
        <w:rPr>
          <w:color w:val="333335"/>
        </w:rPr>
        <w:t xml:space="preserve">, the Company was under a </w:t>
      </w:r>
      <w:r w:rsidR="00B64D1F" w:rsidRPr="00B64D1F">
        <w:rPr>
          <w:color w:val="333335"/>
        </w:rPr>
        <w:t xml:space="preserve">duty to act in the best interests of its shareholders and </w:t>
      </w:r>
      <w:r w:rsidR="00EA2923">
        <w:rPr>
          <w:color w:val="333335"/>
        </w:rPr>
        <w:t>had a</w:t>
      </w:r>
      <w:r w:rsidR="00B64D1F" w:rsidRPr="00B64D1F">
        <w:rPr>
          <w:color w:val="333335"/>
        </w:rPr>
        <w:t xml:space="preserve"> statutory obligation to ensure that the minority had been offered fair value</w:t>
      </w:r>
      <w:r w:rsidR="00EA2923">
        <w:rPr>
          <w:color w:val="333335"/>
        </w:rPr>
        <w:t>.</w:t>
      </w:r>
      <w:r w:rsidR="002B2904">
        <w:rPr>
          <w:color w:val="333335"/>
        </w:rPr>
        <w:t xml:space="preserve"> Accordingly,</w:t>
      </w:r>
      <w:r w:rsidR="00EA2923">
        <w:rPr>
          <w:color w:val="333335"/>
        </w:rPr>
        <w:t xml:space="preserve"> </w:t>
      </w:r>
      <w:r w:rsidR="002B2904">
        <w:rPr>
          <w:color w:val="333335"/>
        </w:rPr>
        <w:t>t</w:t>
      </w:r>
      <w:r w:rsidR="00B64D1F" w:rsidRPr="00B64D1F">
        <w:rPr>
          <w:color w:val="333335"/>
        </w:rPr>
        <w:t>he Company’s board put in place the Transaction Committee, who in turn engaged Evercore, to assess whether JMHL’s offer of $33 per share would, if agreed, reflect the fair value of the minority’s shares</w:t>
      </w:r>
      <w:r w:rsidR="00E95EF9">
        <w:rPr>
          <w:color w:val="333335"/>
        </w:rPr>
        <w:t>.</w:t>
      </w:r>
      <w:r w:rsidR="00B64D1F" w:rsidRPr="00B64D1F">
        <w:rPr>
          <w:color w:val="333335"/>
        </w:rPr>
        <w:t xml:space="preserve"> </w:t>
      </w:r>
      <w:r w:rsidR="00E95EF9">
        <w:rPr>
          <w:color w:val="333335"/>
        </w:rPr>
        <w:t>T</w:t>
      </w:r>
      <w:r w:rsidR="00B64D1F" w:rsidRPr="00B64D1F">
        <w:rPr>
          <w:color w:val="333335"/>
        </w:rPr>
        <w:t>his process</w:t>
      </w:r>
      <w:r w:rsidR="00E95EF9">
        <w:rPr>
          <w:color w:val="333335"/>
        </w:rPr>
        <w:t>, the Plaintiffs contend</w:t>
      </w:r>
      <w:r w:rsidR="009F6416">
        <w:rPr>
          <w:color w:val="333335"/>
        </w:rPr>
        <w:t>,</w:t>
      </w:r>
      <w:r w:rsidR="00B64D1F" w:rsidRPr="00B64D1F">
        <w:rPr>
          <w:color w:val="333335"/>
        </w:rPr>
        <w:t xml:space="preserve"> was for the exclusive benefit of the minority shareholders</w:t>
      </w:r>
      <w:r w:rsidR="008D70F0">
        <w:rPr>
          <w:color w:val="333335"/>
        </w:rPr>
        <w:t xml:space="preserve"> and</w:t>
      </w:r>
      <w:r w:rsidR="00B64D1F" w:rsidRPr="00B64D1F">
        <w:rPr>
          <w:color w:val="333335"/>
        </w:rPr>
        <w:t xml:space="preserve"> the Company was not acting adverse to the interests of the minority shareholders</w:t>
      </w:r>
      <w:r w:rsidR="008D70F0">
        <w:rPr>
          <w:color w:val="333335"/>
        </w:rPr>
        <w:t>.</w:t>
      </w:r>
      <w:r w:rsidR="00B64D1F" w:rsidRPr="00B64D1F">
        <w:rPr>
          <w:color w:val="333335"/>
        </w:rPr>
        <w:t xml:space="preserve"> </w:t>
      </w:r>
    </w:p>
    <w:p w14:paraId="4930109D" w14:textId="77777777" w:rsidR="00D442BA" w:rsidRDefault="00D442BA" w:rsidP="008D70F0">
      <w:pPr>
        <w:pStyle w:val="NormalWeb"/>
        <w:spacing w:before="240" w:after="0" w:line="360" w:lineRule="auto"/>
        <w:textAlignment w:val="baseline"/>
        <w:rPr>
          <w:color w:val="333335"/>
        </w:rPr>
      </w:pPr>
    </w:p>
    <w:p w14:paraId="3F3A9E2B" w14:textId="5C5D2780" w:rsidR="00D442BA" w:rsidRDefault="001A6507" w:rsidP="00FF2CBE">
      <w:pPr>
        <w:pStyle w:val="NormalWeb"/>
        <w:numPr>
          <w:ilvl w:val="0"/>
          <w:numId w:val="13"/>
        </w:numPr>
        <w:tabs>
          <w:tab w:val="left" w:pos="450"/>
        </w:tabs>
        <w:spacing w:before="240" w:after="0" w:line="360" w:lineRule="auto"/>
        <w:ind w:left="450" w:hanging="450"/>
        <w:jc w:val="both"/>
        <w:textAlignment w:val="baseline"/>
        <w:rPr>
          <w:color w:val="333335"/>
        </w:rPr>
      </w:pPr>
      <w:r>
        <w:rPr>
          <w:color w:val="333335"/>
        </w:rPr>
        <w:t>The Plaintiffs further rely upon the fact that the Transaction Committee</w:t>
      </w:r>
      <w:r w:rsidR="00203AC6">
        <w:rPr>
          <w:color w:val="333335"/>
        </w:rPr>
        <w:t>, with the assistance of Evercore, was performing a statutory obligation to consider</w:t>
      </w:r>
      <w:r w:rsidR="001C6EB7">
        <w:rPr>
          <w:color w:val="333335"/>
        </w:rPr>
        <w:t xml:space="preserve"> whether the minority shareholders would receive fair value is paid $33 per share</w:t>
      </w:r>
      <w:r w:rsidR="006537D6">
        <w:rPr>
          <w:color w:val="333335"/>
        </w:rPr>
        <w:t xml:space="preserve">. Having discharged this obligation, the Company was then in a position to proceed </w:t>
      </w:r>
      <w:r w:rsidR="00502376" w:rsidRPr="00502376">
        <w:rPr>
          <w:color w:val="333335"/>
        </w:rPr>
        <w:t>with the amalgamation and issued the Circular and SGM Notice with the draft Amalgamation Agreement. The draft Amalgamation Agreement envisaged that JMHL (not the Company) would pay $33 per share to the minority shareholders. To the extent there were dissenters and fair value is appraised at more than $33 per share, the draft Amalgamation Agreement provided that the Amalgamated Company would pay the difference</w:t>
      </w:r>
      <w:r w:rsidR="00F75CFC">
        <w:rPr>
          <w:color w:val="333335"/>
        </w:rPr>
        <w:t>.</w:t>
      </w:r>
      <w:r w:rsidR="00837DC3">
        <w:rPr>
          <w:color w:val="333335"/>
        </w:rPr>
        <w:t xml:space="preserve"> In the circumstances, the Plaintiff’s conten</w:t>
      </w:r>
      <w:r w:rsidR="00825814">
        <w:rPr>
          <w:color w:val="333335"/>
        </w:rPr>
        <w:t>d</w:t>
      </w:r>
      <w:r w:rsidR="00837DC3">
        <w:rPr>
          <w:color w:val="333335"/>
        </w:rPr>
        <w:t xml:space="preserve"> that</w:t>
      </w:r>
      <w:r w:rsidR="006B5FE9">
        <w:rPr>
          <w:color w:val="333335"/>
        </w:rPr>
        <w:t xml:space="preserve"> </w:t>
      </w:r>
      <w:r w:rsidR="006B5FE9" w:rsidRPr="006B5FE9">
        <w:rPr>
          <w:color w:val="333335"/>
        </w:rPr>
        <w:t>to the extent that any conflict of interest arises at all between the Plaintiffs and the Defendants, it cannot arise until on or about 12 April 2021 because at least until then the interests of the Company and the Plaintiffs are not in any sense in conflict and there is no adversity between those parties.</w:t>
      </w:r>
    </w:p>
    <w:p w14:paraId="5973F682" w14:textId="77777777" w:rsidR="008A611F" w:rsidRDefault="008A611F" w:rsidP="006B5FE9">
      <w:pPr>
        <w:pStyle w:val="NormalWeb"/>
        <w:spacing w:before="240" w:after="0" w:line="360" w:lineRule="auto"/>
        <w:textAlignment w:val="baseline"/>
        <w:rPr>
          <w:color w:val="333335"/>
        </w:rPr>
      </w:pPr>
    </w:p>
    <w:p w14:paraId="2469EC9C" w14:textId="3755CA82" w:rsidR="008A611F" w:rsidRDefault="009B2BAF" w:rsidP="00FF2CBE">
      <w:pPr>
        <w:pStyle w:val="NormalWeb"/>
        <w:numPr>
          <w:ilvl w:val="0"/>
          <w:numId w:val="13"/>
        </w:numPr>
        <w:tabs>
          <w:tab w:val="left" w:pos="450"/>
        </w:tabs>
        <w:spacing w:before="240" w:after="0" w:line="360" w:lineRule="auto"/>
        <w:ind w:left="450" w:hanging="450"/>
        <w:jc w:val="both"/>
        <w:textAlignment w:val="baseline"/>
        <w:rPr>
          <w:color w:val="333335"/>
        </w:rPr>
      </w:pPr>
      <w:r w:rsidRPr="00EC3D21">
        <w:rPr>
          <w:i/>
          <w:iCs/>
          <w:color w:val="333335"/>
        </w:rPr>
        <w:t>Re Hyd</w:t>
      </w:r>
      <w:r w:rsidR="00EC3D21" w:rsidRPr="00EC3D21">
        <w:rPr>
          <w:i/>
          <w:iCs/>
          <w:color w:val="333335"/>
        </w:rPr>
        <w:t xml:space="preserve">rosan Ltd </w:t>
      </w:r>
      <w:r w:rsidR="00BE00D3" w:rsidRPr="00F10136">
        <w:rPr>
          <w:color w:val="333335"/>
        </w:rPr>
        <w:t>co</w:t>
      </w:r>
      <w:r w:rsidR="00F10136" w:rsidRPr="00F10136">
        <w:rPr>
          <w:color w:val="333335"/>
        </w:rPr>
        <w:t xml:space="preserve">ncerned </w:t>
      </w:r>
      <w:r w:rsidR="0033001E" w:rsidRPr="0033001E">
        <w:rPr>
          <w:color w:val="333335"/>
        </w:rPr>
        <w:t>an application by the petitioner in a petition under sec</w:t>
      </w:r>
      <w:r w:rsidR="0033001E">
        <w:rPr>
          <w:color w:val="333335"/>
        </w:rPr>
        <w:t>tion</w:t>
      </w:r>
      <w:r w:rsidR="0033001E" w:rsidRPr="0033001E">
        <w:rPr>
          <w:color w:val="333335"/>
        </w:rPr>
        <w:t xml:space="preserve"> 459 of the </w:t>
      </w:r>
      <w:r w:rsidR="0033001E">
        <w:rPr>
          <w:color w:val="333335"/>
        </w:rPr>
        <w:t xml:space="preserve">English </w:t>
      </w:r>
      <w:r w:rsidR="0033001E" w:rsidRPr="0033001E">
        <w:rPr>
          <w:color w:val="333335"/>
        </w:rPr>
        <w:t>Companies Act 1985 seeking discovery of documents for which legal professional privilege was claimed. There were two sets of documents: first, solicitors' bills relating to an earlier petition, and second, documents relating to a rights issue proposed by the company. The respondents argued that the first set of documents was not discoverable, as an exception to the ordinary rule that advice by solicitors to the company was disclosable to shareholders, because the sec</w:t>
      </w:r>
      <w:r w:rsidR="005B6FFB">
        <w:rPr>
          <w:color w:val="333335"/>
        </w:rPr>
        <w:t>tion</w:t>
      </w:r>
      <w:r w:rsidR="0033001E" w:rsidRPr="0033001E">
        <w:rPr>
          <w:color w:val="333335"/>
        </w:rPr>
        <w:t xml:space="preserve"> 459 petition constituted hostile litigation between the petitioner and the company; and that the second set was not discoverable because when the documents were created litigation was in contemplation.</w:t>
      </w:r>
      <w:r w:rsidR="003C0B88">
        <w:rPr>
          <w:color w:val="333335"/>
        </w:rPr>
        <w:t xml:space="preserve"> Harman J</w:t>
      </w:r>
      <w:r w:rsidR="00BB2825">
        <w:rPr>
          <w:color w:val="333335"/>
        </w:rPr>
        <w:t xml:space="preserve"> </w:t>
      </w:r>
      <w:r w:rsidR="0042773E">
        <w:rPr>
          <w:color w:val="333335"/>
        </w:rPr>
        <w:t>held</w:t>
      </w:r>
      <w:r w:rsidR="00BB2825">
        <w:rPr>
          <w:color w:val="333335"/>
        </w:rPr>
        <w:t xml:space="preserve"> that</w:t>
      </w:r>
      <w:r w:rsidR="007D16E2">
        <w:rPr>
          <w:color w:val="333335"/>
        </w:rPr>
        <w:t xml:space="preserve"> a</w:t>
      </w:r>
      <w:r w:rsidR="007D16E2" w:rsidRPr="007D16E2">
        <w:rPr>
          <w:color w:val="333335"/>
        </w:rPr>
        <w:t xml:space="preserve"> minority shareholder's petition was not hostile litigation between the petitioner and the company such as to prevent the first set of documents being producible.</w:t>
      </w:r>
      <w:r w:rsidR="00911538">
        <w:rPr>
          <w:color w:val="333335"/>
        </w:rPr>
        <w:t xml:space="preserve"> Harman J held</w:t>
      </w:r>
      <w:r w:rsidR="002B6F80">
        <w:rPr>
          <w:color w:val="333335"/>
        </w:rPr>
        <w:t xml:space="preserve"> at 20 D-F</w:t>
      </w:r>
      <w:r w:rsidR="00B92D38">
        <w:rPr>
          <w:color w:val="333335"/>
        </w:rPr>
        <w:t xml:space="preserve"> that section 429 proceedings are essentially proceedings between shareholders and the company is merely a nominal</w:t>
      </w:r>
      <w:r w:rsidR="00945AC9">
        <w:rPr>
          <w:color w:val="333335"/>
        </w:rPr>
        <w:t xml:space="preserve"> party and indeed is prohibited from expending any monies</w:t>
      </w:r>
      <w:r w:rsidR="0055153F">
        <w:rPr>
          <w:color w:val="333335"/>
        </w:rPr>
        <w:t xml:space="preserve"> in relation to that dispute:</w:t>
      </w:r>
    </w:p>
    <w:p w14:paraId="16960BCB" w14:textId="668FE4E0" w:rsidR="00D14117" w:rsidRPr="00BA02B5" w:rsidRDefault="0055153F" w:rsidP="001E6F95">
      <w:pPr>
        <w:pStyle w:val="NormalWeb"/>
        <w:spacing w:before="240" w:after="0" w:line="276" w:lineRule="auto"/>
        <w:ind w:left="720"/>
        <w:textAlignment w:val="baseline"/>
        <w:rPr>
          <w:i/>
          <w:iCs/>
          <w:color w:val="333335"/>
        </w:rPr>
      </w:pPr>
      <w:r w:rsidRPr="00BA02B5">
        <w:rPr>
          <w:i/>
          <w:iCs/>
          <w:color w:val="333335"/>
        </w:rPr>
        <w:t>“</w:t>
      </w:r>
      <w:r w:rsidR="00D14117" w:rsidRPr="00BA02B5">
        <w:rPr>
          <w:i/>
          <w:iCs/>
          <w:color w:val="333335"/>
        </w:rPr>
        <w:t xml:space="preserve">The proposition is reinforced by a recent decision of Hoffmann 1 (junior counsel for the company in </w:t>
      </w:r>
      <w:r w:rsidR="00D14117" w:rsidRPr="00BA02B5">
        <w:rPr>
          <w:i/>
          <w:iCs/>
          <w:color w:val="333335"/>
          <w:u w:val="single"/>
        </w:rPr>
        <w:t>A &amp; B C Chewing Gum</w:t>
      </w:r>
      <w:r w:rsidR="00D14117" w:rsidRPr="00BA02B5">
        <w:rPr>
          <w:i/>
          <w:iCs/>
          <w:color w:val="333335"/>
        </w:rPr>
        <w:t xml:space="preserve">) in </w:t>
      </w:r>
      <w:r w:rsidR="00D14117" w:rsidRPr="00BA02B5">
        <w:rPr>
          <w:i/>
          <w:iCs/>
          <w:color w:val="333335"/>
          <w:u w:val="single"/>
        </w:rPr>
        <w:t>Re Crossmore Electrical and Civil D Engineering Ltd</w:t>
      </w:r>
      <w:r w:rsidR="00D14117" w:rsidRPr="00BA02B5">
        <w:rPr>
          <w:i/>
          <w:iCs/>
          <w:color w:val="333335"/>
        </w:rPr>
        <w:t xml:space="preserve"> (1989) 5 BCC 37 at p. 38G where he said: </w:t>
      </w:r>
    </w:p>
    <w:p w14:paraId="365DDB83" w14:textId="73E0AF56" w:rsidR="00D14117" w:rsidRDefault="00D14117" w:rsidP="001E6F95">
      <w:pPr>
        <w:pStyle w:val="NormalWeb"/>
        <w:spacing w:before="240" w:after="0" w:line="276" w:lineRule="auto"/>
        <w:ind w:left="2160"/>
        <w:textAlignment w:val="baseline"/>
        <w:rPr>
          <w:i/>
          <w:iCs/>
          <w:color w:val="333335"/>
        </w:rPr>
      </w:pPr>
      <w:r w:rsidRPr="00BA02B5">
        <w:rPr>
          <w:i/>
          <w:iCs/>
          <w:color w:val="333335"/>
        </w:rPr>
        <w:t xml:space="preserve">"The company is a nominal party to the sec. 459 petition, but in substance the dispute is between the two shareholders. It is a general principle of company law that the company's money should not be expended on disputes between the shareholders ... " </w:t>
      </w:r>
    </w:p>
    <w:p w14:paraId="0FBE1EA6" w14:textId="77777777" w:rsidR="00D439CA" w:rsidRDefault="00D439CA" w:rsidP="00BA02B5">
      <w:pPr>
        <w:pStyle w:val="NormalWeb"/>
        <w:spacing w:before="240" w:after="0" w:line="360" w:lineRule="auto"/>
        <w:ind w:left="1440"/>
        <w:textAlignment w:val="baseline"/>
        <w:rPr>
          <w:i/>
          <w:iCs/>
          <w:color w:val="333335"/>
        </w:rPr>
      </w:pPr>
    </w:p>
    <w:p w14:paraId="299556B9" w14:textId="584B07F9" w:rsidR="00D439CA" w:rsidRDefault="00167286" w:rsidP="00FF2CBE">
      <w:pPr>
        <w:pStyle w:val="NormalWeb"/>
        <w:numPr>
          <w:ilvl w:val="0"/>
          <w:numId w:val="13"/>
        </w:numPr>
        <w:tabs>
          <w:tab w:val="left" w:pos="450"/>
        </w:tabs>
        <w:spacing w:before="240" w:after="0" w:line="360" w:lineRule="auto"/>
        <w:textAlignment w:val="baseline"/>
        <w:rPr>
          <w:color w:val="333335"/>
        </w:rPr>
      </w:pPr>
      <w:r>
        <w:rPr>
          <w:color w:val="333335"/>
        </w:rPr>
        <w:t>In relation to the documents concerning the rights issue</w:t>
      </w:r>
      <w:r w:rsidR="00467EEE">
        <w:rPr>
          <w:color w:val="333335"/>
        </w:rPr>
        <w:t xml:space="preserve"> it was argue</w:t>
      </w:r>
      <w:r w:rsidR="001E6F95">
        <w:rPr>
          <w:color w:val="333335"/>
        </w:rPr>
        <w:t>d</w:t>
      </w:r>
      <w:r w:rsidR="00467EEE">
        <w:rPr>
          <w:color w:val="333335"/>
        </w:rPr>
        <w:t xml:space="preserve"> </w:t>
      </w:r>
      <w:r w:rsidR="00D73971">
        <w:rPr>
          <w:color w:val="333335"/>
        </w:rPr>
        <w:t xml:space="preserve">on behalf of the company that </w:t>
      </w:r>
      <w:r w:rsidR="00D73971" w:rsidRPr="00D73971">
        <w:rPr>
          <w:color w:val="333335"/>
        </w:rPr>
        <w:t>from the nature of the relations between the parties it was reasonably to be contemplated that there would be litigation arising.</w:t>
      </w:r>
      <w:r w:rsidR="00AA181B" w:rsidRPr="00AA181B">
        <w:rPr>
          <w:color w:val="333335"/>
        </w:rPr>
        <w:t xml:space="preserve"> Harman J held that any legal advice obtained by the company in relation to a contested rights issue after the date on which the company had posted the circular for the EGM, at which the rights issue was approved, was not disclosable. He </w:t>
      </w:r>
      <w:r w:rsidR="007278D1">
        <w:rPr>
          <w:color w:val="333335"/>
        </w:rPr>
        <w:t>held at 23 B-C</w:t>
      </w:r>
      <w:r w:rsidR="00AA181B" w:rsidRPr="00AA181B">
        <w:rPr>
          <w:color w:val="333335"/>
        </w:rPr>
        <w:t xml:space="preserve"> that from that date it plainly could be contemplated that </w:t>
      </w:r>
      <w:r w:rsidR="007B5DEE">
        <w:rPr>
          <w:color w:val="333335"/>
        </w:rPr>
        <w:t>litigation</w:t>
      </w:r>
      <w:r w:rsidR="00AA181B" w:rsidRPr="00AA181B">
        <w:rPr>
          <w:color w:val="333335"/>
        </w:rPr>
        <w:t xml:space="preserve"> might well arise against the company in the true sense</w:t>
      </w:r>
      <w:r w:rsidR="007278D1">
        <w:rPr>
          <w:color w:val="333335"/>
        </w:rPr>
        <w:t>:</w:t>
      </w:r>
    </w:p>
    <w:p w14:paraId="0B0E5E9B" w14:textId="2723E214" w:rsidR="007278D1" w:rsidRDefault="007278D1" w:rsidP="00B27221">
      <w:pPr>
        <w:pStyle w:val="NormalWeb"/>
        <w:spacing w:before="240" w:after="0" w:line="276" w:lineRule="auto"/>
        <w:ind w:left="720"/>
        <w:textAlignment w:val="baseline"/>
        <w:rPr>
          <w:i/>
          <w:iCs/>
          <w:color w:val="333335"/>
        </w:rPr>
      </w:pPr>
      <w:r w:rsidRPr="0050388C">
        <w:rPr>
          <w:i/>
          <w:iCs/>
          <w:color w:val="333335"/>
        </w:rPr>
        <w:t>“</w:t>
      </w:r>
      <w:r w:rsidR="00CA6E71" w:rsidRPr="0050388C">
        <w:rPr>
          <w:i/>
          <w:iCs/>
          <w:color w:val="333335"/>
        </w:rPr>
        <w:t>In this case, it seems to me, the issue of the notice convening the extraordinary general meeting and of the circular explaining the nature of the business to be considered at the EGM was a date from which it plainly could be contemplated that there might well arise litigation. No communication between the client, that is I suppose the company, because the company would be the subject of the claim, and the solicitors after the date of the circular should be open to production. Down to that date I cannot think that there can have been contemplation of litigation because down to that date the company could have decided not to seek to make its rights issue and there would never have been an occasion for litigation. It seems to me that the cut-off date therefore is the date of the notice and circular convening the EGM. Down to that date the documents are within the general rule which I have already enunciated that all documents concerning the administration of the company being advice by solicitors to the company about its affairs are disclosable to shareholders; after that date litigation against the company in the true sense within the doctrine which I have already mentioned was in contemplation within the decision of Malins VC and is not producible. In my view, therefore, disclosure down to that date ought to be made of all such documents.</w:t>
      </w:r>
      <w:r w:rsidR="00C81EB1">
        <w:rPr>
          <w:i/>
          <w:iCs/>
          <w:color w:val="333335"/>
        </w:rPr>
        <w:t>”</w:t>
      </w:r>
    </w:p>
    <w:p w14:paraId="05A119EB" w14:textId="77777777" w:rsidR="0068767F" w:rsidRDefault="0068767F" w:rsidP="0050388C">
      <w:pPr>
        <w:pStyle w:val="NormalWeb"/>
        <w:spacing w:before="240" w:after="0" w:line="360" w:lineRule="auto"/>
        <w:ind w:left="720"/>
        <w:textAlignment w:val="baseline"/>
        <w:rPr>
          <w:i/>
          <w:iCs/>
          <w:color w:val="333335"/>
        </w:rPr>
      </w:pPr>
    </w:p>
    <w:p w14:paraId="18D02A31" w14:textId="173CDA8D" w:rsidR="0068767F" w:rsidRDefault="00EA05C4" w:rsidP="00633E74">
      <w:pPr>
        <w:pStyle w:val="NormalWeb"/>
        <w:numPr>
          <w:ilvl w:val="0"/>
          <w:numId w:val="13"/>
        </w:numPr>
        <w:tabs>
          <w:tab w:val="left" w:pos="450"/>
        </w:tabs>
        <w:spacing w:before="240" w:after="0" w:line="360" w:lineRule="auto"/>
        <w:ind w:left="450" w:hanging="450"/>
        <w:jc w:val="both"/>
        <w:textAlignment w:val="baseline"/>
        <w:rPr>
          <w:color w:val="333335"/>
        </w:rPr>
      </w:pPr>
      <w:r w:rsidRPr="00EA05C4">
        <w:rPr>
          <w:i/>
          <w:iCs/>
          <w:color w:val="333335"/>
        </w:rPr>
        <w:t xml:space="preserve">Arrow Trading v Edwardian Group </w:t>
      </w:r>
      <w:r w:rsidRPr="00EA05C4">
        <w:rPr>
          <w:color w:val="333335"/>
        </w:rPr>
        <w:t>[2005] 1 BCLC 696</w:t>
      </w:r>
      <w:r>
        <w:rPr>
          <w:color w:val="333335"/>
        </w:rPr>
        <w:t xml:space="preserve"> also concerned</w:t>
      </w:r>
      <w:r w:rsidR="009318A3">
        <w:rPr>
          <w:color w:val="333335"/>
        </w:rPr>
        <w:t xml:space="preserve"> </w:t>
      </w:r>
      <w:r w:rsidR="009318A3" w:rsidRPr="009318A3">
        <w:rPr>
          <w:color w:val="333335"/>
        </w:rPr>
        <w:t xml:space="preserve">applications, in proceedings against unfairly prejudicial conduct under </w:t>
      </w:r>
      <w:r w:rsidR="009318A3">
        <w:rPr>
          <w:color w:val="333335"/>
        </w:rPr>
        <w:t xml:space="preserve">section </w:t>
      </w:r>
      <w:r w:rsidR="009318A3" w:rsidRPr="009318A3">
        <w:rPr>
          <w:color w:val="333335"/>
        </w:rPr>
        <w:t>459 of the</w:t>
      </w:r>
      <w:r w:rsidR="009318A3">
        <w:rPr>
          <w:color w:val="333335"/>
        </w:rPr>
        <w:t xml:space="preserve"> English</w:t>
      </w:r>
      <w:r w:rsidR="009318A3" w:rsidRPr="009318A3">
        <w:rPr>
          <w:color w:val="333335"/>
        </w:rPr>
        <w:t xml:space="preserve"> Companies Act 1985, by the petitioners for an order restraining the company whose affairs were the subject of the petition from expending its money or other assets in the course of participation in the proceedings other than for certain limited purposes, and for disclosure of certain ﬁnancial information.</w:t>
      </w:r>
      <w:r w:rsidR="004446EA">
        <w:rPr>
          <w:color w:val="333335"/>
        </w:rPr>
        <w:t xml:space="preserve"> In relation to the issue whether the documents were privileged</w:t>
      </w:r>
      <w:r w:rsidR="00D8190E">
        <w:rPr>
          <w:color w:val="333335"/>
        </w:rPr>
        <w:t xml:space="preserve"> and whether the exception applied Blackburne held at [24]:</w:t>
      </w:r>
    </w:p>
    <w:p w14:paraId="1253DB2A" w14:textId="3E962E36" w:rsidR="00D8190E" w:rsidRDefault="00D8190E" w:rsidP="00A61F79">
      <w:pPr>
        <w:pStyle w:val="NormalWeb"/>
        <w:spacing w:before="240" w:after="0" w:line="276" w:lineRule="auto"/>
        <w:ind w:left="720"/>
        <w:textAlignment w:val="baseline"/>
        <w:rPr>
          <w:color w:val="333335"/>
        </w:rPr>
      </w:pPr>
      <w:r w:rsidRPr="00C37951">
        <w:rPr>
          <w:i/>
          <w:iCs/>
          <w:color w:val="333335"/>
        </w:rPr>
        <w:t>“</w:t>
      </w:r>
      <w:r w:rsidR="002F0D1D" w:rsidRPr="00C37951">
        <w:rPr>
          <w:i/>
          <w:iCs/>
          <w:color w:val="333335"/>
        </w:rPr>
        <w:t xml:space="preserve">It is well established by authority that a shareholder in the company is entitled to disclosure of all documents obtained by the company in the course of the company’s administration, including advice by solicitors to the company about its affairs, </w:t>
      </w:r>
      <w:r w:rsidR="002F0D1D" w:rsidRPr="00C37951">
        <w:rPr>
          <w:b/>
          <w:bCs/>
          <w:i/>
          <w:iCs/>
          <w:color w:val="333335"/>
        </w:rPr>
        <w:t>but not where the advice relates to hostile proceedings between the company and its shareholders</w:t>
      </w:r>
      <w:r w:rsidR="002F0D1D" w:rsidRPr="00C37951">
        <w:rPr>
          <w:i/>
          <w:iCs/>
          <w:color w:val="333335"/>
        </w:rPr>
        <w:t xml:space="preserve">: see </w:t>
      </w:r>
      <w:r w:rsidR="002F0D1D" w:rsidRPr="00C37951">
        <w:rPr>
          <w:i/>
          <w:iCs/>
          <w:color w:val="333335"/>
          <w:u w:val="single"/>
        </w:rPr>
        <w:t>Re Hydrosan Ltd</w:t>
      </w:r>
      <w:r w:rsidR="002F0D1D" w:rsidRPr="00C37951">
        <w:rPr>
          <w:i/>
          <w:iCs/>
          <w:color w:val="333335"/>
        </w:rPr>
        <w:t xml:space="preserve"> [1991] BCC 19 and </w:t>
      </w:r>
      <w:r w:rsidR="002F0D1D" w:rsidRPr="00C37951">
        <w:rPr>
          <w:i/>
          <w:iCs/>
          <w:color w:val="333335"/>
          <w:u w:val="single"/>
        </w:rPr>
        <w:t>CAS (Nominees) Ltd v Nottingham Forest plc</w:t>
      </w:r>
      <w:r w:rsidR="002F0D1D" w:rsidRPr="00C37951">
        <w:rPr>
          <w:i/>
          <w:iCs/>
          <w:color w:val="333335"/>
        </w:rPr>
        <w:t xml:space="preserve"> [2002] BCC 145. </w:t>
      </w:r>
      <w:r w:rsidR="002F0D1D" w:rsidRPr="00C37951">
        <w:rPr>
          <w:b/>
          <w:bCs/>
          <w:i/>
          <w:iCs/>
          <w:color w:val="333335"/>
        </w:rPr>
        <w:t>The essential distinction is between advice to the company in connection with the administration of its affairs on behalf of all of its shareholders, and advice to the company in defence of an action, actual, threatened or in contemplation, by a shareholder against the company</w:t>
      </w:r>
      <w:r w:rsidR="002F0D1D" w:rsidRPr="00C37951">
        <w:rPr>
          <w:i/>
          <w:iCs/>
          <w:color w:val="333335"/>
        </w:rPr>
        <w:t>.</w:t>
      </w:r>
      <w:r w:rsidR="005B7B36" w:rsidRPr="00C37951">
        <w:rPr>
          <w:i/>
          <w:iCs/>
          <w:color w:val="333335"/>
        </w:rPr>
        <w:t>”</w:t>
      </w:r>
      <w:r w:rsidR="00C37951">
        <w:rPr>
          <w:i/>
          <w:iCs/>
          <w:color w:val="333335"/>
        </w:rPr>
        <w:t xml:space="preserve"> </w:t>
      </w:r>
      <w:r w:rsidR="00C37951" w:rsidRPr="00C37951">
        <w:rPr>
          <w:color w:val="333335"/>
        </w:rPr>
        <w:t>(emphasis added)</w:t>
      </w:r>
    </w:p>
    <w:p w14:paraId="1710E743" w14:textId="77777777" w:rsidR="00FB5D84" w:rsidRDefault="00FB5D84" w:rsidP="00C37951">
      <w:pPr>
        <w:pStyle w:val="NormalWeb"/>
        <w:spacing w:before="240" w:after="0" w:line="360" w:lineRule="auto"/>
        <w:ind w:left="720"/>
        <w:textAlignment w:val="baseline"/>
        <w:rPr>
          <w:color w:val="333335"/>
        </w:rPr>
      </w:pPr>
    </w:p>
    <w:p w14:paraId="444714D6" w14:textId="5A1BE15C" w:rsidR="00FB5D84" w:rsidRDefault="00EB7F65" w:rsidP="00633E74">
      <w:pPr>
        <w:pStyle w:val="NormalWeb"/>
        <w:numPr>
          <w:ilvl w:val="0"/>
          <w:numId w:val="13"/>
        </w:numPr>
        <w:tabs>
          <w:tab w:val="left" w:pos="450"/>
        </w:tabs>
        <w:spacing w:before="240" w:after="0" w:line="360" w:lineRule="auto"/>
        <w:ind w:left="450" w:hanging="450"/>
        <w:jc w:val="both"/>
        <w:textAlignment w:val="baseline"/>
        <w:rPr>
          <w:color w:val="333335"/>
        </w:rPr>
      </w:pPr>
      <w:r w:rsidRPr="00543E9B">
        <w:rPr>
          <w:i/>
          <w:iCs/>
          <w:color w:val="333335"/>
        </w:rPr>
        <w:t xml:space="preserve">CAS (Nominees) Ltd v Nottingham Forest </w:t>
      </w:r>
      <w:r w:rsidR="00543E9B">
        <w:rPr>
          <w:i/>
          <w:iCs/>
          <w:color w:val="333335"/>
        </w:rPr>
        <w:t>PLC</w:t>
      </w:r>
      <w:r w:rsidRPr="00EB7F65">
        <w:rPr>
          <w:color w:val="333335"/>
        </w:rPr>
        <w:t xml:space="preserve"> [2001] 1 All ER 954</w:t>
      </w:r>
      <w:r w:rsidR="00EF3608">
        <w:rPr>
          <w:color w:val="333335"/>
        </w:rPr>
        <w:t xml:space="preserve"> again concerned</w:t>
      </w:r>
      <w:r w:rsidR="00D11FD6">
        <w:rPr>
          <w:color w:val="333335"/>
        </w:rPr>
        <w:t xml:space="preserve"> </w:t>
      </w:r>
      <w:r w:rsidR="00D11FD6" w:rsidRPr="00D11FD6">
        <w:rPr>
          <w:color w:val="333335"/>
        </w:rPr>
        <w:t xml:space="preserve">applications for disclosure of documents made by the </w:t>
      </w:r>
      <w:r w:rsidR="00543E9B">
        <w:rPr>
          <w:color w:val="333335"/>
        </w:rPr>
        <w:t>c</w:t>
      </w:r>
      <w:r w:rsidR="00D11FD6" w:rsidRPr="00D11FD6">
        <w:rPr>
          <w:color w:val="333335"/>
        </w:rPr>
        <w:t xml:space="preserve">laimants against </w:t>
      </w:r>
      <w:r w:rsidR="00543E9B">
        <w:rPr>
          <w:color w:val="333335"/>
        </w:rPr>
        <w:t>defendants</w:t>
      </w:r>
      <w:r w:rsidR="00D11FD6" w:rsidRPr="00D11FD6">
        <w:rPr>
          <w:color w:val="333335"/>
        </w:rPr>
        <w:t xml:space="preserve"> in a petition brought by the </w:t>
      </w:r>
      <w:r w:rsidR="00543E9B">
        <w:rPr>
          <w:color w:val="333335"/>
        </w:rPr>
        <w:t>c</w:t>
      </w:r>
      <w:r w:rsidR="00D11FD6" w:rsidRPr="00D11FD6">
        <w:rPr>
          <w:color w:val="333335"/>
        </w:rPr>
        <w:t xml:space="preserve">laimants against 8 defendants under section 459 of the </w:t>
      </w:r>
      <w:r w:rsidR="00543E9B">
        <w:rPr>
          <w:color w:val="333335"/>
        </w:rPr>
        <w:t xml:space="preserve">English </w:t>
      </w:r>
      <w:r w:rsidR="00D11FD6" w:rsidRPr="00D11FD6">
        <w:rPr>
          <w:color w:val="333335"/>
        </w:rPr>
        <w:t>Companies Act 1985.</w:t>
      </w:r>
    </w:p>
    <w:p w14:paraId="1D1ECEB2" w14:textId="77777777" w:rsidR="00543E9B" w:rsidRDefault="00543E9B" w:rsidP="00D11FD6">
      <w:pPr>
        <w:pStyle w:val="NormalWeb"/>
        <w:spacing w:before="240" w:after="0" w:line="360" w:lineRule="auto"/>
        <w:textAlignment w:val="baseline"/>
        <w:rPr>
          <w:color w:val="333335"/>
        </w:rPr>
      </w:pPr>
    </w:p>
    <w:p w14:paraId="1D7899AB" w14:textId="41529D34" w:rsidR="00543E9B" w:rsidRDefault="00764164" w:rsidP="00633E74">
      <w:pPr>
        <w:pStyle w:val="NormalWeb"/>
        <w:numPr>
          <w:ilvl w:val="0"/>
          <w:numId w:val="13"/>
        </w:numPr>
        <w:tabs>
          <w:tab w:val="left" w:pos="450"/>
        </w:tabs>
        <w:spacing w:before="240" w:after="0" w:line="360" w:lineRule="auto"/>
        <w:ind w:left="450" w:hanging="450"/>
        <w:jc w:val="both"/>
        <w:textAlignment w:val="baseline"/>
        <w:rPr>
          <w:color w:val="333335"/>
        </w:rPr>
      </w:pPr>
      <w:r w:rsidRPr="00764164">
        <w:rPr>
          <w:color w:val="333335"/>
        </w:rPr>
        <w:t xml:space="preserve">In </w:t>
      </w:r>
      <w:r w:rsidRPr="00764164">
        <w:rPr>
          <w:i/>
          <w:iCs/>
          <w:color w:val="333335"/>
        </w:rPr>
        <w:t>Sharp v Blank</w:t>
      </w:r>
      <w:r w:rsidRPr="00764164">
        <w:rPr>
          <w:color w:val="333335"/>
        </w:rPr>
        <w:t xml:space="preserve"> [2015] EWHC 2681 (Ch)</w:t>
      </w:r>
      <w:r w:rsidR="00DC7D83">
        <w:rPr>
          <w:color w:val="333335"/>
        </w:rPr>
        <w:t xml:space="preserve"> Nugee J </w:t>
      </w:r>
      <w:r w:rsidR="00283B16">
        <w:rPr>
          <w:color w:val="333335"/>
        </w:rPr>
        <w:t>reviewed the scope of the exception to the general rule</w:t>
      </w:r>
      <w:r w:rsidRPr="00764164">
        <w:rPr>
          <w:color w:val="333335"/>
        </w:rPr>
        <w:t xml:space="preserve"> </w:t>
      </w:r>
      <w:r w:rsidR="003C468E">
        <w:rPr>
          <w:color w:val="333335"/>
        </w:rPr>
        <w:t>that a company taking advice on the running of the company’s affairs and paying for it out of the company’s assets cannot assert privilege against the shareholders</w:t>
      </w:r>
      <w:r w:rsidR="00620F74">
        <w:rPr>
          <w:color w:val="333335"/>
        </w:rPr>
        <w:t xml:space="preserve"> have indirectly paid for it. Nugee J held that (i)</w:t>
      </w:r>
      <w:r w:rsidR="00C04D77">
        <w:rPr>
          <w:color w:val="333335"/>
        </w:rPr>
        <w:t xml:space="preserve"> the foundation of the exception is the existence of actual or threatened litigation</w:t>
      </w:r>
      <w:r w:rsidR="00D77CD2">
        <w:rPr>
          <w:color w:val="333335"/>
        </w:rPr>
        <w:t xml:space="preserve"> </w:t>
      </w:r>
      <w:r w:rsidR="00D77CD2" w:rsidRPr="00D77CD2">
        <w:rPr>
          <w:b/>
          <w:bCs/>
          <w:color w:val="333335"/>
        </w:rPr>
        <w:t>and</w:t>
      </w:r>
      <w:r w:rsidR="00D77CD2">
        <w:rPr>
          <w:color w:val="333335"/>
        </w:rPr>
        <w:t xml:space="preserve"> the taking of advice in connection with the actual or threatened litigation; (ii)</w:t>
      </w:r>
      <w:r w:rsidR="00232D4C">
        <w:rPr>
          <w:color w:val="333335"/>
        </w:rPr>
        <w:t xml:space="preserve"> the exception goes beyond actual or threatened litigation and encompasses litigation in contemplation; (iii)</w:t>
      </w:r>
      <w:r w:rsidR="00C23036">
        <w:rPr>
          <w:color w:val="333335"/>
        </w:rPr>
        <w:t xml:space="preserve"> the foundation of the exception is the fact that not only the interests of the parties have diverged, but that litigation, actual, threatened or in contemplation, has caused the company to take advice in defence of, in connection with,</w:t>
      </w:r>
      <w:r w:rsidR="004F62F3">
        <w:rPr>
          <w:color w:val="333335"/>
        </w:rPr>
        <w:t xml:space="preserve"> the actual, threatened or contemplated litigation; and (iv)</w:t>
      </w:r>
      <w:r w:rsidR="007369F2">
        <w:rPr>
          <w:color w:val="333335"/>
        </w:rPr>
        <w:t xml:space="preserve"> it is only the advice</w:t>
      </w:r>
      <w:r w:rsidR="00471CF2">
        <w:rPr>
          <w:color w:val="333335"/>
        </w:rPr>
        <w:t xml:space="preserve"> in defence of or in connection with the contemplated litigation, obtained by the company to enable it to carry on with litigation,</w:t>
      </w:r>
      <w:r w:rsidR="00433C9B">
        <w:rPr>
          <w:color w:val="333335"/>
        </w:rPr>
        <w:t xml:space="preserve"> and that is privileged against the shareholders:</w:t>
      </w:r>
    </w:p>
    <w:p w14:paraId="3B452825" w14:textId="6A13AF0F" w:rsidR="00433C9B" w:rsidRPr="00767694" w:rsidRDefault="00C26253" w:rsidP="004864F1">
      <w:pPr>
        <w:pStyle w:val="NormalWeb"/>
        <w:spacing w:before="240" w:after="0" w:line="276" w:lineRule="auto"/>
        <w:ind w:left="720"/>
        <w:textAlignment w:val="baseline"/>
        <w:rPr>
          <w:i/>
          <w:iCs/>
          <w:color w:val="333335"/>
        </w:rPr>
      </w:pPr>
      <w:r w:rsidRPr="00767694">
        <w:rPr>
          <w:i/>
          <w:iCs/>
          <w:color w:val="333335"/>
        </w:rPr>
        <w:t>“</w:t>
      </w:r>
      <w:r w:rsidR="000018F9" w:rsidRPr="00767694">
        <w:rPr>
          <w:i/>
          <w:iCs/>
          <w:color w:val="333335"/>
        </w:rPr>
        <w:t xml:space="preserve">10. </w:t>
      </w:r>
      <w:r w:rsidR="0088745B" w:rsidRPr="00767694">
        <w:rPr>
          <w:i/>
          <w:iCs/>
          <w:color w:val="333335"/>
        </w:rPr>
        <w:t>The decision in</w:t>
      </w:r>
      <w:r w:rsidR="0088745B" w:rsidRPr="00767694">
        <w:rPr>
          <w:i/>
          <w:iCs/>
          <w:color w:val="333335"/>
          <w:u w:val="single"/>
        </w:rPr>
        <w:t xml:space="preserve"> Woodhouse</w:t>
      </w:r>
      <w:r w:rsidR="0088745B" w:rsidRPr="00767694">
        <w:rPr>
          <w:i/>
          <w:iCs/>
          <w:color w:val="333335"/>
        </w:rPr>
        <w:t xml:space="preserve"> does not, I think, give any support to the notion that the determining question of whether the general rule or the exception applies is whether the interests of the company and the interests of its shareholders are wholly aligned or not</w:t>
      </w:r>
      <w:r w:rsidR="000B2E90" w:rsidRPr="00767694">
        <w:rPr>
          <w:i/>
          <w:iCs/>
          <w:color w:val="333335"/>
        </w:rPr>
        <w:t>…</w:t>
      </w:r>
      <w:r w:rsidR="00D66176" w:rsidRPr="00767694">
        <w:rPr>
          <w:i/>
          <w:iCs/>
        </w:rPr>
        <w:t xml:space="preserve"> </w:t>
      </w:r>
      <w:r w:rsidR="00D66176" w:rsidRPr="00767694">
        <w:rPr>
          <w:i/>
          <w:iCs/>
          <w:color w:val="333335"/>
        </w:rPr>
        <w:t>The foundation of the exception is still, it seems to me, the existence of actual or threatened litigation, and the taking of advice in connection with the actual or threatened litigation.</w:t>
      </w:r>
    </w:p>
    <w:p w14:paraId="1504AA1A" w14:textId="1DC7002D" w:rsidR="00D66176" w:rsidRPr="00767694" w:rsidRDefault="00D66176" w:rsidP="004864F1">
      <w:pPr>
        <w:pStyle w:val="NormalWeb"/>
        <w:spacing w:before="240" w:after="0" w:line="276" w:lineRule="auto"/>
        <w:ind w:left="720"/>
        <w:textAlignment w:val="baseline"/>
        <w:rPr>
          <w:i/>
          <w:iCs/>
          <w:color w:val="333335"/>
        </w:rPr>
      </w:pPr>
      <w:r w:rsidRPr="00767694">
        <w:rPr>
          <w:i/>
          <w:iCs/>
          <w:color w:val="333335"/>
        </w:rPr>
        <w:t>11.</w:t>
      </w:r>
      <w:r w:rsidR="00CC6ADD" w:rsidRPr="00767694">
        <w:rPr>
          <w:i/>
          <w:iCs/>
          <w:color w:val="333335"/>
        </w:rPr>
        <w:t xml:space="preserve"> It is not disputed that the exception goes beyond actual threatened litigation and encompasses litigation in contemplation. It was expressed by Blackburne J. in </w:t>
      </w:r>
      <w:r w:rsidR="00CC6ADD" w:rsidRPr="00767694">
        <w:rPr>
          <w:i/>
          <w:iCs/>
          <w:color w:val="333335"/>
          <w:u w:val="single"/>
        </w:rPr>
        <w:t>Arrow Trading and Investments &amp; Anr v Edwardian Group Limited &amp; Ors</w:t>
      </w:r>
      <w:r w:rsidR="00CC6ADD" w:rsidRPr="00767694">
        <w:rPr>
          <w:i/>
          <w:iCs/>
          <w:color w:val="333335"/>
        </w:rPr>
        <w:t xml:space="preserve"> [2004] EWHC 13/9 (Ch) at [24] as follows: </w:t>
      </w:r>
      <w:r w:rsidR="00B64FE0" w:rsidRPr="00767694">
        <w:rPr>
          <w:i/>
          <w:iCs/>
          <w:color w:val="333335"/>
        </w:rPr>
        <w:t>“</w:t>
      </w:r>
      <w:r w:rsidR="00CC718D" w:rsidRPr="00767694">
        <w:rPr>
          <w:i/>
          <w:iCs/>
          <w:color w:val="333335"/>
        </w:rPr>
        <w:t>…</w:t>
      </w:r>
      <w:r w:rsidR="00CC6ADD" w:rsidRPr="00767694">
        <w:rPr>
          <w:i/>
          <w:iCs/>
          <w:color w:val="333335"/>
        </w:rPr>
        <w:t>The essential distinction is between advice to the company in connection with the administration of its affairs on behalf of all of its shareholders, and advice to the company in defence of an action, actual, threatened or in contemplation, by a shareholder against the company.”</w:t>
      </w:r>
    </w:p>
    <w:p w14:paraId="48C23DDC" w14:textId="5505B100" w:rsidR="00870BD1" w:rsidRPr="00767694" w:rsidRDefault="00870BD1" w:rsidP="004864F1">
      <w:pPr>
        <w:pStyle w:val="NormalWeb"/>
        <w:spacing w:before="240" w:after="0" w:line="276" w:lineRule="auto"/>
        <w:ind w:left="720"/>
        <w:textAlignment w:val="baseline"/>
        <w:rPr>
          <w:i/>
          <w:iCs/>
          <w:color w:val="333335"/>
        </w:rPr>
      </w:pPr>
      <w:r w:rsidRPr="00767694">
        <w:rPr>
          <w:i/>
          <w:iCs/>
          <w:color w:val="333335"/>
        </w:rPr>
        <w:t>…</w:t>
      </w:r>
    </w:p>
    <w:p w14:paraId="5DE4B8BD" w14:textId="4EDC65B6" w:rsidR="00870BD1" w:rsidRPr="00767694" w:rsidRDefault="00290033" w:rsidP="004864F1">
      <w:pPr>
        <w:pStyle w:val="NormalWeb"/>
        <w:spacing w:before="240" w:after="0" w:line="276" w:lineRule="auto"/>
        <w:ind w:left="720"/>
        <w:textAlignment w:val="baseline"/>
        <w:rPr>
          <w:i/>
          <w:iCs/>
          <w:color w:val="333335"/>
        </w:rPr>
      </w:pPr>
      <w:r w:rsidRPr="00767694">
        <w:rPr>
          <w:i/>
          <w:iCs/>
          <w:color w:val="333335"/>
        </w:rPr>
        <w:t>13…</w:t>
      </w:r>
      <w:r w:rsidR="00237E4C" w:rsidRPr="00767694">
        <w:rPr>
          <w:i/>
          <w:iCs/>
        </w:rPr>
        <w:t xml:space="preserve"> </w:t>
      </w:r>
      <w:r w:rsidR="00237E4C" w:rsidRPr="00767694">
        <w:rPr>
          <w:i/>
          <w:iCs/>
          <w:color w:val="333335"/>
        </w:rPr>
        <w:t>Those citations are all, it seems to me, consistent statements to the effect that the foundation of the exception is the fact that not only the interests of the parties have diverged, but that litigation, actual, threatened or in contemplation, has caused the company to take advice in defence of, in connection with, or relevant to, that actual, threatened or contemplated litigation.</w:t>
      </w:r>
    </w:p>
    <w:p w14:paraId="3C9DA305" w14:textId="16B2E8A9" w:rsidR="00006C25" w:rsidRPr="00767694" w:rsidRDefault="00006C25" w:rsidP="004864F1">
      <w:pPr>
        <w:pStyle w:val="NormalWeb"/>
        <w:spacing w:before="240" w:after="0" w:line="276" w:lineRule="auto"/>
        <w:ind w:left="720"/>
        <w:textAlignment w:val="baseline"/>
        <w:rPr>
          <w:i/>
          <w:iCs/>
          <w:color w:val="333335"/>
        </w:rPr>
      </w:pPr>
      <w:r w:rsidRPr="00767694">
        <w:rPr>
          <w:i/>
          <w:iCs/>
          <w:color w:val="333335"/>
        </w:rPr>
        <w:t>…</w:t>
      </w:r>
    </w:p>
    <w:p w14:paraId="6BE749D6" w14:textId="0009EFC1" w:rsidR="00F13D36" w:rsidRPr="00767694" w:rsidRDefault="00AF4C16" w:rsidP="004864F1">
      <w:pPr>
        <w:pStyle w:val="NormalWeb"/>
        <w:spacing w:before="240" w:after="0" w:line="276" w:lineRule="auto"/>
        <w:ind w:left="720"/>
        <w:textAlignment w:val="baseline"/>
        <w:rPr>
          <w:i/>
          <w:iCs/>
          <w:color w:val="333335"/>
        </w:rPr>
      </w:pPr>
      <w:r w:rsidRPr="00767694">
        <w:rPr>
          <w:i/>
          <w:iCs/>
          <w:color w:val="333335"/>
        </w:rPr>
        <w:t>20</w:t>
      </w:r>
      <w:r w:rsidR="003448F5" w:rsidRPr="00767694">
        <w:rPr>
          <w:i/>
          <w:iCs/>
          <w:color w:val="333335"/>
        </w:rPr>
        <w:t>…</w:t>
      </w:r>
      <w:r w:rsidR="00F13D36" w:rsidRPr="00767694">
        <w:rPr>
          <w:i/>
          <w:iCs/>
        </w:rPr>
        <w:t xml:space="preserve"> </w:t>
      </w:r>
      <w:r w:rsidR="00F13D36" w:rsidRPr="00767694">
        <w:rPr>
          <w:i/>
          <w:iCs/>
          <w:color w:val="333335"/>
        </w:rPr>
        <w:t>Even if it were shown that there were circumstances which made it appropriate to conclude that litigation was in reasonable contemplation on 18</w:t>
      </w:r>
      <w:r w:rsidR="00F13D36" w:rsidRPr="00767694">
        <w:rPr>
          <w:i/>
          <w:iCs/>
          <w:color w:val="333335"/>
          <w:vertAlign w:val="superscript"/>
        </w:rPr>
        <w:t>th</w:t>
      </w:r>
      <w:r w:rsidR="00F13D36" w:rsidRPr="00767694">
        <w:rPr>
          <w:i/>
          <w:iCs/>
          <w:color w:val="333335"/>
        </w:rPr>
        <w:t xml:space="preserve"> September or 8</w:t>
      </w:r>
      <w:r w:rsidR="00F13D36" w:rsidRPr="00767694">
        <w:rPr>
          <w:i/>
          <w:iCs/>
          <w:color w:val="333335"/>
          <w:vertAlign w:val="superscript"/>
        </w:rPr>
        <w:t>th</w:t>
      </w:r>
      <w:r w:rsidR="00F13D36" w:rsidRPr="00767694">
        <w:rPr>
          <w:i/>
          <w:iCs/>
          <w:color w:val="333335"/>
        </w:rPr>
        <w:t xml:space="preserve"> October (or any other date in 2008), it does not follow that all legal advice taken from that date by the board was advice in defence of or in connection with that contemplated litigation. </w:t>
      </w:r>
    </w:p>
    <w:p w14:paraId="27A12020" w14:textId="65C6C7BD" w:rsidR="00433C9B" w:rsidRDefault="00F13D36" w:rsidP="004864F1">
      <w:pPr>
        <w:pStyle w:val="NormalWeb"/>
        <w:spacing w:before="240" w:after="0" w:line="276" w:lineRule="auto"/>
        <w:ind w:left="720"/>
        <w:textAlignment w:val="baseline"/>
        <w:rPr>
          <w:i/>
          <w:iCs/>
          <w:color w:val="333335"/>
        </w:rPr>
      </w:pPr>
      <w:r w:rsidRPr="00767694">
        <w:rPr>
          <w:i/>
          <w:iCs/>
          <w:color w:val="333335"/>
        </w:rPr>
        <w:t>21 In my judgment, for the reasons I have sought to express it is only advice of the latter type, advice which was obtained by the company to enable it to carry on with litigation, advice which was in connection with that dispute, advice in defence of the contemplated litigation, which falls within the exception to the general rule, and that is privileged against the shareholders</w:t>
      </w:r>
      <w:r w:rsidR="00767694" w:rsidRPr="00767694">
        <w:rPr>
          <w:i/>
          <w:iCs/>
          <w:color w:val="333335"/>
        </w:rPr>
        <w:t>…”</w:t>
      </w:r>
    </w:p>
    <w:p w14:paraId="39F60B86" w14:textId="77777777" w:rsidR="00C0468C" w:rsidRDefault="00C0468C" w:rsidP="004864F1">
      <w:pPr>
        <w:pStyle w:val="NormalWeb"/>
        <w:spacing w:before="240" w:after="0" w:line="276" w:lineRule="auto"/>
        <w:ind w:left="720"/>
        <w:textAlignment w:val="baseline"/>
        <w:rPr>
          <w:i/>
          <w:iCs/>
          <w:color w:val="333335"/>
        </w:rPr>
      </w:pPr>
    </w:p>
    <w:p w14:paraId="36AA79A3" w14:textId="02D24AE1" w:rsidR="00C0468C" w:rsidRDefault="00D94BC2" w:rsidP="00633E74">
      <w:pPr>
        <w:pStyle w:val="NormalWeb"/>
        <w:numPr>
          <w:ilvl w:val="0"/>
          <w:numId w:val="13"/>
        </w:numPr>
        <w:tabs>
          <w:tab w:val="left" w:pos="450"/>
        </w:tabs>
        <w:spacing w:before="240" w:after="0" w:line="360" w:lineRule="auto"/>
        <w:ind w:left="450" w:hanging="450"/>
        <w:jc w:val="both"/>
        <w:textAlignment w:val="baseline"/>
        <w:rPr>
          <w:color w:val="333335"/>
        </w:rPr>
      </w:pPr>
      <w:r>
        <w:rPr>
          <w:color w:val="333335"/>
        </w:rPr>
        <w:t>The above review of the authorities clearly establishes that in relation to minority oppression proceedings</w:t>
      </w:r>
      <w:r w:rsidR="000735A0">
        <w:rPr>
          <w:color w:val="333335"/>
        </w:rPr>
        <w:t xml:space="preserve"> under section 111 of the Act or under section 459 of the English Companies Act 1985</w:t>
      </w:r>
      <w:r w:rsidR="0030748B">
        <w:rPr>
          <w:color w:val="333335"/>
        </w:rPr>
        <w:t xml:space="preserve"> (i) the company is only a nominal party to the proceedings; (ii) the proceedings concern disputes between the shareholders inter</w:t>
      </w:r>
      <w:r w:rsidR="009942D4">
        <w:rPr>
          <w:color w:val="333335"/>
        </w:rPr>
        <w:t>-se; (iii) the company is expected to maintain a neutral position in the dispute between the shareholders; (iv) the company is not allowed to expand</w:t>
      </w:r>
      <w:r w:rsidR="008C492A">
        <w:rPr>
          <w:color w:val="333335"/>
        </w:rPr>
        <w:t xml:space="preserve"> its monies in relation to these proceedings. Based upon these features of the minority oppression proceedings</w:t>
      </w:r>
      <w:r w:rsidR="00EB2F37">
        <w:rPr>
          <w:color w:val="333335"/>
        </w:rPr>
        <w:t>,</w:t>
      </w:r>
      <w:r w:rsidR="008C492A">
        <w:rPr>
          <w:color w:val="333335"/>
        </w:rPr>
        <w:t xml:space="preserve"> the courts have held that these proceedings are not in the nature of hostile proceedings against the company.</w:t>
      </w:r>
    </w:p>
    <w:p w14:paraId="0B9AD3C8" w14:textId="77777777" w:rsidR="00EB2F37" w:rsidRDefault="00EB2F37" w:rsidP="00C0468C">
      <w:pPr>
        <w:pStyle w:val="NormalWeb"/>
        <w:spacing w:before="240" w:after="0" w:line="360" w:lineRule="auto"/>
        <w:textAlignment w:val="baseline"/>
        <w:rPr>
          <w:color w:val="333335"/>
        </w:rPr>
      </w:pPr>
    </w:p>
    <w:p w14:paraId="25713C89" w14:textId="77601956" w:rsidR="00EB2F37" w:rsidRDefault="00EB2F37" w:rsidP="00633E74">
      <w:pPr>
        <w:pStyle w:val="NormalWeb"/>
        <w:numPr>
          <w:ilvl w:val="0"/>
          <w:numId w:val="13"/>
        </w:numPr>
        <w:tabs>
          <w:tab w:val="left" w:pos="450"/>
        </w:tabs>
        <w:spacing w:before="240" w:after="0" w:line="360" w:lineRule="auto"/>
        <w:ind w:left="450" w:hanging="450"/>
        <w:jc w:val="both"/>
        <w:textAlignment w:val="baseline"/>
        <w:rPr>
          <w:color w:val="333335"/>
        </w:rPr>
      </w:pPr>
      <w:r>
        <w:rPr>
          <w:color w:val="333335"/>
        </w:rPr>
        <w:t xml:space="preserve">The Court does not consider that the appraisal actions under section 106 of the Act by the shareholders </w:t>
      </w:r>
      <w:r w:rsidR="00EB3B58">
        <w:rPr>
          <w:color w:val="333335"/>
        </w:rPr>
        <w:t xml:space="preserve">against </w:t>
      </w:r>
      <w:r w:rsidR="00970287">
        <w:rPr>
          <w:color w:val="333335"/>
        </w:rPr>
        <w:t>the</w:t>
      </w:r>
      <w:r w:rsidR="00EB3B58">
        <w:rPr>
          <w:color w:val="333335"/>
        </w:rPr>
        <w:t xml:space="preserve"> </w:t>
      </w:r>
      <w:r>
        <w:rPr>
          <w:color w:val="333335"/>
        </w:rPr>
        <w:t>company</w:t>
      </w:r>
      <w:r w:rsidR="00861AFC">
        <w:rPr>
          <w:color w:val="333335"/>
        </w:rPr>
        <w:t xml:space="preserve"> are in the same category as minority oppression proceedings</w:t>
      </w:r>
      <w:r w:rsidR="00C37491">
        <w:rPr>
          <w:color w:val="333335"/>
        </w:rPr>
        <w:t xml:space="preserve"> and proceedings under section 106 are capable of constituting hostile proceedings against </w:t>
      </w:r>
      <w:r w:rsidR="00970287">
        <w:rPr>
          <w:color w:val="333335"/>
        </w:rPr>
        <w:t>the</w:t>
      </w:r>
      <w:r w:rsidR="00C37491">
        <w:rPr>
          <w:color w:val="333335"/>
        </w:rPr>
        <w:t xml:space="preserve"> company.</w:t>
      </w:r>
      <w:r w:rsidR="005361E5">
        <w:rPr>
          <w:color w:val="333335"/>
        </w:rPr>
        <w:t xml:space="preserve"> In section 106 proceedings the shareholders are pursuing a statutory remedy against</w:t>
      </w:r>
      <w:r w:rsidR="00970287">
        <w:rPr>
          <w:color w:val="333335"/>
        </w:rPr>
        <w:t xml:space="preserve"> the company.</w:t>
      </w:r>
      <w:r w:rsidR="008A58C7">
        <w:rPr>
          <w:color w:val="333335"/>
        </w:rPr>
        <w:t xml:space="preserve"> The company (following amalgamation) is not merely a nominal defendant in </w:t>
      </w:r>
      <w:r w:rsidR="006E7536">
        <w:rPr>
          <w:color w:val="333335"/>
        </w:rPr>
        <w:t>section 106</w:t>
      </w:r>
      <w:r w:rsidR="008A58C7">
        <w:rPr>
          <w:color w:val="333335"/>
        </w:rPr>
        <w:t xml:space="preserve"> proceedings</w:t>
      </w:r>
      <w:r w:rsidR="006E7536">
        <w:rPr>
          <w:color w:val="333335"/>
        </w:rPr>
        <w:t xml:space="preserve"> but defendant who would be liable to pay the difference to the shareholders in the event the Court determines that the fair value of the shares is higher than the </w:t>
      </w:r>
      <w:r w:rsidR="00C43AF9">
        <w:rPr>
          <w:color w:val="333335"/>
        </w:rPr>
        <w:t>under the terms of the amalgamation. A company in section 106 proceedings</w:t>
      </w:r>
      <w:r w:rsidR="00E030DA">
        <w:rPr>
          <w:color w:val="333335"/>
        </w:rPr>
        <w:t xml:space="preserve"> faces, as these proceedings demonstrate, protracted and bitterly fought litigation which may last many years. </w:t>
      </w:r>
      <w:r w:rsidR="00F11566">
        <w:rPr>
          <w:color w:val="333335"/>
        </w:rPr>
        <w:t xml:space="preserve">In the present proceedings </w:t>
      </w:r>
      <w:r w:rsidR="00121087">
        <w:rPr>
          <w:color w:val="333335"/>
        </w:rPr>
        <w:t xml:space="preserve">there have already been three hearings lasting for 12 days at which the Plaintiffs have been represented by four leading English counsel. </w:t>
      </w:r>
      <w:r w:rsidR="00E030DA">
        <w:rPr>
          <w:color w:val="333335"/>
        </w:rPr>
        <w:t>Such proceedings clearly</w:t>
      </w:r>
      <w:r w:rsidR="00E103BC">
        <w:rPr>
          <w:color w:val="333335"/>
        </w:rPr>
        <w:t xml:space="preserve"> have a financial impact on the company in </w:t>
      </w:r>
      <w:r w:rsidR="004C49D5">
        <w:rPr>
          <w:color w:val="333335"/>
        </w:rPr>
        <w:t>question,</w:t>
      </w:r>
      <w:r w:rsidR="00E103BC">
        <w:rPr>
          <w:color w:val="333335"/>
        </w:rPr>
        <w:t xml:space="preserve"> but they also represent a huge burden on the management resources of the company. In the circumstances the Court has no hesitation in concluding that, unlike minority oppression proceedings, section 1</w:t>
      </w:r>
      <w:r w:rsidR="004C49D5">
        <w:rPr>
          <w:color w:val="333335"/>
        </w:rPr>
        <w:t>0</w:t>
      </w:r>
      <w:r w:rsidR="00E103BC">
        <w:rPr>
          <w:color w:val="333335"/>
        </w:rPr>
        <w:t>6 appraisal actions are capable of constituting hostile proceedings</w:t>
      </w:r>
      <w:r w:rsidR="00A35418">
        <w:rPr>
          <w:color w:val="333335"/>
        </w:rPr>
        <w:t xml:space="preserve"> against the company. Any company faced with such hostile proceedings is entitled to obtain legal advice in connection with such proceedings</w:t>
      </w:r>
      <w:r w:rsidR="00F74DBC">
        <w:rPr>
          <w:color w:val="333335"/>
        </w:rPr>
        <w:t xml:space="preserve"> and that advice is protected from disclosure from the shareholders</w:t>
      </w:r>
      <w:r w:rsidR="00857BFB">
        <w:rPr>
          <w:color w:val="333335"/>
        </w:rPr>
        <w:t xml:space="preserve"> such hostile proceedings.</w:t>
      </w:r>
    </w:p>
    <w:p w14:paraId="61C552B5" w14:textId="77777777" w:rsidR="00857BFB" w:rsidRDefault="00857BFB" w:rsidP="00C0468C">
      <w:pPr>
        <w:pStyle w:val="NormalWeb"/>
        <w:spacing w:before="240" w:after="0" w:line="360" w:lineRule="auto"/>
        <w:textAlignment w:val="baseline"/>
        <w:rPr>
          <w:color w:val="333335"/>
        </w:rPr>
      </w:pPr>
    </w:p>
    <w:p w14:paraId="073BCE37" w14:textId="64A47F4E" w:rsidR="00857BFB" w:rsidRDefault="00857BFB" w:rsidP="00633E74">
      <w:pPr>
        <w:pStyle w:val="NormalWeb"/>
        <w:numPr>
          <w:ilvl w:val="0"/>
          <w:numId w:val="13"/>
        </w:numPr>
        <w:tabs>
          <w:tab w:val="left" w:pos="450"/>
        </w:tabs>
        <w:spacing w:before="240" w:after="0" w:line="360" w:lineRule="auto"/>
        <w:ind w:left="450" w:hanging="450"/>
        <w:jc w:val="both"/>
        <w:textAlignment w:val="baseline"/>
        <w:rPr>
          <w:color w:val="333335"/>
        </w:rPr>
      </w:pPr>
      <w:r>
        <w:rPr>
          <w:color w:val="333335"/>
        </w:rPr>
        <w:t>In this case for the reasons set out in paragraph</w:t>
      </w:r>
      <w:r w:rsidR="00B27221">
        <w:rPr>
          <w:color w:val="333335"/>
        </w:rPr>
        <w:t xml:space="preserve"> 156</w:t>
      </w:r>
      <w:r w:rsidRPr="00857BFB">
        <w:rPr>
          <w:b/>
          <w:bCs/>
          <w:color w:val="333335"/>
        </w:rPr>
        <w:t xml:space="preserve"> </w:t>
      </w:r>
      <w:r>
        <w:rPr>
          <w:color w:val="333335"/>
        </w:rPr>
        <w:t>above</w:t>
      </w:r>
      <w:r w:rsidR="005A0073">
        <w:rPr>
          <w:color w:val="333335"/>
        </w:rPr>
        <w:t xml:space="preserve"> the Court concludes that it was virtually inevitable that there would be appraisal actions by the shareholders if the amalgamation was going to be announced and implemented. This is demonstrated by the fact that the 78% of the Plaintiffs</w:t>
      </w:r>
      <w:r w:rsidR="00693B31">
        <w:rPr>
          <w:color w:val="333335"/>
        </w:rPr>
        <w:t xml:space="preserve"> acquired their shares (or depositary receipts) after the first announcement of the proposed amalgamation, with the knowledge that the amalgamation was a foregone conclusion.</w:t>
      </w:r>
      <w:r w:rsidR="007B1662">
        <w:rPr>
          <w:color w:val="333335"/>
        </w:rPr>
        <w:t xml:space="preserve"> It is also demonstrated</w:t>
      </w:r>
      <w:r w:rsidR="00F3232A">
        <w:rPr>
          <w:color w:val="333335"/>
        </w:rPr>
        <w:t xml:space="preserve"> by similar steps having been taken in relation to recent amalgamation</w:t>
      </w:r>
      <w:r w:rsidR="00A65955">
        <w:rPr>
          <w:color w:val="333335"/>
        </w:rPr>
        <w:t xml:space="preserve"> in the Cayman Islands involving Hong Kong based companies</w:t>
      </w:r>
      <w:r w:rsidR="00693387">
        <w:rPr>
          <w:color w:val="333335"/>
        </w:rPr>
        <w:t xml:space="preserve">. The Court holds that as at the time when the </w:t>
      </w:r>
      <w:r w:rsidR="007419A4">
        <w:rPr>
          <w:color w:val="333335"/>
        </w:rPr>
        <w:t>C</w:t>
      </w:r>
      <w:r w:rsidR="00693387">
        <w:rPr>
          <w:color w:val="333335"/>
        </w:rPr>
        <w:t xml:space="preserve">ompany and Jardine Matheson decided to implement the necessary steps to accomplish the amalgamation, section 106 proceedings against the </w:t>
      </w:r>
      <w:r w:rsidR="007419A4">
        <w:rPr>
          <w:color w:val="333335"/>
        </w:rPr>
        <w:t>C</w:t>
      </w:r>
      <w:r w:rsidR="00693387">
        <w:rPr>
          <w:color w:val="333335"/>
        </w:rPr>
        <w:t>ompany</w:t>
      </w:r>
      <w:r w:rsidR="00F16050">
        <w:rPr>
          <w:color w:val="333335"/>
        </w:rPr>
        <w:t xml:space="preserve"> were in contemplation</w:t>
      </w:r>
      <w:r w:rsidR="00FE40CE">
        <w:rPr>
          <w:color w:val="333335"/>
        </w:rPr>
        <w:t xml:space="preserve"> of the Company. Any other conclusion, in the Court’s view, would be entirely contrary to the Cayman Islands experience of similar amalgamations involving</w:t>
      </w:r>
      <w:r w:rsidR="00A211D8">
        <w:rPr>
          <w:color w:val="333335"/>
        </w:rPr>
        <w:t xml:space="preserve"> Hong Kong based companies and the actual experience in this case. The Court accepts Mr Moore KC’s submission</w:t>
      </w:r>
      <w:r w:rsidR="0052500E">
        <w:rPr>
          <w:color w:val="333335"/>
        </w:rPr>
        <w:t xml:space="preserve"> that the present litigation was in contemplation of the Company by the time the Transaction Committee was established on 19 February 2021.</w:t>
      </w:r>
    </w:p>
    <w:p w14:paraId="2C0968A2" w14:textId="77777777" w:rsidR="0052500E" w:rsidRDefault="0052500E" w:rsidP="00C0468C">
      <w:pPr>
        <w:pStyle w:val="NormalWeb"/>
        <w:spacing w:before="240" w:after="0" w:line="360" w:lineRule="auto"/>
        <w:textAlignment w:val="baseline"/>
        <w:rPr>
          <w:color w:val="333335"/>
        </w:rPr>
      </w:pPr>
    </w:p>
    <w:p w14:paraId="16F646D4" w14:textId="255D594C" w:rsidR="0052500E" w:rsidRDefault="0052500E" w:rsidP="00633E74">
      <w:pPr>
        <w:pStyle w:val="NormalWeb"/>
        <w:numPr>
          <w:ilvl w:val="0"/>
          <w:numId w:val="13"/>
        </w:numPr>
        <w:tabs>
          <w:tab w:val="left" w:pos="450"/>
        </w:tabs>
        <w:spacing w:before="240" w:after="0" w:line="360" w:lineRule="auto"/>
        <w:ind w:left="450" w:hanging="450"/>
        <w:jc w:val="both"/>
        <w:textAlignment w:val="baseline"/>
        <w:rPr>
          <w:color w:val="333335"/>
        </w:rPr>
      </w:pPr>
      <w:r>
        <w:rPr>
          <w:color w:val="333335"/>
        </w:rPr>
        <w:t>The Court accepts the Transaction Committee and indeed the Company</w:t>
      </w:r>
      <w:r w:rsidR="001E4F8A">
        <w:rPr>
          <w:color w:val="333335"/>
        </w:rPr>
        <w:t xml:space="preserve"> had an obligation to ensure that the minority shareholders were paid fair value for their shares in accordance with section 106 of the Act. </w:t>
      </w:r>
      <w:r w:rsidR="00C8667E">
        <w:rPr>
          <w:color w:val="333335"/>
        </w:rPr>
        <w:t>The Court does not accept that the existence of this obligation on the part of the Company or the Transaction Committee necessarily means that the Company could not at the same time take the view that section 106 appraisal proceedings</w:t>
      </w:r>
      <w:r w:rsidR="00FC3EF5">
        <w:rPr>
          <w:color w:val="333335"/>
        </w:rPr>
        <w:t xml:space="preserve"> (hostile proceedings) were in contemplation and indeed inevitable. There is no conceptual reason why</w:t>
      </w:r>
      <w:r w:rsidR="00F62210">
        <w:rPr>
          <w:color w:val="333335"/>
        </w:rPr>
        <w:t xml:space="preserve"> (i) the obligation on the part of the Company and the Transaction Committee to ensure that the minority shareholders receive fair value for their shares; and (ii)</w:t>
      </w:r>
      <w:r w:rsidR="002971F3">
        <w:rPr>
          <w:color w:val="333335"/>
        </w:rPr>
        <w:t xml:space="preserve"> an appreciation on the part of the Company and the Transaction Committee that appraisal litigation was in contemplation and indeed inevitable, could not exist at the same time</w:t>
      </w:r>
      <w:r w:rsidR="00302ED4">
        <w:rPr>
          <w:color w:val="333335"/>
        </w:rPr>
        <w:t>.</w:t>
      </w:r>
    </w:p>
    <w:p w14:paraId="31B85172" w14:textId="77777777" w:rsidR="00302ED4" w:rsidRDefault="00302ED4" w:rsidP="00C0468C">
      <w:pPr>
        <w:pStyle w:val="NormalWeb"/>
        <w:spacing w:before="240" w:after="0" w:line="360" w:lineRule="auto"/>
        <w:textAlignment w:val="baseline"/>
        <w:rPr>
          <w:color w:val="333335"/>
        </w:rPr>
      </w:pPr>
    </w:p>
    <w:p w14:paraId="708AF716" w14:textId="61D285F7" w:rsidR="00302ED4" w:rsidRDefault="00302ED4" w:rsidP="00633E74">
      <w:pPr>
        <w:pStyle w:val="NormalWeb"/>
        <w:numPr>
          <w:ilvl w:val="0"/>
          <w:numId w:val="13"/>
        </w:numPr>
        <w:tabs>
          <w:tab w:val="left" w:pos="450"/>
        </w:tabs>
        <w:spacing w:before="240" w:after="0" w:line="360" w:lineRule="auto"/>
        <w:ind w:left="450" w:hanging="450"/>
        <w:jc w:val="both"/>
        <w:textAlignment w:val="baseline"/>
        <w:rPr>
          <w:color w:val="333335"/>
        </w:rPr>
      </w:pPr>
      <w:r>
        <w:rPr>
          <w:color w:val="333335"/>
        </w:rPr>
        <w:t>Accordingly, the Court concludes that</w:t>
      </w:r>
      <w:r w:rsidR="000D1DF3">
        <w:rPr>
          <w:color w:val="333335"/>
        </w:rPr>
        <w:t xml:space="preserve"> based</w:t>
      </w:r>
      <w:r>
        <w:rPr>
          <w:color w:val="333335"/>
        </w:rPr>
        <w:t xml:space="preserve"> on the facts </w:t>
      </w:r>
      <w:r w:rsidR="001F5AE2">
        <w:rPr>
          <w:color w:val="333335"/>
        </w:rPr>
        <w:t>set out in paragraph</w:t>
      </w:r>
      <w:r w:rsidR="00B27221">
        <w:rPr>
          <w:color w:val="333335"/>
        </w:rPr>
        <w:t xml:space="preserve"> 156</w:t>
      </w:r>
      <w:r w:rsidR="001F5AE2">
        <w:rPr>
          <w:color w:val="333335"/>
        </w:rPr>
        <w:t xml:space="preserve"> above</w:t>
      </w:r>
      <w:r w:rsidR="00831261">
        <w:rPr>
          <w:color w:val="333335"/>
        </w:rPr>
        <w:t xml:space="preserve"> litigation in the form of section 106 proceedings was indeed in contemplation by </w:t>
      </w:r>
      <w:r w:rsidR="00536E17">
        <w:rPr>
          <w:color w:val="333335"/>
        </w:rPr>
        <w:t>the time the Transaction Committee was established on 19 February 2021. As a result, in accordance with the decision of Nugee J</w:t>
      </w:r>
      <w:r w:rsidR="0019758D">
        <w:rPr>
          <w:color w:val="333335"/>
        </w:rPr>
        <w:t xml:space="preserve"> in </w:t>
      </w:r>
      <w:r w:rsidR="0019758D" w:rsidRPr="00CF21E7">
        <w:rPr>
          <w:i/>
          <w:iCs/>
          <w:color w:val="333335"/>
        </w:rPr>
        <w:t>Sharp v Lloyd</w:t>
      </w:r>
      <w:r w:rsidR="0019758D">
        <w:rPr>
          <w:color w:val="333335"/>
        </w:rPr>
        <w:t>, any legal advice sought and received, o</w:t>
      </w:r>
      <w:r w:rsidR="00AD12B7">
        <w:rPr>
          <w:color w:val="333335"/>
        </w:rPr>
        <w:t xml:space="preserve">n or after </w:t>
      </w:r>
      <w:r w:rsidR="0019758D">
        <w:rPr>
          <w:color w:val="333335"/>
        </w:rPr>
        <w:t>19</w:t>
      </w:r>
      <w:r w:rsidR="00AD12B7">
        <w:rPr>
          <w:color w:val="333335"/>
        </w:rPr>
        <w:t xml:space="preserve"> February</w:t>
      </w:r>
      <w:r w:rsidR="0019758D">
        <w:rPr>
          <w:color w:val="333335"/>
        </w:rPr>
        <w:t xml:space="preserve"> 2021,</w:t>
      </w:r>
      <w:r w:rsidR="008A0472">
        <w:rPr>
          <w:color w:val="333335"/>
        </w:rPr>
        <w:t xml:space="preserve"> by the Company and/or the Transaction Committee in defence of or in connection with the contemplated section 106 proceedings will</w:t>
      </w:r>
      <w:r w:rsidR="00A75404">
        <w:rPr>
          <w:color w:val="333335"/>
        </w:rPr>
        <w:t xml:space="preserve"> fall within the exception to the general rule and that is privileged against the shareholders.</w:t>
      </w:r>
    </w:p>
    <w:p w14:paraId="46AF665B" w14:textId="77777777" w:rsidR="00DF26EB" w:rsidRPr="009F2593" w:rsidRDefault="00DF26EB" w:rsidP="00C0468C">
      <w:pPr>
        <w:pStyle w:val="NormalWeb"/>
        <w:spacing w:before="240" w:after="0" w:line="360" w:lineRule="auto"/>
        <w:textAlignment w:val="baseline"/>
        <w:rPr>
          <w:b/>
          <w:bCs/>
          <w:i/>
          <w:iCs/>
          <w:color w:val="333335"/>
        </w:rPr>
      </w:pPr>
    </w:p>
    <w:p w14:paraId="7897BE1B" w14:textId="0388B199" w:rsidR="00DF26EB" w:rsidRDefault="009F2593" w:rsidP="00C0468C">
      <w:pPr>
        <w:pStyle w:val="NormalWeb"/>
        <w:spacing w:before="240" w:after="0" w:line="360" w:lineRule="auto"/>
        <w:textAlignment w:val="baseline"/>
        <w:rPr>
          <w:b/>
          <w:bCs/>
          <w:i/>
          <w:iCs/>
          <w:color w:val="333335"/>
        </w:rPr>
      </w:pPr>
      <w:r w:rsidRPr="009F2593">
        <w:rPr>
          <w:b/>
          <w:bCs/>
          <w:i/>
          <w:iCs/>
          <w:color w:val="333335"/>
        </w:rPr>
        <w:t>Should the English rule be imported into Bermuda law</w:t>
      </w:r>
    </w:p>
    <w:p w14:paraId="7F42DA00" w14:textId="77777777" w:rsidR="009F2593" w:rsidRPr="001272F7" w:rsidRDefault="009F2593" w:rsidP="00C0468C">
      <w:pPr>
        <w:pStyle w:val="NormalWeb"/>
        <w:spacing w:before="240" w:after="0" w:line="360" w:lineRule="auto"/>
        <w:textAlignment w:val="baseline"/>
        <w:rPr>
          <w:color w:val="333335"/>
        </w:rPr>
      </w:pPr>
    </w:p>
    <w:p w14:paraId="4759DC5D" w14:textId="697492D2" w:rsidR="009F2593" w:rsidRDefault="003E4125" w:rsidP="00633E74">
      <w:pPr>
        <w:pStyle w:val="NormalWeb"/>
        <w:numPr>
          <w:ilvl w:val="0"/>
          <w:numId w:val="13"/>
        </w:numPr>
        <w:tabs>
          <w:tab w:val="left" w:pos="450"/>
        </w:tabs>
        <w:spacing w:before="240" w:after="0" w:line="360" w:lineRule="auto"/>
        <w:ind w:left="450" w:hanging="450"/>
        <w:jc w:val="both"/>
        <w:textAlignment w:val="baseline"/>
        <w:rPr>
          <w:color w:val="333335"/>
        </w:rPr>
      </w:pPr>
      <w:r w:rsidRPr="001272F7">
        <w:rPr>
          <w:color w:val="333335"/>
        </w:rPr>
        <w:t>As set out</w:t>
      </w:r>
      <w:r w:rsidR="001272F7" w:rsidRPr="001272F7">
        <w:rPr>
          <w:color w:val="333335"/>
        </w:rPr>
        <w:t xml:space="preserve"> in paragraphs</w:t>
      </w:r>
      <w:r w:rsidR="00B27221">
        <w:rPr>
          <w:color w:val="333335"/>
        </w:rPr>
        <w:t xml:space="preserve"> 135</w:t>
      </w:r>
      <w:r w:rsidR="001272F7" w:rsidRPr="001272F7">
        <w:rPr>
          <w:color w:val="333335"/>
        </w:rPr>
        <w:t xml:space="preserve"> to</w:t>
      </w:r>
      <w:r w:rsidR="00B27221">
        <w:rPr>
          <w:color w:val="333335"/>
        </w:rPr>
        <w:t xml:space="preserve"> 143</w:t>
      </w:r>
      <w:r w:rsidR="001272F7" w:rsidRPr="001272F7">
        <w:rPr>
          <w:color w:val="333335"/>
        </w:rPr>
        <w:t xml:space="preserve"> above</w:t>
      </w:r>
      <w:r w:rsidR="001272F7">
        <w:rPr>
          <w:color w:val="333335"/>
        </w:rPr>
        <w:t xml:space="preserve">, </w:t>
      </w:r>
      <w:r w:rsidR="008C6299">
        <w:rPr>
          <w:color w:val="333335"/>
        </w:rPr>
        <w:t>t</w:t>
      </w:r>
      <w:r w:rsidR="008C6299" w:rsidRPr="008C6299">
        <w:rPr>
          <w:color w:val="333335"/>
        </w:rPr>
        <w:t xml:space="preserve">he English </w:t>
      </w:r>
      <w:r w:rsidR="004C3E97">
        <w:rPr>
          <w:color w:val="333335"/>
        </w:rPr>
        <w:t>r</w:t>
      </w:r>
      <w:r w:rsidR="008C6299" w:rsidRPr="008C6299">
        <w:rPr>
          <w:color w:val="333335"/>
        </w:rPr>
        <w:t>ule precluding a company from claiming privilege against its shareholders has its origin in cases decided in the 1880s, directly applying partnership and trust principles. At that time, there was a widely held view that a beneficiary of a trust, if he established an equitable interest in trust property, had a right to inspect documents held by trustees because he had a proprietary right in them and they were, in a sense,</w:t>
      </w:r>
      <w:r w:rsidR="008E6907">
        <w:rPr>
          <w:color w:val="333335"/>
        </w:rPr>
        <w:t xml:space="preserve"> his own.</w:t>
      </w:r>
      <w:r w:rsidR="0025392A">
        <w:rPr>
          <w:color w:val="333335"/>
        </w:rPr>
        <w:t xml:space="preserve"> </w:t>
      </w:r>
      <w:r w:rsidR="0025392A" w:rsidRPr="0025392A">
        <w:rPr>
          <w:color w:val="333335"/>
        </w:rPr>
        <w:t>The trust principles were directly carried across to the company–shareholder relationship without regard for a company’s separate legal personality.</w:t>
      </w:r>
    </w:p>
    <w:p w14:paraId="6EBA4D2B" w14:textId="77777777" w:rsidR="00652E13" w:rsidRDefault="00652E13" w:rsidP="0025392A">
      <w:pPr>
        <w:pStyle w:val="NormalWeb"/>
        <w:spacing w:before="240" w:after="0" w:line="360" w:lineRule="auto"/>
        <w:textAlignment w:val="baseline"/>
        <w:rPr>
          <w:color w:val="333335"/>
        </w:rPr>
      </w:pPr>
    </w:p>
    <w:p w14:paraId="7E5485F3" w14:textId="717498A9" w:rsidR="003D21D3" w:rsidRDefault="00652E13" w:rsidP="00633E74">
      <w:pPr>
        <w:pStyle w:val="NormalWeb"/>
        <w:numPr>
          <w:ilvl w:val="0"/>
          <w:numId w:val="13"/>
        </w:numPr>
        <w:tabs>
          <w:tab w:val="left" w:pos="450"/>
        </w:tabs>
        <w:spacing w:before="240" w:after="0" w:line="360" w:lineRule="auto"/>
        <w:ind w:left="450" w:hanging="450"/>
        <w:jc w:val="both"/>
        <w:textAlignment w:val="baseline"/>
        <w:rPr>
          <w:color w:val="333335"/>
        </w:rPr>
      </w:pPr>
      <w:r>
        <w:rPr>
          <w:color w:val="333335"/>
        </w:rPr>
        <w:t xml:space="preserve">As </w:t>
      </w:r>
      <w:r w:rsidRPr="00062922">
        <w:rPr>
          <w:i/>
          <w:iCs/>
          <w:color w:val="333335"/>
        </w:rPr>
        <w:t>Hollander</w:t>
      </w:r>
      <w:r w:rsidR="00C74349" w:rsidRPr="00062922">
        <w:rPr>
          <w:i/>
          <w:iCs/>
          <w:color w:val="333335"/>
        </w:rPr>
        <w:t xml:space="preserve"> </w:t>
      </w:r>
      <w:r w:rsidR="00C74349">
        <w:rPr>
          <w:color w:val="333335"/>
        </w:rPr>
        <w:t>rightly observes</w:t>
      </w:r>
      <w:r w:rsidR="00E917B8">
        <w:rPr>
          <w:color w:val="333335"/>
        </w:rPr>
        <w:t xml:space="preserve"> at</w:t>
      </w:r>
      <w:r w:rsidR="00877710">
        <w:rPr>
          <w:color w:val="333335"/>
        </w:rPr>
        <w:t xml:space="preserve"> 5-02 that the princip</w:t>
      </w:r>
      <w:r w:rsidR="00382C69">
        <w:rPr>
          <w:color w:val="333335"/>
        </w:rPr>
        <w:t>le</w:t>
      </w:r>
      <w:r w:rsidR="00877710">
        <w:rPr>
          <w:color w:val="333335"/>
        </w:rPr>
        <w:t xml:space="preserve"> was established</w:t>
      </w:r>
      <w:r w:rsidR="003D21D3">
        <w:rPr>
          <w:color w:val="333335"/>
        </w:rPr>
        <w:t xml:space="preserve"> in the 19</w:t>
      </w:r>
      <w:r w:rsidR="003D21D3" w:rsidRPr="003D21D3">
        <w:rPr>
          <w:color w:val="333335"/>
          <w:vertAlign w:val="superscript"/>
        </w:rPr>
        <w:t>th</w:t>
      </w:r>
      <w:r w:rsidR="003D21D3">
        <w:rPr>
          <w:color w:val="333335"/>
        </w:rPr>
        <w:t xml:space="preserve"> century before cases such as </w:t>
      </w:r>
      <w:r w:rsidR="003A7C3E" w:rsidRPr="004909B5">
        <w:rPr>
          <w:i/>
          <w:iCs/>
          <w:color w:val="333335"/>
        </w:rPr>
        <w:t>Salomon v Salomon &amp; Co Ltd</w:t>
      </w:r>
      <w:r w:rsidR="003A7C3E" w:rsidRPr="003A7C3E">
        <w:rPr>
          <w:color w:val="333335"/>
        </w:rPr>
        <w:t xml:space="preserve"> [1897] A.C. 22</w:t>
      </w:r>
      <w:r w:rsidR="004909B5">
        <w:rPr>
          <w:color w:val="333335"/>
        </w:rPr>
        <w:t xml:space="preserve"> and</w:t>
      </w:r>
      <w:r w:rsidR="002774B3" w:rsidRPr="002774B3">
        <w:rPr>
          <w:i/>
          <w:iCs/>
          <w:color w:val="333335"/>
        </w:rPr>
        <w:t xml:space="preserve"> Macaura v Northern Assurance Co Ltd </w:t>
      </w:r>
      <w:r w:rsidR="002774B3" w:rsidRPr="002774B3">
        <w:rPr>
          <w:color w:val="333335"/>
        </w:rPr>
        <w:t>[1925] A.C. 619</w:t>
      </w:r>
      <w:r w:rsidR="002774B3">
        <w:rPr>
          <w:color w:val="333335"/>
        </w:rPr>
        <w:t xml:space="preserve"> </w:t>
      </w:r>
      <w:r w:rsidR="00F44DD5">
        <w:rPr>
          <w:color w:val="333335"/>
        </w:rPr>
        <w:t>drew a clear distinction between a company and its shareholders and held that shareholders have no interest in the property of the company</w:t>
      </w:r>
      <w:r w:rsidR="005E063A">
        <w:rPr>
          <w:color w:val="333335"/>
        </w:rPr>
        <w:t>.</w:t>
      </w:r>
      <w:r w:rsidR="00C36060">
        <w:rPr>
          <w:color w:val="333335"/>
        </w:rPr>
        <w:t xml:space="preserve"> The position is now confirmed by the Supreme Court in</w:t>
      </w:r>
      <w:r w:rsidR="00AE5054">
        <w:rPr>
          <w:color w:val="333335"/>
        </w:rPr>
        <w:t xml:space="preserve"> </w:t>
      </w:r>
      <w:r w:rsidR="00AE5054" w:rsidRPr="00F421F1">
        <w:rPr>
          <w:i/>
          <w:iCs/>
          <w:color w:val="333335"/>
        </w:rPr>
        <w:t>Marex Financial Ltd v Sevilleja</w:t>
      </w:r>
      <w:r w:rsidR="00AE5054">
        <w:rPr>
          <w:color w:val="333335"/>
        </w:rPr>
        <w:t xml:space="preserve"> [2021]</w:t>
      </w:r>
      <w:r w:rsidR="007D3675">
        <w:rPr>
          <w:color w:val="333335"/>
        </w:rPr>
        <w:t xml:space="preserve"> AC 39 at [31]</w:t>
      </w:r>
      <w:r w:rsidR="003F72A7">
        <w:rPr>
          <w:color w:val="333335"/>
        </w:rPr>
        <w:t xml:space="preserve"> </w:t>
      </w:r>
      <w:r w:rsidR="00F421F1">
        <w:rPr>
          <w:color w:val="333335"/>
        </w:rPr>
        <w:t>that “…</w:t>
      </w:r>
      <w:r w:rsidR="005F3C67" w:rsidRPr="005A6C05">
        <w:rPr>
          <w:i/>
          <w:iCs/>
          <w:color w:val="333335"/>
        </w:rPr>
        <w:t>A share is not a proportionate part of a company</w:t>
      </w:r>
      <w:r w:rsidR="00BB3454" w:rsidRPr="005A6C05">
        <w:rPr>
          <w:i/>
          <w:iCs/>
          <w:color w:val="333335"/>
        </w:rPr>
        <w:t>’</w:t>
      </w:r>
      <w:r w:rsidR="005F3C67" w:rsidRPr="005A6C05">
        <w:rPr>
          <w:i/>
          <w:iCs/>
          <w:color w:val="333335"/>
        </w:rPr>
        <w:t xml:space="preserve">s assets: </w:t>
      </w:r>
      <w:r w:rsidR="005F3C67" w:rsidRPr="005A6C05">
        <w:rPr>
          <w:i/>
          <w:iCs/>
          <w:color w:val="333335"/>
          <w:u w:val="single"/>
        </w:rPr>
        <w:t>Short v Treasury Comrs.</w:t>
      </w:r>
      <w:r w:rsidR="005F3C67" w:rsidRPr="005A6C05">
        <w:rPr>
          <w:i/>
          <w:iCs/>
          <w:color w:val="333335"/>
        </w:rPr>
        <w:t xml:space="preserve"> Nor does it confer on the shareholder any legal or equitable interest in the company</w:t>
      </w:r>
      <w:r w:rsidR="005A6C05" w:rsidRPr="005A6C05">
        <w:rPr>
          <w:i/>
          <w:iCs/>
          <w:color w:val="333335"/>
        </w:rPr>
        <w:t>’</w:t>
      </w:r>
      <w:r w:rsidR="005F3C67" w:rsidRPr="005A6C05">
        <w:rPr>
          <w:i/>
          <w:iCs/>
          <w:color w:val="333335"/>
        </w:rPr>
        <w:t xml:space="preserve">s assets: </w:t>
      </w:r>
      <w:r w:rsidR="005F3C67" w:rsidRPr="005A6C05">
        <w:rPr>
          <w:i/>
          <w:iCs/>
          <w:color w:val="333335"/>
          <w:u w:val="single"/>
        </w:rPr>
        <w:t>Macaura v Northern Assurance Co Ltd</w:t>
      </w:r>
      <w:r w:rsidR="005F3C67" w:rsidRPr="005A6C05">
        <w:rPr>
          <w:i/>
          <w:iCs/>
          <w:color w:val="333335"/>
        </w:rPr>
        <w:t xml:space="preserve">. As the court stated in </w:t>
      </w:r>
      <w:r w:rsidR="005F3C67" w:rsidRPr="005A6C05">
        <w:rPr>
          <w:i/>
          <w:iCs/>
          <w:color w:val="333335"/>
          <w:u w:val="single"/>
        </w:rPr>
        <w:t>Prudential</w:t>
      </w:r>
      <w:r w:rsidR="005F3C67" w:rsidRPr="005A6C05">
        <w:rPr>
          <w:i/>
          <w:iCs/>
          <w:color w:val="333335"/>
        </w:rPr>
        <w:t>, a share is a right of participation in the company on the terms of the articles of association</w:t>
      </w:r>
      <w:r w:rsidR="005F3C67" w:rsidRPr="005F3C67">
        <w:rPr>
          <w:color w:val="333335"/>
        </w:rPr>
        <w:t>.</w:t>
      </w:r>
      <w:r w:rsidR="005A6C05">
        <w:rPr>
          <w:color w:val="333335"/>
        </w:rPr>
        <w:t>”</w:t>
      </w:r>
    </w:p>
    <w:p w14:paraId="20D56C9B" w14:textId="77777777" w:rsidR="003D21D3" w:rsidRDefault="003D21D3" w:rsidP="0025392A">
      <w:pPr>
        <w:pStyle w:val="NormalWeb"/>
        <w:spacing w:before="240" w:after="0" w:line="360" w:lineRule="auto"/>
        <w:textAlignment w:val="baseline"/>
        <w:rPr>
          <w:color w:val="333335"/>
        </w:rPr>
      </w:pPr>
    </w:p>
    <w:p w14:paraId="3BB35329" w14:textId="29B54C36" w:rsidR="003D21D3" w:rsidRDefault="00E977F9" w:rsidP="00633E74">
      <w:pPr>
        <w:pStyle w:val="NormalWeb"/>
        <w:numPr>
          <w:ilvl w:val="0"/>
          <w:numId w:val="13"/>
        </w:numPr>
        <w:tabs>
          <w:tab w:val="left" w:pos="450"/>
        </w:tabs>
        <w:spacing w:before="240" w:after="0" w:line="360" w:lineRule="auto"/>
        <w:ind w:left="450" w:hanging="450"/>
        <w:jc w:val="both"/>
        <w:textAlignment w:val="baseline"/>
        <w:rPr>
          <w:color w:val="333335"/>
        </w:rPr>
      </w:pPr>
      <w:r>
        <w:rPr>
          <w:color w:val="333335"/>
        </w:rPr>
        <w:t>As a result</w:t>
      </w:r>
      <w:r w:rsidR="005A6E2C">
        <w:rPr>
          <w:color w:val="333335"/>
        </w:rPr>
        <w:t xml:space="preserve"> </w:t>
      </w:r>
      <w:r w:rsidR="00077539">
        <w:rPr>
          <w:color w:val="333335"/>
        </w:rPr>
        <w:t xml:space="preserve">of these </w:t>
      </w:r>
      <w:r w:rsidR="0081353D">
        <w:rPr>
          <w:color w:val="333335"/>
        </w:rPr>
        <w:t>decisions the</w:t>
      </w:r>
      <w:r w:rsidR="006515F2">
        <w:rPr>
          <w:color w:val="333335"/>
        </w:rPr>
        <w:t xml:space="preserve"> basis of the rule as far as the company and shareholders was concerned disappeared.</w:t>
      </w:r>
      <w:r w:rsidR="00077539" w:rsidRPr="00FC675C">
        <w:rPr>
          <w:i/>
          <w:iCs/>
          <w:color w:val="333335"/>
        </w:rPr>
        <w:t xml:space="preserve"> Hollander</w:t>
      </w:r>
      <w:r w:rsidR="00077539">
        <w:rPr>
          <w:color w:val="333335"/>
        </w:rPr>
        <w:t xml:space="preserve"> considers that the basis of the rule is “</w:t>
      </w:r>
      <w:r w:rsidR="00077539" w:rsidRPr="00FC675C">
        <w:rPr>
          <w:i/>
          <w:iCs/>
          <w:color w:val="333335"/>
        </w:rPr>
        <w:t>distinctly dubious</w:t>
      </w:r>
      <w:r w:rsidR="00077539">
        <w:rPr>
          <w:color w:val="333335"/>
        </w:rPr>
        <w:t>”</w:t>
      </w:r>
      <w:r w:rsidR="00CD0ADE">
        <w:rPr>
          <w:color w:val="333335"/>
        </w:rPr>
        <w:t xml:space="preserve"> and arguably, once the separation between the company and shareholders had been established,</w:t>
      </w:r>
      <w:r w:rsidR="00FC675C">
        <w:rPr>
          <w:color w:val="333335"/>
        </w:rPr>
        <w:t xml:space="preserve"> the law should have changed course</w:t>
      </w:r>
      <w:r w:rsidR="00CF1A4F">
        <w:rPr>
          <w:color w:val="333335"/>
        </w:rPr>
        <w:t>: “</w:t>
      </w:r>
      <w:r w:rsidR="00344C4C" w:rsidRPr="00D44026">
        <w:rPr>
          <w:i/>
          <w:iCs/>
          <w:color w:val="333335"/>
        </w:rPr>
        <w:t>There</w:t>
      </w:r>
      <w:r w:rsidR="00D44026" w:rsidRPr="00D44026">
        <w:rPr>
          <w:i/>
          <w:iCs/>
          <w:color w:val="333335"/>
        </w:rPr>
        <w:t xml:space="preserve"> is much to be said for the view that English law has taken a wrong turn here, but the principle seems settled below the Supreme Court, and even they might take the view that it is too well settled to change now</w:t>
      </w:r>
      <w:r w:rsidR="00D44026">
        <w:rPr>
          <w:color w:val="333335"/>
        </w:rPr>
        <w:t>.”</w:t>
      </w:r>
    </w:p>
    <w:p w14:paraId="18728EEE" w14:textId="77777777" w:rsidR="000762D4" w:rsidRDefault="000762D4" w:rsidP="006515F2">
      <w:pPr>
        <w:pStyle w:val="NormalWeb"/>
        <w:spacing w:before="240" w:after="0" w:line="360" w:lineRule="auto"/>
        <w:textAlignment w:val="baseline"/>
        <w:rPr>
          <w:color w:val="333335"/>
        </w:rPr>
      </w:pPr>
    </w:p>
    <w:p w14:paraId="33F58278" w14:textId="7957B622" w:rsidR="00CA75B2" w:rsidRDefault="00FB1BC0" w:rsidP="00633E74">
      <w:pPr>
        <w:pStyle w:val="NormalWeb"/>
        <w:numPr>
          <w:ilvl w:val="0"/>
          <w:numId w:val="13"/>
        </w:numPr>
        <w:tabs>
          <w:tab w:val="left" w:pos="450"/>
        </w:tabs>
        <w:spacing w:before="240" w:after="0" w:line="360" w:lineRule="auto"/>
        <w:ind w:left="450" w:hanging="450"/>
        <w:jc w:val="both"/>
        <w:textAlignment w:val="baseline"/>
        <w:rPr>
          <w:color w:val="333335"/>
        </w:rPr>
      </w:pPr>
      <w:r>
        <w:rPr>
          <w:color w:val="333335"/>
        </w:rPr>
        <w:t xml:space="preserve">Secondly, as noted earlier, the shareholder-company privilege was based upon the </w:t>
      </w:r>
      <w:r w:rsidR="00890053">
        <w:rPr>
          <w:color w:val="333335"/>
        </w:rPr>
        <w:t>beneficiary-trustee</w:t>
      </w:r>
      <w:r w:rsidR="003D2032">
        <w:rPr>
          <w:color w:val="333335"/>
        </w:rPr>
        <w:t xml:space="preserve"> rule that</w:t>
      </w:r>
      <w:r w:rsidR="004E3EA6">
        <w:rPr>
          <w:color w:val="333335"/>
        </w:rPr>
        <w:t xml:space="preserve"> </w:t>
      </w:r>
      <w:r w:rsidR="00177C1B">
        <w:rPr>
          <w:color w:val="333335"/>
        </w:rPr>
        <w:t xml:space="preserve">if </w:t>
      </w:r>
      <w:r w:rsidR="003D2032">
        <w:rPr>
          <w:color w:val="333335"/>
        </w:rPr>
        <w:t xml:space="preserve">a beneficiary </w:t>
      </w:r>
      <w:r w:rsidR="00177C1B">
        <w:rPr>
          <w:color w:val="333335"/>
        </w:rPr>
        <w:t xml:space="preserve">could </w:t>
      </w:r>
      <w:r w:rsidR="003D2032">
        <w:rPr>
          <w:color w:val="333335"/>
        </w:rPr>
        <w:t>establish that he had an equitable interest in the trust property,</w:t>
      </w:r>
      <w:r w:rsidR="006F3B1E">
        <w:rPr>
          <w:color w:val="333335"/>
        </w:rPr>
        <w:t xml:space="preserve"> he had a right of inspection of documents owned or held by the trustees because he had a proprietary right in the</w:t>
      </w:r>
      <w:r w:rsidR="00C06335">
        <w:rPr>
          <w:color w:val="333335"/>
        </w:rPr>
        <w:t>m</w:t>
      </w:r>
      <w:r w:rsidR="006F3B1E">
        <w:rPr>
          <w:color w:val="333335"/>
        </w:rPr>
        <w:t>, and they were in that sense his own (</w:t>
      </w:r>
      <w:r w:rsidR="0076487C">
        <w:rPr>
          <w:color w:val="333335"/>
        </w:rPr>
        <w:t xml:space="preserve">See </w:t>
      </w:r>
      <w:r w:rsidR="0076487C" w:rsidRPr="00C06335">
        <w:rPr>
          <w:i/>
          <w:iCs/>
          <w:color w:val="333335"/>
        </w:rPr>
        <w:t>Lewin on Trusts</w:t>
      </w:r>
      <w:r w:rsidR="0076487C">
        <w:rPr>
          <w:color w:val="333335"/>
        </w:rPr>
        <w:t>,</w:t>
      </w:r>
      <w:r w:rsidR="009632A6">
        <w:rPr>
          <w:color w:val="333335"/>
        </w:rPr>
        <w:t xml:space="preserve"> </w:t>
      </w:r>
      <w:r w:rsidR="0076487C">
        <w:rPr>
          <w:color w:val="333335"/>
        </w:rPr>
        <w:t>20</w:t>
      </w:r>
      <w:r w:rsidR="0076487C" w:rsidRPr="0076487C">
        <w:rPr>
          <w:color w:val="333335"/>
          <w:vertAlign w:val="superscript"/>
        </w:rPr>
        <w:t>th</w:t>
      </w:r>
      <w:r w:rsidR="0076487C">
        <w:rPr>
          <w:color w:val="333335"/>
        </w:rPr>
        <w:t xml:space="preserve"> ed</w:t>
      </w:r>
      <w:r w:rsidR="009632A6">
        <w:rPr>
          <w:color w:val="333335"/>
        </w:rPr>
        <w:t>, at 21-</w:t>
      </w:r>
      <w:r w:rsidR="00107644">
        <w:rPr>
          <w:color w:val="333335"/>
        </w:rPr>
        <w:t xml:space="preserve">020 citing </w:t>
      </w:r>
      <w:r w:rsidR="00107644" w:rsidRPr="00C06335">
        <w:rPr>
          <w:i/>
          <w:iCs/>
          <w:color w:val="333335"/>
        </w:rPr>
        <w:t>O’Rourke v Darbishire</w:t>
      </w:r>
      <w:r w:rsidR="00107644">
        <w:rPr>
          <w:color w:val="333335"/>
        </w:rPr>
        <w:t xml:space="preserve"> [1920] AC 581</w:t>
      </w:r>
      <w:r w:rsidR="005A77DE">
        <w:rPr>
          <w:color w:val="333335"/>
        </w:rPr>
        <w:t xml:space="preserve"> at 626, per Lord Wrenbury).</w:t>
      </w:r>
      <w:r w:rsidR="00A27770">
        <w:rPr>
          <w:color w:val="333335"/>
        </w:rPr>
        <w:t xml:space="preserve"> However,</w:t>
      </w:r>
      <w:r w:rsidR="00377407">
        <w:rPr>
          <w:color w:val="333335"/>
        </w:rPr>
        <w:t xml:space="preserve"> its application to the shareholder-company contacts does not produce the same result. As</w:t>
      </w:r>
      <w:r w:rsidR="004C04DA">
        <w:rPr>
          <w:color w:val="333335"/>
        </w:rPr>
        <w:t xml:space="preserve"> noted by </w:t>
      </w:r>
      <w:r w:rsidR="004C04DA" w:rsidRPr="004374C5">
        <w:rPr>
          <w:i/>
          <w:iCs/>
          <w:color w:val="333335"/>
        </w:rPr>
        <w:t>Hollander</w:t>
      </w:r>
      <w:r w:rsidR="004C04DA">
        <w:rPr>
          <w:color w:val="333335"/>
        </w:rPr>
        <w:t>,</w:t>
      </w:r>
      <w:r w:rsidR="00CF799E">
        <w:rPr>
          <w:color w:val="333335"/>
        </w:rPr>
        <w:t xml:space="preserve"> outside litigation if shareholder has no right to access the privileged documents of the company. The right which arises from this line of cases only is right in the course of litigation.</w:t>
      </w:r>
      <w:r w:rsidR="00F34815">
        <w:rPr>
          <w:rStyle w:val="FootnoteReference"/>
          <w:color w:val="333335"/>
        </w:rPr>
        <w:footnoteReference w:id="2"/>
      </w:r>
    </w:p>
    <w:p w14:paraId="2D65295B" w14:textId="77777777" w:rsidR="008F5FFC" w:rsidRDefault="008F5FFC" w:rsidP="006515F2">
      <w:pPr>
        <w:pStyle w:val="NormalWeb"/>
        <w:spacing w:before="240" w:after="0" w:line="360" w:lineRule="auto"/>
        <w:textAlignment w:val="baseline"/>
        <w:rPr>
          <w:color w:val="333335"/>
        </w:rPr>
      </w:pPr>
    </w:p>
    <w:p w14:paraId="4B7B8227" w14:textId="02C276BF" w:rsidR="008F5FFC" w:rsidRDefault="0042370D" w:rsidP="00633E74">
      <w:pPr>
        <w:pStyle w:val="NormalWeb"/>
        <w:numPr>
          <w:ilvl w:val="0"/>
          <w:numId w:val="13"/>
        </w:numPr>
        <w:tabs>
          <w:tab w:val="left" w:pos="450"/>
        </w:tabs>
        <w:spacing w:before="240" w:after="0" w:line="360" w:lineRule="auto"/>
        <w:ind w:left="450" w:hanging="450"/>
        <w:jc w:val="both"/>
        <w:textAlignment w:val="baseline"/>
        <w:rPr>
          <w:color w:val="333335"/>
        </w:rPr>
      </w:pPr>
      <w:r>
        <w:rPr>
          <w:color w:val="333335"/>
        </w:rPr>
        <w:t>Thirdly,</w:t>
      </w:r>
      <w:r w:rsidR="008868D4">
        <w:rPr>
          <w:color w:val="333335"/>
        </w:rPr>
        <w:t xml:space="preserve"> as noted earlier, Evans-Lombe J in </w:t>
      </w:r>
      <w:r w:rsidR="008868D4" w:rsidRPr="004374C5">
        <w:rPr>
          <w:i/>
          <w:iCs/>
          <w:color w:val="333335"/>
        </w:rPr>
        <w:t>CAS (</w:t>
      </w:r>
      <w:r w:rsidR="00AE2F9C" w:rsidRPr="004374C5">
        <w:rPr>
          <w:i/>
          <w:iCs/>
          <w:color w:val="333335"/>
        </w:rPr>
        <w:t>Nominees) Ltd v Nottingham Forrest PLC</w:t>
      </w:r>
      <w:r w:rsidR="00EA4C7D">
        <w:rPr>
          <w:color w:val="333335"/>
        </w:rPr>
        <w:t xml:space="preserve"> appeared to rely upon the existence of fiduciary duties </w:t>
      </w:r>
      <w:r w:rsidR="00095356">
        <w:rPr>
          <w:color w:val="333335"/>
        </w:rPr>
        <w:t>owed by the directors to the shareholders</w:t>
      </w:r>
      <w:r w:rsidR="00551E30">
        <w:rPr>
          <w:color w:val="333335"/>
        </w:rPr>
        <w:t xml:space="preserve">. At </w:t>
      </w:r>
      <w:r w:rsidR="00F42B85">
        <w:rPr>
          <w:color w:val="333335"/>
        </w:rPr>
        <w:t>[17] Evans-Lombe J held that:</w:t>
      </w:r>
    </w:p>
    <w:p w14:paraId="08B10F5F" w14:textId="3A18744C" w:rsidR="00095356" w:rsidRDefault="00095356" w:rsidP="00E42794">
      <w:pPr>
        <w:pStyle w:val="NormalWeb"/>
        <w:spacing w:before="240" w:after="0" w:line="276" w:lineRule="auto"/>
        <w:ind w:left="720"/>
        <w:textAlignment w:val="baseline"/>
        <w:rPr>
          <w:i/>
          <w:iCs/>
          <w:color w:val="333335"/>
        </w:rPr>
      </w:pPr>
      <w:r w:rsidRPr="00EB5CFC">
        <w:rPr>
          <w:i/>
          <w:iCs/>
          <w:color w:val="333335"/>
        </w:rPr>
        <w:t>“</w:t>
      </w:r>
      <w:r w:rsidR="00D24AAD" w:rsidRPr="00EB5CFC">
        <w:rPr>
          <w:i/>
          <w:iCs/>
          <w:color w:val="333335"/>
        </w:rPr>
        <w:t>As the authorities show the rule is based on principles of trust law, an analogy being drawn between the position of directors as fiduciaries and trustees. As the authorities show directors though not properly described as trustees of the assets of the company within thei</w:t>
      </w:r>
      <w:r w:rsidR="00357D17" w:rsidRPr="00EB5CFC">
        <w:rPr>
          <w:i/>
          <w:iCs/>
          <w:color w:val="333335"/>
        </w:rPr>
        <w:t xml:space="preserve">r </w:t>
      </w:r>
      <w:r w:rsidR="00D24AAD" w:rsidRPr="00EB5CFC">
        <w:rPr>
          <w:i/>
          <w:iCs/>
          <w:color w:val="333335"/>
        </w:rPr>
        <w:t>charge, nonetheless owe fiduciary duties to the shareholders which prevent them from applying those assets save for the purpose of the company.</w:t>
      </w:r>
      <w:r w:rsidR="00EB5CFC" w:rsidRPr="00EB5CFC">
        <w:rPr>
          <w:i/>
          <w:iCs/>
          <w:color w:val="333335"/>
        </w:rPr>
        <w:t>”</w:t>
      </w:r>
    </w:p>
    <w:p w14:paraId="7E1E4861" w14:textId="77777777" w:rsidR="00EB5CFC" w:rsidRDefault="00EB5CFC" w:rsidP="00EB5CFC">
      <w:pPr>
        <w:pStyle w:val="NormalWeb"/>
        <w:spacing w:before="240" w:after="0" w:line="360" w:lineRule="auto"/>
        <w:ind w:left="720"/>
        <w:textAlignment w:val="baseline"/>
        <w:rPr>
          <w:i/>
          <w:iCs/>
          <w:color w:val="333335"/>
        </w:rPr>
      </w:pPr>
    </w:p>
    <w:p w14:paraId="231B311C" w14:textId="43477FFE" w:rsidR="00EB5CFC" w:rsidRDefault="00951026" w:rsidP="00633E74">
      <w:pPr>
        <w:pStyle w:val="NormalWeb"/>
        <w:numPr>
          <w:ilvl w:val="0"/>
          <w:numId w:val="13"/>
        </w:numPr>
        <w:tabs>
          <w:tab w:val="left" w:pos="450"/>
        </w:tabs>
        <w:spacing w:before="240" w:after="0" w:line="360" w:lineRule="auto"/>
        <w:ind w:left="450" w:hanging="450"/>
        <w:jc w:val="both"/>
        <w:textAlignment w:val="baseline"/>
        <w:rPr>
          <w:color w:val="333335"/>
        </w:rPr>
      </w:pPr>
      <w:r>
        <w:rPr>
          <w:color w:val="333335"/>
        </w:rPr>
        <w:t>However,</w:t>
      </w:r>
      <w:r w:rsidR="000F0358">
        <w:rPr>
          <w:color w:val="333335"/>
        </w:rPr>
        <w:t xml:space="preserve"> as a general proposition it is doubtful that the directors</w:t>
      </w:r>
      <w:r w:rsidR="005C712A">
        <w:rPr>
          <w:color w:val="333335"/>
        </w:rPr>
        <w:t xml:space="preserve"> owe</w:t>
      </w:r>
      <w:r w:rsidR="000F0358">
        <w:rPr>
          <w:color w:val="333335"/>
        </w:rPr>
        <w:t xml:space="preserve"> fiduciary duties “</w:t>
      </w:r>
      <w:r w:rsidR="000F0358" w:rsidRPr="000B3001">
        <w:rPr>
          <w:i/>
          <w:iCs/>
          <w:color w:val="333335"/>
        </w:rPr>
        <w:t>to the shareholders</w:t>
      </w:r>
      <w:r w:rsidR="000B3001">
        <w:rPr>
          <w:color w:val="333335"/>
        </w:rPr>
        <w:t>”. As a general proposition</w:t>
      </w:r>
      <w:r w:rsidR="00600119">
        <w:rPr>
          <w:color w:val="333335"/>
        </w:rPr>
        <w:t xml:space="preserve"> directors</w:t>
      </w:r>
      <w:r w:rsidR="005C712A">
        <w:rPr>
          <w:color w:val="333335"/>
        </w:rPr>
        <w:t>’</w:t>
      </w:r>
      <w:r w:rsidR="00600119">
        <w:rPr>
          <w:color w:val="333335"/>
        </w:rPr>
        <w:t xml:space="preserve"> duties as directors are not owed to the shareholders individually</w:t>
      </w:r>
      <w:r w:rsidR="00931D78">
        <w:rPr>
          <w:color w:val="333335"/>
        </w:rPr>
        <w:t xml:space="preserve"> but are owed to the company</w:t>
      </w:r>
      <w:r w:rsidR="005C712A">
        <w:rPr>
          <w:color w:val="333335"/>
        </w:rPr>
        <w:t xml:space="preserve"> (See </w:t>
      </w:r>
      <w:r w:rsidR="008F7A82" w:rsidRPr="003F6E68">
        <w:rPr>
          <w:i/>
          <w:iCs/>
          <w:color w:val="333335"/>
        </w:rPr>
        <w:t>Percival v Wright</w:t>
      </w:r>
      <w:r w:rsidR="008F7A82">
        <w:rPr>
          <w:color w:val="333335"/>
        </w:rPr>
        <w:t xml:space="preserve"> [1902] 2 Ch</w:t>
      </w:r>
      <w:r w:rsidR="003F6E68">
        <w:rPr>
          <w:color w:val="333335"/>
        </w:rPr>
        <w:t xml:space="preserve"> 421</w:t>
      </w:r>
      <w:r w:rsidR="00F407F3">
        <w:rPr>
          <w:color w:val="333335"/>
        </w:rPr>
        <w:t>).</w:t>
      </w:r>
    </w:p>
    <w:p w14:paraId="0233791E" w14:textId="77777777" w:rsidR="003F6E68" w:rsidRDefault="003F6E68" w:rsidP="00EB5CFC">
      <w:pPr>
        <w:pStyle w:val="NormalWeb"/>
        <w:spacing w:before="240" w:after="0" w:line="360" w:lineRule="auto"/>
        <w:textAlignment w:val="baseline"/>
        <w:rPr>
          <w:color w:val="333335"/>
        </w:rPr>
      </w:pPr>
    </w:p>
    <w:p w14:paraId="423DA376" w14:textId="06A9AB98" w:rsidR="00D937F7" w:rsidRPr="00D937F7" w:rsidRDefault="003F6E68" w:rsidP="00633E74">
      <w:pPr>
        <w:pStyle w:val="NormalWeb"/>
        <w:numPr>
          <w:ilvl w:val="0"/>
          <w:numId w:val="13"/>
        </w:numPr>
        <w:tabs>
          <w:tab w:val="left" w:pos="450"/>
        </w:tabs>
        <w:spacing w:before="240" w:after="0" w:line="360" w:lineRule="auto"/>
        <w:ind w:left="450" w:hanging="450"/>
        <w:jc w:val="both"/>
        <w:textAlignment w:val="baseline"/>
        <w:rPr>
          <w:color w:val="333335"/>
        </w:rPr>
      </w:pPr>
      <w:r>
        <w:rPr>
          <w:color w:val="333335"/>
        </w:rPr>
        <w:t>Fourthly,</w:t>
      </w:r>
      <w:r w:rsidR="00196754">
        <w:rPr>
          <w:color w:val="333335"/>
        </w:rPr>
        <w:t xml:space="preserve"> other common law jurisdictions</w:t>
      </w:r>
      <w:r w:rsidR="00027E6D">
        <w:rPr>
          <w:color w:val="333335"/>
        </w:rPr>
        <w:t xml:space="preserve"> and in particular Canada has taken a different view, rejecting the</w:t>
      </w:r>
      <w:r w:rsidR="00F407F3">
        <w:rPr>
          <w:color w:val="333335"/>
        </w:rPr>
        <w:t xml:space="preserve"> English</w:t>
      </w:r>
      <w:r w:rsidR="00027E6D">
        <w:rPr>
          <w:color w:val="333335"/>
        </w:rPr>
        <w:t xml:space="preserve"> </w:t>
      </w:r>
      <w:r w:rsidR="00F407F3">
        <w:rPr>
          <w:color w:val="333335"/>
        </w:rPr>
        <w:t>a</w:t>
      </w:r>
      <w:r w:rsidR="00027E6D">
        <w:rPr>
          <w:color w:val="333335"/>
        </w:rPr>
        <w:t>uthorities on the basis that the shareholders have no property interest in the property of the company. Thus,</w:t>
      </w:r>
      <w:r w:rsidR="00D937F7">
        <w:rPr>
          <w:color w:val="333335"/>
        </w:rPr>
        <w:t xml:space="preserve"> </w:t>
      </w:r>
      <w:r w:rsidR="00D937F7" w:rsidRPr="00D937F7">
        <w:rPr>
          <w:color w:val="333335"/>
        </w:rPr>
        <w:t xml:space="preserve">Master Peterson in </w:t>
      </w:r>
      <w:r w:rsidR="00D937F7" w:rsidRPr="005534D4">
        <w:rPr>
          <w:i/>
          <w:iCs/>
          <w:color w:val="333335"/>
        </w:rPr>
        <w:t>McKinlay Transport Ltd. v. Motor Transport Industrial Relations Bureau of Ontario (Inc.)</w:t>
      </w:r>
      <w:r w:rsidR="00D937F7" w:rsidRPr="00D937F7">
        <w:rPr>
          <w:color w:val="333335"/>
        </w:rPr>
        <w:t xml:space="preserve">, 3 W.D.C.P. (2d) 478 </w:t>
      </w:r>
      <w:r w:rsidR="00A70F79">
        <w:rPr>
          <w:color w:val="333335"/>
        </w:rPr>
        <w:t>declined to follow</w:t>
      </w:r>
      <w:r w:rsidR="00D937F7" w:rsidRPr="00D937F7">
        <w:rPr>
          <w:color w:val="333335"/>
        </w:rPr>
        <w:t xml:space="preserve"> </w:t>
      </w:r>
      <w:r w:rsidR="00D937F7" w:rsidRPr="00A70F79">
        <w:rPr>
          <w:i/>
          <w:iCs/>
          <w:color w:val="333335"/>
        </w:rPr>
        <w:t>Gourard</w:t>
      </w:r>
      <w:r w:rsidR="00D937F7" w:rsidRPr="00D937F7">
        <w:rPr>
          <w:color w:val="333335"/>
        </w:rPr>
        <w:t xml:space="preserve"> </w:t>
      </w:r>
      <w:r w:rsidR="00A70F79">
        <w:rPr>
          <w:color w:val="333335"/>
        </w:rPr>
        <w:t xml:space="preserve">on the ground that it </w:t>
      </w:r>
      <w:r w:rsidR="00D937F7" w:rsidRPr="00D937F7">
        <w:rPr>
          <w:color w:val="333335"/>
        </w:rPr>
        <w:t xml:space="preserve">was decided </w:t>
      </w:r>
      <w:r w:rsidR="00D937F7" w:rsidRPr="00A70F79">
        <w:rPr>
          <w:i/>
          <w:iCs/>
          <w:color w:val="333335"/>
        </w:rPr>
        <w:t>pre-Salomon</w:t>
      </w:r>
      <w:r w:rsidR="00D937F7" w:rsidRPr="00D937F7">
        <w:rPr>
          <w:color w:val="333335"/>
        </w:rPr>
        <w:t xml:space="preserve">, at a time when corporations and their interests were not considered distinct from those of their shareholders: </w:t>
      </w:r>
    </w:p>
    <w:p w14:paraId="008813EA" w14:textId="29183F84" w:rsidR="003F6E68" w:rsidRPr="006755EB" w:rsidRDefault="006755EB" w:rsidP="00251352">
      <w:pPr>
        <w:pStyle w:val="NormalWeb"/>
        <w:spacing w:before="240" w:after="0" w:line="276" w:lineRule="auto"/>
        <w:ind w:left="720"/>
        <w:textAlignment w:val="baseline"/>
        <w:rPr>
          <w:i/>
          <w:iCs/>
          <w:color w:val="333335"/>
        </w:rPr>
      </w:pPr>
      <w:r w:rsidRPr="006755EB">
        <w:rPr>
          <w:i/>
          <w:iCs/>
          <w:color w:val="333335"/>
        </w:rPr>
        <w:t xml:space="preserve">“[7] </w:t>
      </w:r>
      <w:r w:rsidR="00D937F7" w:rsidRPr="006755EB">
        <w:rPr>
          <w:i/>
          <w:iCs/>
          <w:color w:val="333335"/>
        </w:rPr>
        <w:t>[t]he corporation was the trustee for the shareholder’s property which included the [legal] opinions. That is, each shareholder, or at least all the shareholders given the class action nature of the suit, had a property interest in the corporation’s assets. This is not now the law. The law since Salomon is that a shareholder does not have a property interest in the underlying assets of the corporation. The shareholder’s only property interest is in the shares of the corporation.</w:t>
      </w:r>
      <w:r w:rsidRPr="006755EB">
        <w:rPr>
          <w:i/>
          <w:iCs/>
          <w:color w:val="333335"/>
        </w:rPr>
        <w:t>”</w:t>
      </w:r>
      <w:r w:rsidR="0072440B">
        <w:rPr>
          <w:rStyle w:val="FootnoteReference"/>
          <w:i/>
          <w:iCs/>
          <w:color w:val="333335"/>
        </w:rPr>
        <w:footnoteReference w:id="3"/>
      </w:r>
    </w:p>
    <w:p w14:paraId="134D0B44" w14:textId="77777777" w:rsidR="00CA75B2" w:rsidRDefault="00CA75B2" w:rsidP="00EB5CFC">
      <w:pPr>
        <w:pStyle w:val="NormalWeb"/>
        <w:spacing w:before="240" w:after="0" w:line="360" w:lineRule="auto"/>
        <w:ind w:left="720"/>
        <w:textAlignment w:val="baseline"/>
        <w:rPr>
          <w:color w:val="333335"/>
        </w:rPr>
      </w:pPr>
    </w:p>
    <w:p w14:paraId="0A5D44F8" w14:textId="2CA0F776" w:rsidR="008C492A" w:rsidRDefault="006E63B5" w:rsidP="00633E74">
      <w:pPr>
        <w:pStyle w:val="NormalWeb"/>
        <w:numPr>
          <w:ilvl w:val="0"/>
          <w:numId w:val="13"/>
        </w:numPr>
        <w:tabs>
          <w:tab w:val="left" w:pos="450"/>
        </w:tabs>
        <w:spacing w:before="240" w:after="0" w:line="360" w:lineRule="auto"/>
        <w:ind w:left="450" w:hanging="450"/>
        <w:jc w:val="both"/>
        <w:textAlignment w:val="baseline"/>
        <w:rPr>
          <w:color w:val="333335"/>
        </w:rPr>
      </w:pPr>
      <w:r>
        <w:rPr>
          <w:color w:val="333335"/>
        </w:rPr>
        <w:t xml:space="preserve">Master Peterson </w:t>
      </w:r>
      <w:r w:rsidR="003157E6">
        <w:rPr>
          <w:color w:val="333335"/>
        </w:rPr>
        <w:t>justified the decision on the ground of public policy</w:t>
      </w:r>
      <w:r w:rsidR="00C71681">
        <w:rPr>
          <w:color w:val="333335"/>
        </w:rPr>
        <w:t xml:space="preserve"> allowing companies</w:t>
      </w:r>
      <w:r w:rsidR="007A6107">
        <w:rPr>
          <w:color w:val="333335"/>
        </w:rPr>
        <w:t xml:space="preserve"> to seek legal advice on matters arising in the ordinary course</w:t>
      </w:r>
      <w:r w:rsidR="009403EC">
        <w:rPr>
          <w:color w:val="333335"/>
        </w:rPr>
        <w:t xml:space="preserve"> without the risk that such communications</w:t>
      </w:r>
      <w:r w:rsidR="009405EC">
        <w:rPr>
          <w:color w:val="333335"/>
        </w:rPr>
        <w:t xml:space="preserve"> may have to be disclosed to its shareholders in any subsequent proceedings:</w:t>
      </w:r>
    </w:p>
    <w:p w14:paraId="2FEA88DD" w14:textId="382A786E" w:rsidR="00315262" w:rsidRDefault="00ED3208" w:rsidP="00ED3208">
      <w:pPr>
        <w:pStyle w:val="NormalWeb"/>
        <w:spacing w:before="240" w:after="0" w:line="276" w:lineRule="auto"/>
        <w:ind w:left="720"/>
        <w:textAlignment w:val="baseline"/>
        <w:rPr>
          <w:i/>
          <w:iCs/>
          <w:color w:val="333335"/>
        </w:rPr>
      </w:pPr>
      <w:r>
        <w:rPr>
          <w:i/>
          <w:iCs/>
          <w:color w:val="333335"/>
        </w:rPr>
        <w:t>“</w:t>
      </w:r>
      <w:r w:rsidR="00315262" w:rsidRPr="00DD20FF">
        <w:rPr>
          <w:i/>
          <w:iCs/>
          <w:color w:val="333335"/>
        </w:rPr>
        <w:t xml:space="preserve">[5] </w:t>
      </w:r>
      <w:r w:rsidR="00DD20FF" w:rsidRPr="00DD20FF">
        <w:rPr>
          <w:i/>
          <w:iCs/>
          <w:color w:val="333335"/>
        </w:rPr>
        <w:t>[t]he implications of the Plaintiff’s proposition are very wide indeed. Corporations, large and small, routinely seek legal advice on a wide variety of topics. If the Plaintiff’s submission is correct, in any later litigation by a shareholder, such a shareholder will have a right to see such opinions unless the opinions were generated in relation to potential litigation with such a shareholder. The effect of such a holding can only be to substantially impede a corporation’s ability to seek legal advice on matters arising in the ordinary course and to impede counsel’s ability to express opinions which freely and openly discuss with a corporation the legal risks of a proposed course of conduct. Such a chill in open communications between corporations and their solicitors will necessarily result as, if the Plaintiff’s submissions are accepted, corporations will face the disclosure of all legal opinions generated in the normal course to any shareholder who may later feel aggrieved and commence an action. The “full and confident” communication between clients (corporations) and solicitors which is a necessary adjunct to the right to counsel will be impeded and destroyed.”</w:t>
      </w:r>
    </w:p>
    <w:p w14:paraId="77CA3C83" w14:textId="77777777" w:rsidR="00204FA6" w:rsidRDefault="00204FA6" w:rsidP="00DD20FF">
      <w:pPr>
        <w:pStyle w:val="NormalWeb"/>
        <w:spacing w:before="240" w:after="0" w:line="360" w:lineRule="auto"/>
        <w:ind w:left="720"/>
        <w:textAlignment w:val="baseline"/>
        <w:rPr>
          <w:i/>
          <w:iCs/>
          <w:color w:val="333335"/>
        </w:rPr>
      </w:pPr>
    </w:p>
    <w:p w14:paraId="6C154C88" w14:textId="19E0C1F5" w:rsidR="00204FA6" w:rsidRDefault="009209B3" w:rsidP="00633E74">
      <w:pPr>
        <w:pStyle w:val="NormalWeb"/>
        <w:numPr>
          <w:ilvl w:val="0"/>
          <w:numId w:val="13"/>
        </w:numPr>
        <w:tabs>
          <w:tab w:val="left" w:pos="450"/>
        </w:tabs>
        <w:spacing w:before="240" w:after="0" w:line="360" w:lineRule="auto"/>
        <w:ind w:left="450" w:hanging="450"/>
        <w:jc w:val="both"/>
        <w:textAlignment w:val="baseline"/>
        <w:rPr>
          <w:color w:val="333335"/>
        </w:rPr>
      </w:pPr>
      <w:r w:rsidRPr="0087353F">
        <w:rPr>
          <w:color w:val="333335"/>
        </w:rPr>
        <w:t xml:space="preserve">On the other </w:t>
      </w:r>
      <w:r w:rsidR="00DE3C8E" w:rsidRPr="0087353F">
        <w:rPr>
          <w:color w:val="333335"/>
        </w:rPr>
        <w:t>hand,</w:t>
      </w:r>
      <w:r w:rsidR="0087353F">
        <w:rPr>
          <w:color w:val="333335"/>
        </w:rPr>
        <w:t xml:space="preserve"> it needs to be noted</w:t>
      </w:r>
      <w:r w:rsidR="00435DC6">
        <w:rPr>
          <w:color w:val="333335"/>
        </w:rPr>
        <w:t xml:space="preserve"> as the passages from </w:t>
      </w:r>
      <w:r w:rsidR="00435DC6" w:rsidRPr="00435DC6">
        <w:rPr>
          <w:i/>
          <w:iCs/>
          <w:color w:val="333335"/>
        </w:rPr>
        <w:t>Thanki</w:t>
      </w:r>
      <w:r w:rsidR="00435DC6">
        <w:rPr>
          <w:color w:val="333335"/>
        </w:rPr>
        <w:t xml:space="preserve"> show </w:t>
      </w:r>
      <w:r w:rsidR="0087353F">
        <w:rPr>
          <w:color w:val="333335"/>
        </w:rPr>
        <w:t>the</w:t>
      </w:r>
      <w:r w:rsidR="00F10CDD">
        <w:rPr>
          <w:color w:val="333335"/>
        </w:rPr>
        <w:t xml:space="preserve"> modern justification</w:t>
      </w:r>
      <w:r w:rsidR="00435DC6">
        <w:rPr>
          <w:color w:val="333335"/>
        </w:rPr>
        <w:t xml:space="preserve"> for the existence of the rule is</w:t>
      </w:r>
      <w:r w:rsidR="009F7422">
        <w:rPr>
          <w:color w:val="333335"/>
        </w:rPr>
        <w:t xml:space="preserve"> based upon the joint interest of the company and its shareholders. Further, it is to be noted that</w:t>
      </w:r>
      <w:r w:rsidR="00D3611E">
        <w:rPr>
          <w:color w:val="333335"/>
        </w:rPr>
        <w:t xml:space="preserve"> the rule has been referred to in Bermuda cases</w:t>
      </w:r>
      <w:r w:rsidR="00F34EFE">
        <w:rPr>
          <w:color w:val="333335"/>
        </w:rPr>
        <w:t xml:space="preserve"> </w:t>
      </w:r>
      <w:r w:rsidR="002211AD">
        <w:rPr>
          <w:color w:val="333335"/>
        </w:rPr>
        <w:t>albeit</w:t>
      </w:r>
      <w:r w:rsidR="00D3611E">
        <w:rPr>
          <w:color w:val="333335"/>
        </w:rPr>
        <w:t xml:space="preserve"> without any </w:t>
      </w:r>
      <w:r w:rsidR="007F3FE5">
        <w:rPr>
          <w:color w:val="333335"/>
        </w:rPr>
        <w:t>argument as to whether it should be adopted in Bermuda.</w:t>
      </w:r>
    </w:p>
    <w:p w14:paraId="68A40639" w14:textId="77777777" w:rsidR="00DE3C8E" w:rsidRDefault="00DE3C8E" w:rsidP="00285ABC">
      <w:pPr>
        <w:pStyle w:val="NormalWeb"/>
        <w:spacing w:before="240" w:after="0" w:line="360" w:lineRule="auto"/>
        <w:textAlignment w:val="baseline"/>
        <w:rPr>
          <w:color w:val="333335"/>
        </w:rPr>
      </w:pPr>
    </w:p>
    <w:p w14:paraId="5E23266C" w14:textId="24DF74AD" w:rsidR="00DE3C8E" w:rsidRDefault="00DE3C8E" w:rsidP="00633E74">
      <w:pPr>
        <w:pStyle w:val="NormalWeb"/>
        <w:numPr>
          <w:ilvl w:val="0"/>
          <w:numId w:val="13"/>
        </w:numPr>
        <w:tabs>
          <w:tab w:val="left" w:pos="450"/>
        </w:tabs>
        <w:spacing w:before="240" w:after="0" w:line="360" w:lineRule="auto"/>
        <w:ind w:left="450" w:hanging="450"/>
        <w:jc w:val="both"/>
        <w:textAlignment w:val="baseline"/>
        <w:rPr>
          <w:color w:val="333335"/>
        </w:rPr>
      </w:pPr>
      <w:r>
        <w:rPr>
          <w:color w:val="333335"/>
        </w:rPr>
        <w:t xml:space="preserve">In </w:t>
      </w:r>
      <w:r w:rsidRPr="00BC083A">
        <w:rPr>
          <w:i/>
          <w:iCs/>
          <w:color w:val="333335"/>
        </w:rPr>
        <w:t>Daniel v Exxon Services (Bermuda) Ltd</w:t>
      </w:r>
      <w:r w:rsidRPr="00DE3C8E">
        <w:rPr>
          <w:color w:val="333335"/>
        </w:rPr>
        <w:t xml:space="preserve"> [2011] Bda L.R. 54</w:t>
      </w:r>
      <w:r w:rsidR="00BC083A">
        <w:rPr>
          <w:color w:val="333335"/>
        </w:rPr>
        <w:t>, Kawaley J</w:t>
      </w:r>
      <w:r w:rsidR="00474A5F">
        <w:rPr>
          <w:color w:val="333335"/>
        </w:rPr>
        <w:t>, in the context of privilege in a discovery application</w:t>
      </w:r>
      <w:r w:rsidR="0036725F">
        <w:rPr>
          <w:color w:val="333335"/>
        </w:rPr>
        <w:t xml:space="preserve">, referred to </w:t>
      </w:r>
      <w:r w:rsidR="0036725F" w:rsidRPr="00D73462">
        <w:rPr>
          <w:i/>
          <w:iCs/>
          <w:color w:val="333335"/>
        </w:rPr>
        <w:t>Gouraud</w:t>
      </w:r>
      <w:r w:rsidR="00D05216" w:rsidRPr="00D73462">
        <w:rPr>
          <w:i/>
          <w:iCs/>
          <w:color w:val="333335"/>
        </w:rPr>
        <w:t xml:space="preserve"> </w:t>
      </w:r>
      <w:r w:rsidR="00D05216">
        <w:rPr>
          <w:color w:val="333335"/>
        </w:rPr>
        <w:t>without any apparent</w:t>
      </w:r>
      <w:r w:rsidR="00115E0F">
        <w:rPr>
          <w:color w:val="333335"/>
        </w:rPr>
        <w:t xml:space="preserve"> dissent or qualification:</w:t>
      </w:r>
    </w:p>
    <w:p w14:paraId="6E0698A2" w14:textId="60ED7C17" w:rsidR="00295A0A" w:rsidRPr="001B0A51" w:rsidRDefault="00115E0F" w:rsidP="009931D4">
      <w:pPr>
        <w:pStyle w:val="NormalWeb"/>
        <w:spacing w:before="240" w:after="0" w:line="276" w:lineRule="auto"/>
        <w:ind w:left="720"/>
        <w:textAlignment w:val="baseline"/>
        <w:rPr>
          <w:i/>
          <w:iCs/>
          <w:color w:val="333335"/>
        </w:rPr>
      </w:pPr>
      <w:r w:rsidRPr="001B0A51">
        <w:rPr>
          <w:i/>
          <w:iCs/>
          <w:color w:val="333335"/>
        </w:rPr>
        <w:t>“</w:t>
      </w:r>
      <w:r w:rsidR="00295A0A" w:rsidRPr="001B0A51">
        <w:rPr>
          <w:i/>
          <w:iCs/>
          <w:color w:val="333335"/>
        </w:rPr>
        <w:t xml:space="preserve">12. However, the following passage in the 1999 White Book, which I put to the Defendant’s counsel, was also potentially relevant: </w:t>
      </w:r>
    </w:p>
    <w:p w14:paraId="7F85B64A" w14:textId="1AF720FF" w:rsidR="00115E0F" w:rsidRDefault="00295A0A" w:rsidP="009931D4">
      <w:pPr>
        <w:pStyle w:val="NormalWeb"/>
        <w:spacing w:before="240" w:after="0" w:line="276" w:lineRule="auto"/>
        <w:ind w:left="2160"/>
        <w:textAlignment w:val="baseline"/>
        <w:rPr>
          <w:color w:val="333335"/>
        </w:rPr>
      </w:pPr>
      <w:r w:rsidRPr="001B0A51">
        <w:rPr>
          <w:i/>
          <w:iCs/>
          <w:color w:val="333335"/>
        </w:rPr>
        <w:t xml:space="preserve">“Privilege cannot be claimed by a trustee against his cestuis que trust (Re Mason (1883) 22 ChD 609; </w:t>
      </w:r>
      <w:r w:rsidRPr="001B0A51">
        <w:rPr>
          <w:i/>
          <w:iCs/>
          <w:color w:val="333335"/>
          <w:u w:val="single"/>
        </w:rPr>
        <w:t>Wynne v Humberston</w:t>
      </w:r>
      <w:r w:rsidRPr="001B0A51">
        <w:rPr>
          <w:i/>
          <w:iCs/>
          <w:color w:val="333335"/>
        </w:rPr>
        <w:t xml:space="preserve"> (1858) 27 Beav 421; </w:t>
      </w:r>
      <w:r w:rsidRPr="001B0A51">
        <w:rPr>
          <w:i/>
          <w:iCs/>
          <w:color w:val="333335"/>
          <w:u w:val="single"/>
        </w:rPr>
        <w:t>Devaynes v Robinson</w:t>
      </w:r>
      <w:r w:rsidRPr="001B0A51">
        <w:rPr>
          <w:i/>
          <w:iCs/>
          <w:color w:val="333335"/>
        </w:rPr>
        <w:t xml:space="preserve"> (1855) 20 Beav.421; </w:t>
      </w:r>
      <w:r w:rsidRPr="001B0A51">
        <w:rPr>
          <w:i/>
          <w:iCs/>
          <w:color w:val="333335"/>
          <w:u w:val="single"/>
        </w:rPr>
        <w:t>Devaynes v Robinson</w:t>
      </w:r>
      <w:r w:rsidRPr="001B0A51">
        <w:rPr>
          <w:i/>
          <w:iCs/>
          <w:color w:val="333335"/>
        </w:rPr>
        <w:t xml:space="preserve"> (1855) 20 Beav. 42; </w:t>
      </w:r>
      <w:r w:rsidRPr="001B0A51">
        <w:rPr>
          <w:i/>
          <w:iCs/>
          <w:color w:val="333335"/>
          <w:u w:val="single"/>
        </w:rPr>
        <w:t>Re Postlethwaite</w:t>
      </w:r>
      <w:r w:rsidRPr="001B0A51">
        <w:rPr>
          <w:i/>
          <w:iCs/>
          <w:color w:val="333335"/>
        </w:rPr>
        <w:t xml:space="preserve">, </w:t>
      </w:r>
      <w:r w:rsidRPr="001B0A51">
        <w:rPr>
          <w:i/>
          <w:iCs/>
          <w:color w:val="333335"/>
          <w:u w:val="single"/>
        </w:rPr>
        <w:t>Re Rickman</w:t>
      </w:r>
      <w:r w:rsidRPr="001B0A51">
        <w:rPr>
          <w:i/>
          <w:iCs/>
          <w:color w:val="333335"/>
        </w:rPr>
        <w:t xml:space="preserve">, </w:t>
      </w:r>
      <w:r w:rsidRPr="001B0A51">
        <w:rPr>
          <w:i/>
          <w:iCs/>
          <w:color w:val="333335"/>
          <w:u w:val="single"/>
        </w:rPr>
        <w:t>Postlethwaite v</w:t>
      </w:r>
      <w:r w:rsidRPr="001B0A51">
        <w:rPr>
          <w:i/>
          <w:iCs/>
          <w:color w:val="333335"/>
        </w:rPr>
        <w:t xml:space="preserve"> </w:t>
      </w:r>
      <w:r w:rsidRPr="001B0A51">
        <w:rPr>
          <w:i/>
          <w:iCs/>
          <w:color w:val="333335"/>
          <w:u w:val="single"/>
        </w:rPr>
        <w:t>Rickman</w:t>
      </w:r>
      <w:r w:rsidRPr="001B0A51">
        <w:rPr>
          <w:i/>
          <w:iCs/>
          <w:color w:val="333335"/>
        </w:rPr>
        <w:t xml:space="preserve"> (1887) 35 ChD 722);</w:t>
      </w:r>
      <w:r w:rsidRPr="001B0A51">
        <w:rPr>
          <w:b/>
          <w:bCs/>
          <w:i/>
          <w:iCs/>
          <w:color w:val="333335"/>
        </w:rPr>
        <w:t xml:space="preserve"> nor against persons in an analogous position (</w:t>
      </w:r>
      <w:r w:rsidRPr="001B0A51">
        <w:rPr>
          <w:b/>
          <w:bCs/>
          <w:i/>
          <w:iCs/>
          <w:color w:val="333335"/>
          <w:u w:val="single"/>
        </w:rPr>
        <w:t>Gouraud v Edison Co</w:t>
      </w:r>
      <w:r w:rsidRPr="001B0A51">
        <w:rPr>
          <w:b/>
          <w:bCs/>
          <w:i/>
          <w:iCs/>
          <w:color w:val="333335"/>
        </w:rPr>
        <w:t xml:space="preserve"> 10 (1888) 57 LJ Ch 498</w:t>
      </w:r>
      <w:r w:rsidRPr="001B0A51">
        <w:rPr>
          <w:i/>
          <w:iCs/>
          <w:color w:val="333335"/>
        </w:rPr>
        <w:t xml:space="preserve">; cf. </w:t>
      </w:r>
      <w:r w:rsidRPr="001B0A51">
        <w:rPr>
          <w:i/>
          <w:iCs/>
          <w:color w:val="333335"/>
          <w:u w:val="single"/>
        </w:rPr>
        <w:t>Bristol Corp v Cox</w:t>
      </w:r>
      <w:r w:rsidRPr="001B0A51">
        <w:rPr>
          <w:i/>
          <w:iCs/>
          <w:color w:val="333335"/>
        </w:rPr>
        <w:t xml:space="preserve"> (1884) 26 ChD 678 at 683. See also</w:t>
      </w:r>
      <w:r w:rsidRPr="001B0A51">
        <w:rPr>
          <w:i/>
          <w:iCs/>
          <w:color w:val="333335"/>
          <w:u w:val="single"/>
        </w:rPr>
        <w:t xml:space="preserve"> Re Whitworth</w:t>
      </w:r>
      <w:r w:rsidRPr="001B0A51">
        <w:rPr>
          <w:i/>
          <w:iCs/>
          <w:color w:val="333335"/>
        </w:rPr>
        <w:t xml:space="preserve"> (solicitor trustee)).”</w:t>
      </w:r>
      <w:r w:rsidR="002C6532">
        <w:rPr>
          <w:i/>
          <w:iCs/>
          <w:color w:val="333335"/>
        </w:rPr>
        <w:t xml:space="preserve"> </w:t>
      </w:r>
      <w:r w:rsidR="002C6532" w:rsidRPr="002C6532">
        <w:rPr>
          <w:color w:val="333335"/>
        </w:rPr>
        <w:t>(emphasis added)</w:t>
      </w:r>
    </w:p>
    <w:p w14:paraId="40A5DB48" w14:textId="77777777" w:rsidR="00174CB6" w:rsidRDefault="00174CB6" w:rsidP="001B0A51">
      <w:pPr>
        <w:pStyle w:val="NormalWeb"/>
        <w:spacing w:before="240" w:after="0" w:line="360" w:lineRule="auto"/>
        <w:ind w:left="1440"/>
        <w:textAlignment w:val="baseline"/>
        <w:rPr>
          <w:color w:val="333335"/>
        </w:rPr>
      </w:pPr>
    </w:p>
    <w:p w14:paraId="0E36BA12" w14:textId="5D746305" w:rsidR="00174CB6" w:rsidRDefault="0044200C" w:rsidP="00E22C50">
      <w:pPr>
        <w:pStyle w:val="NormalWeb"/>
        <w:numPr>
          <w:ilvl w:val="0"/>
          <w:numId w:val="13"/>
        </w:numPr>
        <w:tabs>
          <w:tab w:val="left" w:pos="450"/>
        </w:tabs>
        <w:spacing w:before="240" w:after="0" w:line="360" w:lineRule="auto"/>
        <w:ind w:left="450" w:hanging="450"/>
        <w:jc w:val="both"/>
        <w:textAlignment w:val="baseline"/>
        <w:rPr>
          <w:color w:val="333335"/>
        </w:rPr>
      </w:pPr>
      <w:r>
        <w:rPr>
          <w:color w:val="333335"/>
        </w:rPr>
        <w:t>In</w:t>
      </w:r>
      <w:r w:rsidRPr="00387593">
        <w:rPr>
          <w:i/>
          <w:iCs/>
          <w:color w:val="333335"/>
        </w:rPr>
        <w:t xml:space="preserve"> </w:t>
      </w:r>
      <w:r w:rsidR="00A95A02" w:rsidRPr="00387593">
        <w:rPr>
          <w:i/>
          <w:iCs/>
          <w:color w:val="333335"/>
        </w:rPr>
        <w:t xml:space="preserve">Medlands </w:t>
      </w:r>
      <w:r w:rsidR="00C37B6B" w:rsidRPr="00387593">
        <w:rPr>
          <w:i/>
          <w:iCs/>
          <w:color w:val="333335"/>
        </w:rPr>
        <w:t>(PTC) Limited v Commissioner of the Bermuda Police Service</w:t>
      </w:r>
      <w:r w:rsidR="006826A9" w:rsidRPr="00387593">
        <w:rPr>
          <w:i/>
          <w:iCs/>
          <w:color w:val="333335"/>
        </w:rPr>
        <w:t xml:space="preserve"> </w:t>
      </w:r>
      <w:r w:rsidR="006826A9" w:rsidRPr="006826A9">
        <w:rPr>
          <w:color w:val="333335"/>
        </w:rPr>
        <w:t>[2020] SC (Bda) 20 Civ (26 March 2020)</w:t>
      </w:r>
      <w:r w:rsidR="006826A9">
        <w:rPr>
          <w:color w:val="333335"/>
        </w:rPr>
        <w:t xml:space="preserve"> this Court</w:t>
      </w:r>
      <w:r w:rsidR="00387593">
        <w:rPr>
          <w:color w:val="333335"/>
        </w:rPr>
        <w:t xml:space="preserve"> noted the existence of the rule and the qualifications and reservations set out in </w:t>
      </w:r>
      <w:r w:rsidR="00387593" w:rsidRPr="00387593">
        <w:rPr>
          <w:i/>
          <w:iCs/>
          <w:color w:val="333335"/>
        </w:rPr>
        <w:t>Hollander</w:t>
      </w:r>
      <w:r w:rsidR="00387593">
        <w:rPr>
          <w:color w:val="333335"/>
        </w:rPr>
        <w:t>:</w:t>
      </w:r>
    </w:p>
    <w:p w14:paraId="0AA75F1B" w14:textId="0A47AEBD" w:rsidR="00387593" w:rsidRPr="00BC0422" w:rsidRDefault="00387593" w:rsidP="009931D4">
      <w:pPr>
        <w:pStyle w:val="NormalWeb"/>
        <w:spacing w:before="240" w:after="0" w:line="276" w:lineRule="auto"/>
        <w:ind w:left="720"/>
        <w:textAlignment w:val="baseline"/>
        <w:rPr>
          <w:i/>
          <w:iCs/>
          <w:color w:val="333335"/>
        </w:rPr>
      </w:pPr>
      <w:r w:rsidRPr="00BC0422">
        <w:rPr>
          <w:i/>
          <w:iCs/>
          <w:color w:val="333335"/>
        </w:rPr>
        <w:t>“</w:t>
      </w:r>
      <w:r w:rsidR="00521E3D" w:rsidRPr="00BC0422">
        <w:rPr>
          <w:i/>
          <w:iCs/>
          <w:color w:val="333335"/>
        </w:rPr>
        <w:t xml:space="preserve">51. In paragraph 5-02 of </w:t>
      </w:r>
      <w:r w:rsidR="008B4201" w:rsidRPr="00BC0422">
        <w:rPr>
          <w:i/>
          <w:iCs/>
          <w:color w:val="333335"/>
        </w:rPr>
        <w:t>[Hollander]</w:t>
      </w:r>
      <w:r w:rsidR="00521E3D" w:rsidRPr="00BC0422">
        <w:rPr>
          <w:i/>
          <w:iCs/>
          <w:color w:val="333335"/>
        </w:rPr>
        <w:t>, the author accept</w:t>
      </w:r>
      <w:r w:rsidR="008B4201" w:rsidRPr="00BC0422">
        <w:rPr>
          <w:i/>
          <w:iCs/>
          <w:color w:val="333335"/>
        </w:rPr>
        <w:t>s</w:t>
      </w:r>
      <w:r w:rsidR="00521E3D" w:rsidRPr="00BC0422">
        <w:rPr>
          <w:i/>
          <w:iCs/>
          <w:color w:val="333335"/>
        </w:rPr>
        <w:t xml:space="preserve"> that this general rule is well established under English law although its basis is “distinctly dubious”. </w:t>
      </w:r>
      <w:r w:rsidR="00F2763B" w:rsidRPr="00BC0422">
        <w:rPr>
          <w:i/>
          <w:iCs/>
          <w:color w:val="333335"/>
        </w:rPr>
        <w:t>[He]</w:t>
      </w:r>
      <w:r w:rsidR="00521E3D" w:rsidRPr="00BC0422">
        <w:rPr>
          <w:i/>
          <w:iCs/>
          <w:color w:val="333335"/>
        </w:rPr>
        <w:t xml:space="preserve"> say</w:t>
      </w:r>
      <w:r w:rsidR="00F2763B" w:rsidRPr="00BC0422">
        <w:rPr>
          <w:i/>
          <w:iCs/>
          <w:color w:val="333335"/>
        </w:rPr>
        <w:t>s</w:t>
      </w:r>
      <w:r w:rsidR="00521E3D" w:rsidRPr="00BC0422">
        <w:rPr>
          <w:i/>
          <w:iCs/>
          <w:color w:val="333335"/>
        </w:rPr>
        <w:t xml:space="preserve"> that the principle was established in the 1</w:t>
      </w:r>
      <w:r w:rsidR="00F2763B" w:rsidRPr="00BC0422">
        <w:rPr>
          <w:i/>
          <w:iCs/>
          <w:color w:val="333335"/>
        </w:rPr>
        <w:t>9</w:t>
      </w:r>
      <w:r w:rsidR="00F2763B" w:rsidRPr="00BC0422">
        <w:rPr>
          <w:i/>
          <w:iCs/>
          <w:color w:val="333335"/>
          <w:vertAlign w:val="superscript"/>
        </w:rPr>
        <w:t>th</w:t>
      </w:r>
      <w:r w:rsidR="00521E3D" w:rsidRPr="00BC0422">
        <w:rPr>
          <w:i/>
          <w:iCs/>
          <w:color w:val="333335"/>
        </w:rPr>
        <w:t xml:space="preserve"> century before cases such</w:t>
      </w:r>
      <w:r w:rsidR="003B1E81" w:rsidRPr="00BC0422">
        <w:rPr>
          <w:i/>
          <w:iCs/>
          <w:color w:val="333335"/>
        </w:rPr>
        <w:t xml:space="preserve"> </w:t>
      </w:r>
      <w:r w:rsidR="00521E3D" w:rsidRPr="00BC0422">
        <w:rPr>
          <w:i/>
          <w:iCs/>
          <w:color w:val="333335"/>
        </w:rPr>
        <w:t xml:space="preserve">as </w:t>
      </w:r>
      <w:r w:rsidR="00521E3D" w:rsidRPr="00BC0422">
        <w:rPr>
          <w:i/>
          <w:iCs/>
          <w:color w:val="333335"/>
          <w:u w:val="single"/>
        </w:rPr>
        <w:t>Salomon v Salomon</w:t>
      </w:r>
      <w:r w:rsidR="00521E3D" w:rsidRPr="00BC0422">
        <w:rPr>
          <w:i/>
          <w:iCs/>
          <w:color w:val="333335"/>
        </w:rPr>
        <w:t xml:space="preserve"> [1897] A.C. 22 drew a clear distinction between a company and its shareholders and held that the shareholders have no interest in the property of the company. Once the separation between the company and the shareholders had been established, the law should have changed but it did not. They point out that the Canadian courts have taken</w:t>
      </w:r>
      <w:r w:rsidR="008F4399" w:rsidRPr="00BC0422">
        <w:rPr>
          <w:i/>
          <w:iCs/>
          <w:color w:val="333335"/>
        </w:rPr>
        <w:t xml:space="preserve"> a different view and Australian authority, whilst not clear-cut, also suggests a contrary view.</w:t>
      </w:r>
    </w:p>
    <w:p w14:paraId="61330A05" w14:textId="54A5A13F" w:rsidR="008F4399" w:rsidRPr="00BC0422" w:rsidRDefault="008F4399" w:rsidP="009931D4">
      <w:pPr>
        <w:pStyle w:val="NormalWeb"/>
        <w:spacing w:before="240" w:after="0" w:line="276" w:lineRule="auto"/>
        <w:ind w:left="720"/>
        <w:textAlignment w:val="baseline"/>
        <w:rPr>
          <w:i/>
          <w:iCs/>
          <w:color w:val="333335"/>
        </w:rPr>
      </w:pPr>
      <w:r w:rsidRPr="00BC0422">
        <w:rPr>
          <w:i/>
          <w:iCs/>
          <w:color w:val="333335"/>
        </w:rPr>
        <w:t>…</w:t>
      </w:r>
    </w:p>
    <w:p w14:paraId="219B5469" w14:textId="20006E66" w:rsidR="008F4399" w:rsidRDefault="003C0868" w:rsidP="009931D4">
      <w:pPr>
        <w:pStyle w:val="NormalWeb"/>
        <w:spacing w:before="240" w:after="0" w:line="276" w:lineRule="auto"/>
        <w:ind w:left="720"/>
        <w:textAlignment w:val="baseline"/>
        <w:rPr>
          <w:i/>
          <w:iCs/>
          <w:color w:val="333335"/>
        </w:rPr>
      </w:pPr>
      <w:r w:rsidRPr="00BC0422">
        <w:rPr>
          <w:i/>
          <w:iCs/>
          <w:color w:val="333335"/>
        </w:rPr>
        <w:t>54. In the circumstances I conclude that the rule that a company cannot assert privilege as against a shareholder does not apply to Mr Tamine as he is not a shareholder in the relevant company. The rule does not, in my judgment, extend to a shareholder of a shareholder. The same analysis applies to the suggestion that the privilege does not exist because Mr Tamine is the sole director of Cabarita.</w:t>
      </w:r>
      <w:r w:rsidR="00BC0422" w:rsidRPr="00BC0422">
        <w:rPr>
          <w:i/>
          <w:iCs/>
          <w:color w:val="333335"/>
        </w:rPr>
        <w:t>”</w:t>
      </w:r>
    </w:p>
    <w:p w14:paraId="53DDFE82" w14:textId="77777777" w:rsidR="00BC0422" w:rsidRPr="005A3383" w:rsidRDefault="00BC0422" w:rsidP="00BC0422">
      <w:pPr>
        <w:pStyle w:val="NormalWeb"/>
        <w:spacing w:before="240" w:after="0" w:line="360" w:lineRule="auto"/>
        <w:ind w:left="720"/>
        <w:textAlignment w:val="baseline"/>
        <w:rPr>
          <w:color w:val="333335"/>
        </w:rPr>
      </w:pPr>
    </w:p>
    <w:p w14:paraId="056388A4" w14:textId="073DD06C" w:rsidR="00BC0422" w:rsidRDefault="00236321" w:rsidP="003853DE">
      <w:pPr>
        <w:pStyle w:val="NormalWeb"/>
        <w:numPr>
          <w:ilvl w:val="0"/>
          <w:numId w:val="13"/>
        </w:numPr>
        <w:tabs>
          <w:tab w:val="left" w:pos="450"/>
        </w:tabs>
        <w:spacing w:before="240" w:after="0" w:line="360" w:lineRule="auto"/>
        <w:ind w:left="450" w:hanging="450"/>
        <w:jc w:val="both"/>
        <w:textAlignment w:val="baseline"/>
        <w:rPr>
          <w:color w:val="333335"/>
        </w:rPr>
      </w:pPr>
      <w:r w:rsidRPr="005A3383">
        <w:rPr>
          <w:color w:val="333335"/>
        </w:rPr>
        <w:t xml:space="preserve">The most recent </w:t>
      </w:r>
      <w:r w:rsidR="002D0CCA" w:rsidRPr="005A3383">
        <w:rPr>
          <w:color w:val="333335"/>
        </w:rPr>
        <w:t>authority is the decision of the Court of Appeal</w:t>
      </w:r>
      <w:r w:rsidR="0093172C" w:rsidRPr="005A3383">
        <w:rPr>
          <w:color w:val="333335"/>
        </w:rPr>
        <w:t xml:space="preserve"> in</w:t>
      </w:r>
      <w:r w:rsidR="005A3383" w:rsidRPr="005A3383">
        <w:rPr>
          <w:color w:val="333335"/>
        </w:rPr>
        <w:t xml:space="preserve"> </w:t>
      </w:r>
      <w:r w:rsidR="005A3383" w:rsidRPr="005A3383">
        <w:rPr>
          <w:i/>
          <w:iCs/>
          <w:color w:val="333335"/>
        </w:rPr>
        <w:t>Wang and Wong v Grand</w:t>
      </w:r>
      <w:r w:rsidR="005A3383" w:rsidRPr="005A3383">
        <w:rPr>
          <w:color w:val="333335"/>
        </w:rPr>
        <w:t xml:space="preserve"> </w:t>
      </w:r>
      <w:r w:rsidR="005A3383" w:rsidRPr="005A3383">
        <w:rPr>
          <w:i/>
          <w:iCs/>
          <w:color w:val="333335"/>
        </w:rPr>
        <w:t>View Private Trust Co Ltd and Ors</w:t>
      </w:r>
      <w:r w:rsidR="005A3383" w:rsidRPr="005A3383">
        <w:rPr>
          <w:color w:val="333335"/>
        </w:rPr>
        <w:t xml:space="preserve"> [2021] Bda LR 29</w:t>
      </w:r>
      <w:r w:rsidR="008603F5">
        <w:rPr>
          <w:color w:val="333335"/>
        </w:rPr>
        <w:t xml:space="preserve"> where paragraphs 6.</w:t>
      </w:r>
      <w:r w:rsidR="00681ACF">
        <w:rPr>
          <w:color w:val="333335"/>
        </w:rPr>
        <w:t>07-6.09 of</w:t>
      </w:r>
      <w:r w:rsidR="00681ACF" w:rsidRPr="00C21214">
        <w:rPr>
          <w:i/>
          <w:iCs/>
          <w:color w:val="333335"/>
        </w:rPr>
        <w:t xml:space="preserve"> Thanki </w:t>
      </w:r>
      <w:r w:rsidR="00681ACF">
        <w:rPr>
          <w:color w:val="333335"/>
        </w:rPr>
        <w:t>was cited verbatim in the judgments</w:t>
      </w:r>
      <w:r w:rsidR="00D2569E">
        <w:rPr>
          <w:color w:val="333335"/>
        </w:rPr>
        <w:t xml:space="preserve"> on the basis that the treatment of “</w:t>
      </w:r>
      <w:r w:rsidR="00D2569E" w:rsidRPr="00E52073">
        <w:rPr>
          <w:i/>
          <w:iCs/>
          <w:color w:val="333335"/>
        </w:rPr>
        <w:t>joint privilege</w:t>
      </w:r>
      <w:r w:rsidR="00D2569E">
        <w:rPr>
          <w:color w:val="333335"/>
        </w:rPr>
        <w:t xml:space="preserve">” in </w:t>
      </w:r>
      <w:r w:rsidR="00D2569E" w:rsidRPr="00C21214">
        <w:rPr>
          <w:i/>
          <w:iCs/>
          <w:color w:val="333335"/>
        </w:rPr>
        <w:t>Thanki</w:t>
      </w:r>
      <w:r w:rsidR="00C21214" w:rsidRPr="00C21214">
        <w:rPr>
          <w:i/>
          <w:iCs/>
          <w:color w:val="333335"/>
        </w:rPr>
        <w:t xml:space="preserve"> </w:t>
      </w:r>
      <w:r w:rsidR="00C21214">
        <w:rPr>
          <w:color w:val="333335"/>
        </w:rPr>
        <w:t>represents Bermuda law.</w:t>
      </w:r>
    </w:p>
    <w:p w14:paraId="3FD1C739" w14:textId="77777777" w:rsidR="00C21214" w:rsidRDefault="00C21214" w:rsidP="00BC0422">
      <w:pPr>
        <w:pStyle w:val="NormalWeb"/>
        <w:spacing w:before="240" w:after="0" w:line="360" w:lineRule="auto"/>
        <w:textAlignment w:val="baseline"/>
        <w:rPr>
          <w:color w:val="333335"/>
        </w:rPr>
      </w:pPr>
    </w:p>
    <w:p w14:paraId="107F80A4" w14:textId="127C66B3" w:rsidR="00C21214" w:rsidRDefault="00800D08" w:rsidP="00791B78">
      <w:pPr>
        <w:pStyle w:val="NormalWeb"/>
        <w:numPr>
          <w:ilvl w:val="0"/>
          <w:numId w:val="13"/>
        </w:numPr>
        <w:tabs>
          <w:tab w:val="left" w:pos="450"/>
        </w:tabs>
        <w:spacing w:before="240" w:after="0" w:line="360" w:lineRule="auto"/>
        <w:ind w:left="450" w:hanging="450"/>
        <w:jc w:val="both"/>
        <w:textAlignment w:val="baseline"/>
        <w:rPr>
          <w:color w:val="333335"/>
        </w:rPr>
      </w:pPr>
      <w:r>
        <w:rPr>
          <w:color w:val="333335"/>
        </w:rPr>
        <w:t xml:space="preserve">At [77] of the judgment of Subair-Williams </w:t>
      </w:r>
      <w:r w:rsidR="00F05D49">
        <w:rPr>
          <w:color w:val="333335"/>
        </w:rPr>
        <w:t>JA the learned judge</w:t>
      </w:r>
      <w:r w:rsidR="00B730E8">
        <w:rPr>
          <w:color w:val="333335"/>
        </w:rPr>
        <w:t xml:space="preserve"> notes that “</w:t>
      </w:r>
      <w:r w:rsidR="00E75790" w:rsidRPr="00785739">
        <w:rPr>
          <w:i/>
          <w:iCs/>
          <w:color w:val="333335"/>
        </w:rPr>
        <w:t xml:space="preserve">This Court was referred to a line of English authorities as to the meaning and scope of joint interest privilege. Both parties relied on various passages in </w:t>
      </w:r>
      <w:r w:rsidR="00E75790" w:rsidRPr="00785739">
        <w:rPr>
          <w:i/>
          <w:iCs/>
          <w:color w:val="333335"/>
          <w:u w:val="single"/>
        </w:rPr>
        <w:t>Thanki on The Law of Privilege</w:t>
      </w:r>
      <w:r w:rsidR="00E75790" w:rsidRPr="00785739">
        <w:rPr>
          <w:i/>
          <w:iCs/>
          <w:color w:val="333335"/>
        </w:rPr>
        <w:t xml:space="preserve"> (3rd ed) (“</w:t>
      </w:r>
      <w:r w:rsidR="00E75790" w:rsidRPr="00785739">
        <w:rPr>
          <w:i/>
          <w:iCs/>
          <w:color w:val="333335"/>
          <w:u w:val="single"/>
        </w:rPr>
        <w:t>Thanki</w:t>
      </w:r>
      <w:r w:rsidR="00E75790" w:rsidRPr="00785739">
        <w:rPr>
          <w:i/>
          <w:iCs/>
          <w:color w:val="333335"/>
        </w:rPr>
        <w:t>”) at §6.07-6.09</w:t>
      </w:r>
      <w:r w:rsidR="00E75790">
        <w:rPr>
          <w:color w:val="333335"/>
        </w:rPr>
        <w:t>”</w:t>
      </w:r>
      <w:r w:rsidR="00785739">
        <w:rPr>
          <w:color w:val="333335"/>
        </w:rPr>
        <w:t xml:space="preserve"> and</w:t>
      </w:r>
      <w:r w:rsidR="00392518">
        <w:rPr>
          <w:color w:val="333335"/>
        </w:rPr>
        <w:t xml:space="preserve"> the entire paragraphs 6.07 to 6.09</w:t>
      </w:r>
      <w:r w:rsidR="00891697">
        <w:rPr>
          <w:color w:val="333335"/>
        </w:rPr>
        <w:t xml:space="preserve"> are reproduced in the judgment.</w:t>
      </w:r>
      <w:r w:rsidR="00820A3E">
        <w:rPr>
          <w:color w:val="333335"/>
        </w:rPr>
        <w:t xml:space="preserve"> At [111</w:t>
      </w:r>
      <w:r w:rsidR="00714267">
        <w:rPr>
          <w:color w:val="333335"/>
        </w:rPr>
        <w:t>]</w:t>
      </w:r>
      <w:r w:rsidR="00820A3E">
        <w:rPr>
          <w:color w:val="333335"/>
        </w:rPr>
        <w:t xml:space="preserve"> Subair-Williams JA states that:</w:t>
      </w:r>
    </w:p>
    <w:p w14:paraId="0D842510" w14:textId="5CB75742" w:rsidR="00820A3E" w:rsidRPr="00714267" w:rsidRDefault="00820A3E" w:rsidP="000B5CB0">
      <w:pPr>
        <w:pStyle w:val="NormalWeb"/>
        <w:spacing w:before="240" w:after="0" w:line="276" w:lineRule="auto"/>
        <w:ind w:left="720"/>
        <w:textAlignment w:val="baseline"/>
        <w:rPr>
          <w:i/>
          <w:iCs/>
          <w:color w:val="333335"/>
        </w:rPr>
      </w:pPr>
      <w:r w:rsidRPr="00714267">
        <w:rPr>
          <w:i/>
          <w:iCs/>
          <w:color w:val="333335"/>
        </w:rPr>
        <w:t>“</w:t>
      </w:r>
      <w:r w:rsidR="00714267" w:rsidRPr="00714267">
        <w:rPr>
          <w:i/>
          <w:iCs/>
          <w:color w:val="333335"/>
        </w:rPr>
        <w:t>I would accept that the case law contains a series of examples of pre-existing legal relationships which have been held to give rise to joint interest privilege. I would also accept, as Mr Adkin QC contended during his oral arguments, that each of these recognized relationships involve a person or entity who has a fiduciary or quasi-fiduciary duty to act on behalf of and/or in the interest of the other party to the relationship. However, this list of relevant relationships is not closed.”</w:t>
      </w:r>
    </w:p>
    <w:p w14:paraId="0B13BF47" w14:textId="77777777" w:rsidR="002C6532" w:rsidRDefault="002C6532" w:rsidP="001B0A51">
      <w:pPr>
        <w:pStyle w:val="NormalWeb"/>
        <w:spacing w:before="240" w:after="0" w:line="360" w:lineRule="auto"/>
        <w:ind w:left="1440"/>
        <w:textAlignment w:val="baseline"/>
        <w:rPr>
          <w:i/>
          <w:iCs/>
          <w:color w:val="333335"/>
        </w:rPr>
      </w:pPr>
    </w:p>
    <w:p w14:paraId="3269EA72" w14:textId="1EEFAC9A" w:rsidR="002C6532" w:rsidRDefault="00783C89" w:rsidP="00791B78">
      <w:pPr>
        <w:pStyle w:val="NormalWeb"/>
        <w:numPr>
          <w:ilvl w:val="0"/>
          <w:numId w:val="13"/>
        </w:numPr>
        <w:tabs>
          <w:tab w:val="left" w:pos="450"/>
        </w:tabs>
        <w:spacing w:before="240" w:after="0" w:line="360" w:lineRule="auto"/>
        <w:textAlignment w:val="baseline"/>
        <w:rPr>
          <w:i/>
          <w:iCs/>
          <w:color w:val="333335"/>
        </w:rPr>
      </w:pPr>
      <w:r>
        <w:rPr>
          <w:color w:val="333335"/>
        </w:rPr>
        <w:t>Clarke P</w:t>
      </w:r>
      <w:r w:rsidR="007A61C5">
        <w:rPr>
          <w:color w:val="333335"/>
        </w:rPr>
        <w:t xml:space="preserve"> also dealt with the issue of “</w:t>
      </w:r>
      <w:r w:rsidR="007A61C5" w:rsidRPr="000F2C3C">
        <w:rPr>
          <w:i/>
          <w:iCs/>
          <w:color w:val="333335"/>
        </w:rPr>
        <w:t>joint privilege</w:t>
      </w:r>
      <w:r w:rsidR="007A61C5">
        <w:rPr>
          <w:color w:val="333335"/>
        </w:rPr>
        <w:t>”</w:t>
      </w:r>
      <w:r w:rsidR="00653475">
        <w:rPr>
          <w:color w:val="333335"/>
        </w:rPr>
        <w:t xml:space="preserve"> </w:t>
      </w:r>
      <w:r w:rsidR="007A61C5">
        <w:rPr>
          <w:color w:val="333335"/>
        </w:rPr>
        <w:t>by reference to the passages in</w:t>
      </w:r>
      <w:r w:rsidR="00653475" w:rsidRPr="000F2C3C">
        <w:rPr>
          <w:i/>
          <w:iCs/>
          <w:color w:val="333335"/>
        </w:rPr>
        <w:t xml:space="preserve"> Thanki</w:t>
      </w:r>
      <w:r w:rsidR="00C54C1F">
        <w:rPr>
          <w:i/>
          <w:iCs/>
          <w:color w:val="333335"/>
        </w:rPr>
        <w:t>:</w:t>
      </w:r>
    </w:p>
    <w:p w14:paraId="0EB8E848" w14:textId="69485EB9" w:rsidR="00995D51" w:rsidRPr="00995D51" w:rsidRDefault="00C54C1F" w:rsidP="000B5CB0">
      <w:pPr>
        <w:pStyle w:val="NormalWeb"/>
        <w:spacing w:before="240" w:after="0" w:line="276" w:lineRule="auto"/>
        <w:ind w:left="720"/>
        <w:textAlignment w:val="baseline"/>
        <w:rPr>
          <w:i/>
          <w:iCs/>
          <w:color w:val="333335"/>
        </w:rPr>
      </w:pPr>
      <w:r>
        <w:rPr>
          <w:i/>
          <w:iCs/>
          <w:color w:val="333335"/>
        </w:rPr>
        <w:t>“</w:t>
      </w:r>
      <w:r w:rsidR="00995D51" w:rsidRPr="00995D51">
        <w:rPr>
          <w:i/>
          <w:iCs/>
          <w:color w:val="333335"/>
        </w:rPr>
        <w:t>138. In the classic cases in which joint privilege has been held to exist the nature of the relationship between A and B is such that the courts have held that it gives rise to a right in favour of B to have access to the material; and a duty on the part of A to make it available. As is said in</w:t>
      </w:r>
      <w:r w:rsidR="00995D51" w:rsidRPr="008955B6">
        <w:rPr>
          <w:i/>
          <w:iCs/>
          <w:color w:val="333335"/>
          <w:u w:val="single"/>
        </w:rPr>
        <w:t xml:space="preserve"> Thanki</w:t>
      </w:r>
      <w:r w:rsidR="00995D51" w:rsidRPr="00995D51">
        <w:rPr>
          <w:i/>
          <w:iCs/>
          <w:color w:val="333335"/>
        </w:rPr>
        <w:t xml:space="preserve">, A and B must “have a joint interest in the subject matter of the communication”, existing at the time the communication comes into existence, and “the interested party must be able to establish a right to obtain access to them by reason of a common interest in their subject matter which existed at the time the advice was sought or the documents were obtained” per Moore-Bick J in </w:t>
      </w:r>
      <w:r w:rsidR="00995D51" w:rsidRPr="008955B6">
        <w:rPr>
          <w:i/>
          <w:iCs/>
          <w:color w:val="333335"/>
          <w:u w:val="single"/>
        </w:rPr>
        <w:t>Commercial Union Assurance</w:t>
      </w:r>
      <w:r w:rsidR="00995D51" w:rsidRPr="00995D51">
        <w:rPr>
          <w:i/>
          <w:iCs/>
          <w:color w:val="333335"/>
        </w:rPr>
        <w:t xml:space="preserve">. That formulation begs the question as to when a common interest in the subject matter gives rise to a right to obtain access to it. The mere fact that the subject matter is of interest to B in some general sense is not sufficient. </w:t>
      </w:r>
    </w:p>
    <w:p w14:paraId="3A76B1F9" w14:textId="77777777" w:rsidR="004E1BC5" w:rsidRDefault="00995D51" w:rsidP="000B5CB0">
      <w:pPr>
        <w:pStyle w:val="NormalWeb"/>
        <w:spacing w:before="240" w:after="0" w:line="276" w:lineRule="auto"/>
        <w:ind w:left="720"/>
        <w:textAlignment w:val="baseline"/>
        <w:rPr>
          <w:b/>
          <w:bCs/>
          <w:i/>
          <w:iCs/>
          <w:color w:val="333335"/>
        </w:rPr>
      </w:pPr>
      <w:r w:rsidRPr="00995D51">
        <w:rPr>
          <w:i/>
          <w:iCs/>
          <w:color w:val="333335"/>
        </w:rPr>
        <w:t xml:space="preserve">139. </w:t>
      </w:r>
      <w:r w:rsidRPr="006F2F77">
        <w:rPr>
          <w:b/>
          <w:bCs/>
          <w:i/>
          <w:iCs/>
          <w:color w:val="333335"/>
        </w:rPr>
        <w:t>There are a number of cases in which a right to obtain access has been held to exist by reason of the nature of the existing relationship between A and B. The classic examples are</w:t>
      </w:r>
      <w:r w:rsidRPr="00995D51">
        <w:rPr>
          <w:i/>
          <w:iCs/>
          <w:color w:val="333335"/>
        </w:rPr>
        <w:t xml:space="preserve"> where A and B are partners. </w:t>
      </w:r>
      <w:r w:rsidRPr="00D11BFB">
        <w:rPr>
          <w:b/>
          <w:bCs/>
          <w:i/>
          <w:iCs/>
          <w:color w:val="333335"/>
        </w:rPr>
        <w:t>The list includes</w:t>
      </w:r>
      <w:r w:rsidRPr="00995D51">
        <w:rPr>
          <w:i/>
          <w:iCs/>
          <w:color w:val="333335"/>
        </w:rPr>
        <w:t xml:space="preserve"> (a) partners; (b) joint venturers or those who are party to something like a joint venture, e.g. because they have an entitlement to a share in the fruits of a development, or at least a claim to that effect; (c) beneficiaries and trustees; (d) </w:t>
      </w:r>
      <w:r w:rsidRPr="00D11BFB">
        <w:rPr>
          <w:b/>
          <w:bCs/>
          <w:i/>
          <w:iCs/>
          <w:color w:val="333335"/>
        </w:rPr>
        <w:t>shareholders and companies in relation to the property of the company</w:t>
      </w:r>
      <w:r w:rsidRPr="00995D51">
        <w:rPr>
          <w:i/>
          <w:iCs/>
          <w:color w:val="333335"/>
        </w:rPr>
        <w:t xml:space="preserve">; (e) parents and subsidiaries; (f) insured/reinsured and insurer/reinsurer (g) beneficiaries under a will and executors; (h) principal and agent. </w:t>
      </w:r>
    </w:p>
    <w:p w14:paraId="64338ECE" w14:textId="49F5C280" w:rsidR="00C54C1F" w:rsidRPr="004E1BC5" w:rsidRDefault="00995D51" w:rsidP="000B5CB0">
      <w:pPr>
        <w:pStyle w:val="NormalWeb"/>
        <w:spacing w:before="240" w:after="0" w:line="276" w:lineRule="auto"/>
        <w:ind w:left="720"/>
        <w:textAlignment w:val="baseline"/>
        <w:rPr>
          <w:b/>
          <w:bCs/>
          <w:i/>
          <w:iCs/>
          <w:color w:val="333335"/>
        </w:rPr>
      </w:pPr>
      <w:r w:rsidRPr="00995D51">
        <w:rPr>
          <w:i/>
          <w:iCs/>
          <w:color w:val="333335"/>
        </w:rPr>
        <w:t xml:space="preserve">140. </w:t>
      </w:r>
      <w:r w:rsidRPr="004E1BC5">
        <w:rPr>
          <w:b/>
          <w:bCs/>
          <w:i/>
          <w:iCs/>
          <w:color w:val="333335"/>
        </w:rPr>
        <w:t>In each of these cases the relationship is such that B is properly held to be entitled as against A to access to the privileged material</w:t>
      </w:r>
      <w:r w:rsidRPr="00995D51">
        <w:rPr>
          <w:i/>
          <w:iCs/>
          <w:color w:val="333335"/>
        </w:rPr>
        <w:t>. Sometimes the relationship is in the nature of a shared enterprise (partners and joint venturers)</w:t>
      </w:r>
      <w:r w:rsidRPr="004E1BC5">
        <w:rPr>
          <w:b/>
          <w:bCs/>
          <w:i/>
          <w:iCs/>
          <w:color w:val="333335"/>
        </w:rPr>
        <w:t>. Sometimes the relationship is one of ownership, as in the case of shareholders</w:t>
      </w:r>
      <w:r w:rsidRPr="00995D51">
        <w:rPr>
          <w:i/>
          <w:iCs/>
          <w:color w:val="333335"/>
        </w:rPr>
        <w:t>. Sometimes the relationship is one of contractual obligation. Sometimes the relationship is one where A holds assets for, and owes duties to B, as in the case of a trustee.</w:t>
      </w:r>
      <w:r w:rsidR="004E1BC5">
        <w:rPr>
          <w:i/>
          <w:iCs/>
          <w:color w:val="333335"/>
        </w:rPr>
        <w:t>”</w:t>
      </w:r>
      <w:r w:rsidR="00E66342">
        <w:rPr>
          <w:i/>
          <w:iCs/>
          <w:color w:val="333335"/>
        </w:rPr>
        <w:t xml:space="preserve"> </w:t>
      </w:r>
      <w:r w:rsidR="00E66342" w:rsidRPr="00E66342">
        <w:rPr>
          <w:color w:val="333335"/>
        </w:rPr>
        <w:t>(emphasis added)</w:t>
      </w:r>
    </w:p>
    <w:p w14:paraId="6BA9F4A8" w14:textId="77777777" w:rsidR="005D4AD8" w:rsidRDefault="005D4AD8" w:rsidP="004E1BC5">
      <w:pPr>
        <w:pStyle w:val="NormalWeb"/>
        <w:spacing w:before="240" w:after="0" w:line="360" w:lineRule="auto"/>
        <w:ind w:left="720"/>
        <w:textAlignment w:val="baseline"/>
        <w:rPr>
          <w:color w:val="333335"/>
        </w:rPr>
      </w:pPr>
    </w:p>
    <w:p w14:paraId="7901E7F1" w14:textId="52C15D08" w:rsidR="00452736" w:rsidRDefault="004C4EBF" w:rsidP="00791B78">
      <w:pPr>
        <w:pStyle w:val="NormalWeb"/>
        <w:numPr>
          <w:ilvl w:val="0"/>
          <w:numId w:val="13"/>
        </w:numPr>
        <w:tabs>
          <w:tab w:val="left" w:pos="450"/>
        </w:tabs>
        <w:spacing w:before="240" w:after="0" w:line="360" w:lineRule="auto"/>
        <w:ind w:left="450" w:hanging="450"/>
        <w:jc w:val="both"/>
        <w:textAlignment w:val="baseline"/>
        <w:rPr>
          <w:color w:val="333335"/>
        </w:rPr>
      </w:pPr>
      <w:r>
        <w:rPr>
          <w:color w:val="333335"/>
        </w:rPr>
        <w:t>As noted earlier,</w:t>
      </w:r>
      <w:r w:rsidR="00F713AD">
        <w:rPr>
          <w:color w:val="333335"/>
        </w:rPr>
        <w:t xml:space="preserve"> the modern justification for the existence of the rule is said to be based upon the joint interests of the parties and in this case the joint interests of</w:t>
      </w:r>
      <w:r w:rsidR="00211B39">
        <w:rPr>
          <w:color w:val="333335"/>
        </w:rPr>
        <w:t xml:space="preserve"> the shareholders and the company. This modern justification, as appears from the judgment of Clarke P</w:t>
      </w:r>
      <w:r w:rsidR="002904C7">
        <w:rPr>
          <w:color w:val="333335"/>
        </w:rPr>
        <w:t xml:space="preserve"> in</w:t>
      </w:r>
      <w:r w:rsidR="002904C7" w:rsidRPr="005A67D7">
        <w:rPr>
          <w:i/>
          <w:iCs/>
          <w:color w:val="333335"/>
        </w:rPr>
        <w:t xml:space="preserve"> Wang</w:t>
      </w:r>
      <w:r w:rsidR="002904C7">
        <w:rPr>
          <w:color w:val="333335"/>
        </w:rPr>
        <w:t>, appears to be accepted by the Court of Appeal as representing Bermuda law. It is correct that</w:t>
      </w:r>
      <w:r w:rsidR="00BF6272">
        <w:rPr>
          <w:color w:val="333335"/>
        </w:rPr>
        <w:t xml:space="preserve"> </w:t>
      </w:r>
      <w:r w:rsidR="006D1214">
        <w:rPr>
          <w:color w:val="333335"/>
        </w:rPr>
        <w:t xml:space="preserve">there does not appear </w:t>
      </w:r>
      <w:r w:rsidR="00734425">
        <w:rPr>
          <w:color w:val="333335"/>
        </w:rPr>
        <w:t xml:space="preserve">that there was </w:t>
      </w:r>
      <w:r w:rsidR="006D1214">
        <w:rPr>
          <w:color w:val="333335"/>
        </w:rPr>
        <w:t xml:space="preserve">any argument in the </w:t>
      </w:r>
      <w:r w:rsidR="006D1214" w:rsidRPr="005A67D7">
        <w:rPr>
          <w:i/>
          <w:iCs/>
          <w:color w:val="333335"/>
        </w:rPr>
        <w:t xml:space="preserve">Wang </w:t>
      </w:r>
      <w:r w:rsidR="006D1214">
        <w:rPr>
          <w:color w:val="333335"/>
        </w:rPr>
        <w:t xml:space="preserve">case as to whether </w:t>
      </w:r>
      <w:r w:rsidR="00730FCD">
        <w:rPr>
          <w:color w:val="333335"/>
        </w:rPr>
        <w:t>the English principle of</w:t>
      </w:r>
      <w:r w:rsidR="006D1214">
        <w:rPr>
          <w:color w:val="333335"/>
        </w:rPr>
        <w:t xml:space="preserve"> joint interest privilege</w:t>
      </w:r>
      <w:r w:rsidR="00730FCD">
        <w:rPr>
          <w:color w:val="333335"/>
        </w:rPr>
        <w:t>,</w:t>
      </w:r>
      <w:r w:rsidR="006D1214">
        <w:rPr>
          <w:color w:val="333335"/>
        </w:rPr>
        <w:t xml:space="preserve"> as it applies to shareholders</w:t>
      </w:r>
      <w:r w:rsidR="00730FCD">
        <w:rPr>
          <w:color w:val="333335"/>
        </w:rPr>
        <w:t xml:space="preserve"> and companies,</w:t>
      </w:r>
      <w:r w:rsidR="00196A46">
        <w:rPr>
          <w:color w:val="333335"/>
        </w:rPr>
        <w:t xml:space="preserve"> should be imported into Bermuda law. However, it </w:t>
      </w:r>
      <w:r w:rsidR="0085551E">
        <w:rPr>
          <w:color w:val="333335"/>
        </w:rPr>
        <w:t>does appear that Clarke P was content to summarise the</w:t>
      </w:r>
      <w:r w:rsidR="001E04BE">
        <w:rPr>
          <w:color w:val="333335"/>
        </w:rPr>
        <w:t xml:space="preserve"> passage from </w:t>
      </w:r>
      <w:r w:rsidR="001E04BE" w:rsidRPr="008A505F">
        <w:rPr>
          <w:i/>
          <w:iCs/>
          <w:color w:val="333335"/>
        </w:rPr>
        <w:t xml:space="preserve">Thanki </w:t>
      </w:r>
      <w:r w:rsidR="001E04BE">
        <w:rPr>
          <w:color w:val="333335"/>
        </w:rPr>
        <w:t>(</w:t>
      </w:r>
      <w:r w:rsidR="008E7CF5">
        <w:rPr>
          <w:color w:val="333335"/>
        </w:rPr>
        <w:t>paragraph 6.09) as representing Bermuda law without any apparent reservation.</w:t>
      </w:r>
    </w:p>
    <w:p w14:paraId="5641BB29" w14:textId="77777777" w:rsidR="008E7CF5" w:rsidRDefault="008E7CF5" w:rsidP="00452736">
      <w:pPr>
        <w:pStyle w:val="NormalWeb"/>
        <w:spacing w:before="240" w:after="0" w:line="360" w:lineRule="auto"/>
        <w:textAlignment w:val="baseline"/>
        <w:rPr>
          <w:color w:val="333335"/>
        </w:rPr>
      </w:pPr>
    </w:p>
    <w:p w14:paraId="08DE31EE" w14:textId="51B9FF36" w:rsidR="008E7CF5" w:rsidRDefault="00BD2294" w:rsidP="003853DE">
      <w:pPr>
        <w:pStyle w:val="NormalWeb"/>
        <w:numPr>
          <w:ilvl w:val="0"/>
          <w:numId w:val="13"/>
        </w:numPr>
        <w:tabs>
          <w:tab w:val="left" w:pos="450"/>
        </w:tabs>
        <w:spacing w:before="240" w:after="0" w:line="360" w:lineRule="auto"/>
        <w:ind w:left="450" w:hanging="450"/>
        <w:jc w:val="both"/>
        <w:textAlignment w:val="baseline"/>
        <w:rPr>
          <w:color w:val="333335"/>
        </w:rPr>
      </w:pPr>
      <w:r>
        <w:rPr>
          <w:color w:val="333335"/>
        </w:rPr>
        <w:t>Given the apparent</w:t>
      </w:r>
      <w:r w:rsidR="0025194C">
        <w:rPr>
          <w:color w:val="333335"/>
        </w:rPr>
        <w:t xml:space="preserve"> acceptance </w:t>
      </w:r>
      <w:r w:rsidR="00D30A6A">
        <w:rPr>
          <w:color w:val="333335"/>
        </w:rPr>
        <w:t>of the existence of</w:t>
      </w:r>
      <w:r w:rsidR="0025194C">
        <w:rPr>
          <w:color w:val="333335"/>
        </w:rPr>
        <w:t xml:space="preserve"> joint privilege</w:t>
      </w:r>
      <w:r w:rsidR="00D30A6A">
        <w:rPr>
          <w:color w:val="333335"/>
        </w:rPr>
        <w:t xml:space="preserve"> between a shareholder </w:t>
      </w:r>
      <w:r w:rsidR="008A505F">
        <w:rPr>
          <w:color w:val="333335"/>
        </w:rPr>
        <w:t>and</w:t>
      </w:r>
      <w:r w:rsidR="00D30A6A">
        <w:rPr>
          <w:color w:val="333335"/>
        </w:rPr>
        <w:t xml:space="preserve"> the company by the Court of Appeal</w:t>
      </w:r>
      <w:r w:rsidR="00456131">
        <w:rPr>
          <w:color w:val="333335"/>
        </w:rPr>
        <w:t xml:space="preserve"> in the </w:t>
      </w:r>
      <w:r w:rsidR="00456131" w:rsidRPr="00B44E4B">
        <w:rPr>
          <w:i/>
          <w:iCs/>
          <w:color w:val="333335"/>
        </w:rPr>
        <w:t>Wang</w:t>
      </w:r>
      <w:r w:rsidR="00456131">
        <w:rPr>
          <w:color w:val="333335"/>
        </w:rPr>
        <w:t xml:space="preserve"> case, the Court has </w:t>
      </w:r>
      <w:r w:rsidR="00A14DE9">
        <w:rPr>
          <w:color w:val="333335"/>
        </w:rPr>
        <w:t>concluded</w:t>
      </w:r>
      <w:r w:rsidR="00456131">
        <w:rPr>
          <w:color w:val="333335"/>
        </w:rPr>
        <w:t xml:space="preserve"> that the appropriate court to revisit the issue</w:t>
      </w:r>
      <w:r w:rsidR="00672A9A">
        <w:rPr>
          <w:color w:val="333335"/>
        </w:rPr>
        <w:t xml:space="preserve"> is the Court of Appeal itself.</w:t>
      </w:r>
      <w:r w:rsidR="00B44E4B">
        <w:rPr>
          <w:color w:val="333335"/>
        </w:rPr>
        <w:t xml:space="preserve"> The Court does not consider that</w:t>
      </w:r>
      <w:r w:rsidR="00A14DE9">
        <w:rPr>
          <w:color w:val="333335"/>
        </w:rPr>
        <w:t>,</w:t>
      </w:r>
      <w:r w:rsidR="00503701">
        <w:rPr>
          <w:color w:val="333335"/>
        </w:rPr>
        <w:t xml:space="preserve"> having regard to the judgment in </w:t>
      </w:r>
      <w:r w:rsidR="00503701" w:rsidRPr="00503701">
        <w:rPr>
          <w:i/>
          <w:iCs/>
          <w:color w:val="333335"/>
        </w:rPr>
        <w:t>Wang</w:t>
      </w:r>
      <w:r w:rsidR="00503701">
        <w:rPr>
          <w:color w:val="333335"/>
        </w:rPr>
        <w:t>,</w:t>
      </w:r>
      <w:r w:rsidR="00B44E4B">
        <w:rPr>
          <w:color w:val="333335"/>
        </w:rPr>
        <w:t xml:space="preserve"> it is appropriate</w:t>
      </w:r>
      <w:r w:rsidR="004B5C42">
        <w:rPr>
          <w:color w:val="333335"/>
        </w:rPr>
        <w:t xml:space="preserve"> for this Court to undertake</w:t>
      </w:r>
      <w:r w:rsidR="00F06703">
        <w:rPr>
          <w:color w:val="333335"/>
        </w:rPr>
        <w:t xml:space="preserve"> this task. </w:t>
      </w:r>
    </w:p>
    <w:p w14:paraId="7D02A94A" w14:textId="77777777" w:rsidR="003E4294" w:rsidRDefault="003E4294" w:rsidP="00452736">
      <w:pPr>
        <w:pStyle w:val="NormalWeb"/>
        <w:spacing w:before="240" w:after="0" w:line="360" w:lineRule="auto"/>
        <w:textAlignment w:val="baseline"/>
        <w:rPr>
          <w:color w:val="333335"/>
        </w:rPr>
      </w:pPr>
    </w:p>
    <w:p w14:paraId="3AD6EC96" w14:textId="63B26D83" w:rsidR="003E4294" w:rsidRDefault="0044260F" w:rsidP="003E4294">
      <w:pPr>
        <w:pStyle w:val="NormalWeb"/>
        <w:numPr>
          <w:ilvl w:val="0"/>
          <w:numId w:val="4"/>
        </w:numPr>
        <w:spacing w:before="240" w:after="0" w:line="360" w:lineRule="auto"/>
        <w:textAlignment w:val="baseline"/>
        <w:rPr>
          <w:b/>
          <w:bCs/>
          <w:color w:val="333335"/>
        </w:rPr>
      </w:pPr>
      <w:r w:rsidRPr="00D67C6E">
        <w:rPr>
          <w:b/>
          <w:bCs/>
          <w:color w:val="333335"/>
        </w:rPr>
        <w:t>The “essence”</w:t>
      </w:r>
      <w:r w:rsidR="00D67C6E" w:rsidRPr="00D67C6E">
        <w:rPr>
          <w:b/>
          <w:bCs/>
          <w:color w:val="333335"/>
        </w:rPr>
        <w:t xml:space="preserve"> of the request issue</w:t>
      </w:r>
    </w:p>
    <w:p w14:paraId="1F6B92BA" w14:textId="77777777" w:rsidR="00D67C6E" w:rsidRDefault="00D67C6E" w:rsidP="00D67C6E">
      <w:pPr>
        <w:pStyle w:val="NormalWeb"/>
        <w:spacing w:before="240" w:after="0" w:line="360" w:lineRule="auto"/>
        <w:ind w:left="720"/>
        <w:textAlignment w:val="baseline"/>
        <w:rPr>
          <w:b/>
          <w:bCs/>
          <w:color w:val="333335"/>
        </w:rPr>
      </w:pPr>
    </w:p>
    <w:p w14:paraId="04AC7237" w14:textId="78163495" w:rsidR="00D67C6E" w:rsidRDefault="001F033B" w:rsidP="000F7A43">
      <w:pPr>
        <w:pStyle w:val="NormalWeb"/>
        <w:numPr>
          <w:ilvl w:val="0"/>
          <w:numId w:val="13"/>
        </w:numPr>
        <w:tabs>
          <w:tab w:val="left" w:pos="360"/>
          <w:tab w:val="left" w:pos="540"/>
        </w:tabs>
        <w:spacing w:before="240" w:after="0" w:line="360" w:lineRule="auto"/>
        <w:ind w:left="540" w:hanging="450"/>
        <w:jc w:val="both"/>
        <w:textAlignment w:val="baseline"/>
        <w:rPr>
          <w:color w:val="333335"/>
        </w:rPr>
      </w:pPr>
      <w:r w:rsidRPr="001F033B">
        <w:rPr>
          <w:color w:val="333335"/>
        </w:rPr>
        <w:t>The Plaintiffs seek</w:t>
      </w:r>
      <w:r>
        <w:rPr>
          <w:color w:val="333335"/>
        </w:rPr>
        <w:t xml:space="preserve"> </w:t>
      </w:r>
      <w:r w:rsidR="009038BD">
        <w:rPr>
          <w:color w:val="333335"/>
        </w:rPr>
        <w:t>a</w:t>
      </w:r>
      <w:r w:rsidR="009038BD" w:rsidRPr="009038BD">
        <w:rPr>
          <w:color w:val="333335"/>
        </w:rPr>
        <w:t>n order “that the Defendants shall, in accordance with paragraph 7.1 of the Order herein dated 12 November 2021, upload to the Data Room all documents within their possession, custody or power which are requested by</w:t>
      </w:r>
      <w:r w:rsidR="00B70EAA">
        <w:rPr>
          <w:color w:val="333335"/>
        </w:rPr>
        <w:t xml:space="preserve"> </w:t>
      </w:r>
      <w:r w:rsidR="009038BD" w:rsidRPr="009038BD">
        <w:rPr>
          <w:color w:val="333335"/>
        </w:rPr>
        <w:t>Valuation Expert in these proceedings” (paragraph 2 of the Discovery Summons).</w:t>
      </w:r>
    </w:p>
    <w:p w14:paraId="30E3537D" w14:textId="77777777" w:rsidR="00B70EAA" w:rsidRDefault="00B70EAA" w:rsidP="009038BD">
      <w:pPr>
        <w:pStyle w:val="NormalWeb"/>
        <w:spacing w:before="240" w:after="0" w:line="360" w:lineRule="auto"/>
        <w:textAlignment w:val="baseline"/>
        <w:rPr>
          <w:color w:val="333335"/>
        </w:rPr>
      </w:pPr>
    </w:p>
    <w:p w14:paraId="45408529" w14:textId="732B0098" w:rsidR="00B70EAA" w:rsidRDefault="00723572" w:rsidP="000F7A43">
      <w:pPr>
        <w:pStyle w:val="NormalWeb"/>
        <w:numPr>
          <w:ilvl w:val="0"/>
          <w:numId w:val="13"/>
        </w:numPr>
        <w:tabs>
          <w:tab w:val="left" w:pos="450"/>
        </w:tabs>
        <w:spacing w:before="240" w:after="0" w:line="360" w:lineRule="auto"/>
        <w:ind w:left="450" w:hanging="450"/>
        <w:jc w:val="both"/>
        <w:textAlignment w:val="baseline"/>
        <w:rPr>
          <w:color w:val="333335"/>
        </w:rPr>
      </w:pPr>
      <w:r>
        <w:rPr>
          <w:color w:val="333335"/>
        </w:rPr>
        <w:t>In support of this application</w:t>
      </w:r>
      <w:r w:rsidR="00BD68F0">
        <w:rPr>
          <w:color w:val="333335"/>
        </w:rPr>
        <w:t xml:space="preserve"> the Plaintiffs refer to the fact that in</w:t>
      </w:r>
      <w:r w:rsidR="0027004D">
        <w:rPr>
          <w:color w:val="333335"/>
        </w:rPr>
        <w:t xml:space="preserve"> </w:t>
      </w:r>
      <w:r w:rsidR="0027004D" w:rsidRPr="0027004D">
        <w:rPr>
          <w:color w:val="333335"/>
        </w:rPr>
        <w:t xml:space="preserve">response to the First Information Request, a number of requests by the Plaintiffs’ expert were refused by the Company on the basis that they were said to be </w:t>
      </w:r>
      <w:r w:rsidR="000622BF" w:rsidRPr="0027004D">
        <w:rPr>
          <w:color w:val="333335"/>
        </w:rPr>
        <w:t>overbroad,</w:t>
      </w:r>
      <w:r w:rsidR="0027004D" w:rsidRPr="0027004D">
        <w:rPr>
          <w:color w:val="333335"/>
        </w:rPr>
        <w:t xml:space="preserve"> but the Company’s lawyers said they would “</w:t>
      </w:r>
      <w:r w:rsidR="0027004D" w:rsidRPr="0027004D">
        <w:rPr>
          <w:i/>
          <w:iCs/>
          <w:color w:val="333335"/>
        </w:rPr>
        <w:t>endeavour to identify and thereafter disclose documents which they understood to reflect the</w:t>
      </w:r>
      <w:r w:rsidR="0027004D" w:rsidRPr="0027004D">
        <w:rPr>
          <w:b/>
          <w:bCs/>
          <w:i/>
          <w:iCs/>
          <w:color w:val="333335"/>
        </w:rPr>
        <w:t xml:space="preserve"> essence</w:t>
      </w:r>
      <w:r w:rsidR="0027004D" w:rsidRPr="0027004D">
        <w:rPr>
          <w:i/>
          <w:iCs/>
          <w:color w:val="333335"/>
        </w:rPr>
        <w:t xml:space="preserve"> of what is </w:t>
      </w:r>
      <w:r w:rsidR="000622BF">
        <w:rPr>
          <w:i/>
          <w:iCs/>
          <w:color w:val="333335"/>
        </w:rPr>
        <w:t>s</w:t>
      </w:r>
      <w:r w:rsidR="0027004D" w:rsidRPr="0027004D">
        <w:rPr>
          <w:i/>
          <w:iCs/>
          <w:color w:val="333335"/>
        </w:rPr>
        <w:t>ought</w:t>
      </w:r>
      <w:r w:rsidR="0027004D" w:rsidRPr="0027004D">
        <w:rPr>
          <w:color w:val="333335"/>
        </w:rPr>
        <w:t xml:space="preserve">.” </w:t>
      </w:r>
      <w:r w:rsidR="00134DCF">
        <w:rPr>
          <w:color w:val="333335"/>
        </w:rPr>
        <w:t>The Plaintiffs complain that d</w:t>
      </w:r>
      <w:r w:rsidR="0027004D" w:rsidRPr="0027004D">
        <w:rPr>
          <w:color w:val="333335"/>
        </w:rPr>
        <w:t xml:space="preserve">espite Mr. Bezant following-up for further documents in his Second Information Request in the face of the Company’s disclosing what they considered to be the </w:t>
      </w:r>
      <w:r w:rsidR="0027004D" w:rsidRPr="00134DCF">
        <w:rPr>
          <w:i/>
          <w:iCs/>
          <w:color w:val="333335"/>
        </w:rPr>
        <w:t>“essence</w:t>
      </w:r>
      <w:r w:rsidR="0027004D" w:rsidRPr="0027004D">
        <w:rPr>
          <w:color w:val="333335"/>
        </w:rPr>
        <w:t>” no meaningful progress has been made after two requests.</w:t>
      </w:r>
    </w:p>
    <w:p w14:paraId="45039F74" w14:textId="77777777" w:rsidR="00134DCF" w:rsidRDefault="00134DCF" w:rsidP="0027004D">
      <w:pPr>
        <w:pStyle w:val="NormalWeb"/>
        <w:spacing w:before="240" w:after="0" w:line="360" w:lineRule="auto"/>
        <w:textAlignment w:val="baseline"/>
        <w:rPr>
          <w:color w:val="333335"/>
        </w:rPr>
      </w:pPr>
    </w:p>
    <w:p w14:paraId="71F394C8" w14:textId="7F4D42B8" w:rsidR="00134DCF" w:rsidRDefault="00073D8C" w:rsidP="000F7A43">
      <w:pPr>
        <w:pStyle w:val="NormalWeb"/>
        <w:numPr>
          <w:ilvl w:val="0"/>
          <w:numId w:val="13"/>
        </w:numPr>
        <w:tabs>
          <w:tab w:val="left" w:pos="450"/>
        </w:tabs>
        <w:spacing w:before="240" w:after="0" w:line="360" w:lineRule="auto"/>
        <w:ind w:left="450" w:hanging="450"/>
        <w:jc w:val="both"/>
        <w:textAlignment w:val="baseline"/>
        <w:rPr>
          <w:color w:val="333335"/>
        </w:rPr>
      </w:pPr>
      <w:r w:rsidRPr="00073D8C">
        <w:rPr>
          <w:color w:val="333335"/>
        </w:rPr>
        <w:t>The Plaintiffs object to such an approach which</w:t>
      </w:r>
      <w:r w:rsidR="00956E36">
        <w:rPr>
          <w:color w:val="333335"/>
        </w:rPr>
        <w:t xml:space="preserve"> they say</w:t>
      </w:r>
      <w:r w:rsidRPr="00073D8C">
        <w:rPr>
          <w:color w:val="333335"/>
        </w:rPr>
        <w:t xml:space="preserve"> appears to (i) involve a form of giving discovery not known in this jurisdiction (ii) give the Company a complete discretion as to what it discloses, replacing the obligation to produce all responsive documents with their discretion.</w:t>
      </w:r>
    </w:p>
    <w:p w14:paraId="37493667" w14:textId="77777777" w:rsidR="00956E36" w:rsidRDefault="00956E36" w:rsidP="00073D8C">
      <w:pPr>
        <w:pStyle w:val="NormalWeb"/>
        <w:spacing w:before="240" w:after="0" w:line="360" w:lineRule="auto"/>
        <w:textAlignment w:val="baseline"/>
        <w:rPr>
          <w:color w:val="333335"/>
        </w:rPr>
      </w:pPr>
    </w:p>
    <w:p w14:paraId="6780F5A7" w14:textId="7BC6B784" w:rsidR="00956E36" w:rsidRDefault="00236C08" w:rsidP="000F7A43">
      <w:pPr>
        <w:pStyle w:val="NormalWeb"/>
        <w:numPr>
          <w:ilvl w:val="0"/>
          <w:numId w:val="13"/>
        </w:numPr>
        <w:tabs>
          <w:tab w:val="left" w:pos="450"/>
        </w:tabs>
        <w:spacing w:before="240" w:after="0" w:line="360" w:lineRule="auto"/>
        <w:ind w:left="450" w:hanging="450"/>
        <w:jc w:val="both"/>
        <w:textAlignment w:val="baseline"/>
        <w:rPr>
          <w:color w:val="333335"/>
        </w:rPr>
      </w:pPr>
      <w:r>
        <w:rPr>
          <w:color w:val="333335"/>
        </w:rPr>
        <w:t>The</w:t>
      </w:r>
      <w:r w:rsidR="004E1BD2">
        <w:rPr>
          <w:color w:val="333335"/>
        </w:rPr>
        <w:t xml:space="preserve"> Defendants</w:t>
      </w:r>
      <w:r w:rsidR="008922C8">
        <w:rPr>
          <w:color w:val="333335"/>
        </w:rPr>
        <w:t>’</w:t>
      </w:r>
      <w:r w:rsidR="00E907FB">
        <w:rPr>
          <w:color w:val="333335"/>
        </w:rPr>
        <w:t xml:space="preserve"> </w:t>
      </w:r>
      <w:r w:rsidR="008922C8">
        <w:rPr>
          <w:color w:val="333335"/>
        </w:rPr>
        <w:t>response is that the application is pointless. They point out that</w:t>
      </w:r>
      <w:r w:rsidR="003614AD">
        <w:rPr>
          <w:color w:val="333335"/>
        </w:rPr>
        <w:t xml:space="preserve"> all that happened</w:t>
      </w:r>
      <w:r w:rsidR="00E907FB">
        <w:rPr>
          <w:color w:val="333335"/>
        </w:rPr>
        <w:t xml:space="preserve"> is this: </w:t>
      </w:r>
      <w:r w:rsidR="00102EAD" w:rsidRPr="00102EAD">
        <w:rPr>
          <w:color w:val="333335"/>
        </w:rPr>
        <w:t>(i) Mr Bezant has made a request; and (ii) the Company has objected to the request on the basis that it was overbroad and/or incoherent but agreed at the same time to provide what it thought Mr Bezant is looking for. If the Plaintiffs’ position is that the Company should not have objected as it did, the solution is simple. Either: (i) the Plaintiffs should apply under the liberty in ¶7.1 for an order requiring the Company to comply with the request; or (ii) Mr Bezant should make a further, more refined request in relation to the documents sought.</w:t>
      </w:r>
      <w:r w:rsidR="00F13041">
        <w:rPr>
          <w:color w:val="333335"/>
        </w:rPr>
        <w:t xml:space="preserve"> The Defendants complain that the application</w:t>
      </w:r>
      <w:r w:rsidR="00026517">
        <w:rPr>
          <w:color w:val="333335"/>
        </w:rPr>
        <w:t xml:space="preserve"> is in substance seeking to amend the existing provision of ¶</w:t>
      </w:r>
      <w:r w:rsidR="00CF32F7">
        <w:rPr>
          <w:color w:val="333335"/>
        </w:rPr>
        <w:t xml:space="preserve"> 7.1</w:t>
      </w:r>
      <w:r w:rsidR="00F94A6F">
        <w:rPr>
          <w:color w:val="333335"/>
        </w:rPr>
        <w:t xml:space="preserve"> of the Directions</w:t>
      </w:r>
      <w:r w:rsidR="0046115C">
        <w:rPr>
          <w:color w:val="333335"/>
        </w:rPr>
        <w:t xml:space="preserve"> Order.</w:t>
      </w:r>
    </w:p>
    <w:p w14:paraId="33496CE6" w14:textId="77777777" w:rsidR="00CF32F7" w:rsidRDefault="00CF32F7" w:rsidP="00102EAD">
      <w:pPr>
        <w:pStyle w:val="NormalWeb"/>
        <w:spacing w:before="240" w:after="0" w:line="360" w:lineRule="auto"/>
        <w:textAlignment w:val="baseline"/>
        <w:rPr>
          <w:color w:val="333335"/>
        </w:rPr>
      </w:pPr>
    </w:p>
    <w:p w14:paraId="0C0AEC04" w14:textId="7ED616AE" w:rsidR="00CF32F7" w:rsidRDefault="00CF32F7" w:rsidP="000F7A43">
      <w:pPr>
        <w:pStyle w:val="NormalWeb"/>
        <w:numPr>
          <w:ilvl w:val="0"/>
          <w:numId w:val="13"/>
        </w:numPr>
        <w:tabs>
          <w:tab w:val="left" w:pos="450"/>
        </w:tabs>
        <w:spacing w:before="240" w:after="0" w:line="360" w:lineRule="auto"/>
        <w:textAlignment w:val="baseline"/>
        <w:rPr>
          <w:color w:val="333335"/>
        </w:rPr>
      </w:pPr>
      <w:r>
        <w:rPr>
          <w:color w:val="333335"/>
        </w:rPr>
        <w:t>The Court has considered this matter and directs as follows:</w:t>
      </w:r>
    </w:p>
    <w:p w14:paraId="5139DAEA" w14:textId="77777777" w:rsidR="00CF32F7" w:rsidRDefault="00CF32F7" w:rsidP="00102EAD">
      <w:pPr>
        <w:pStyle w:val="NormalWeb"/>
        <w:spacing w:before="240" w:after="0" w:line="360" w:lineRule="auto"/>
        <w:textAlignment w:val="baseline"/>
        <w:rPr>
          <w:color w:val="333335"/>
        </w:rPr>
      </w:pPr>
    </w:p>
    <w:p w14:paraId="0ED935ED" w14:textId="77777777" w:rsidR="00ED61B5" w:rsidRDefault="00CE0E6B" w:rsidP="00FF2CBE">
      <w:pPr>
        <w:pStyle w:val="NormalWeb"/>
        <w:numPr>
          <w:ilvl w:val="0"/>
          <w:numId w:val="11"/>
        </w:numPr>
        <w:spacing w:before="240" w:after="0" w:line="360" w:lineRule="auto"/>
        <w:textAlignment w:val="baseline"/>
        <w:rPr>
          <w:color w:val="333335"/>
        </w:rPr>
      </w:pPr>
      <w:r>
        <w:rPr>
          <w:color w:val="333335"/>
        </w:rPr>
        <w:t>Going forward</w:t>
      </w:r>
      <w:r w:rsidR="00775E8D">
        <w:rPr>
          <w:color w:val="333335"/>
        </w:rPr>
        <w:t xml:space="preserve"> the Defendants should refrain from</w:t>
      </w:r>
      <w:r w:rsidR="008423C2">
        <w:rPr>
          <w:color w:val="333335"/>
        </w:rPr>
        <w:t xml:space="preserve"> endeavouring to identify and thereafter disclosing documents which they understand to reflect the “</w:t>
      </w:r>
      <w:r w:rsidR="008423C2" w:rsidRPr="004C3022">
        <w:rPr>
          <w:i/>
          <w:iCs/>
          <w:color w:val="333335"/>
        </w:rPr>
        <w:t>essence</w:t>
      </w:r>
      <w:r w:rsidR="008423C2">
        <w:rPr>
          <w:color w:val="333335"/>
        </w:rPr>
        <w:t>” of what is</w:t>
      </w:r>
      <w:r w:rsidR="00405783">
        <w:rPr>
          <w:color w:val="333335"/>
        </w:rPr>
        <w:t xml:space="preserve"> sought by the Information Request. The Defendants</w:t>
      </w:r>
      <w:r w:rsidR="00C52B19">
        <w:rPr>
          <w:color w:val="333335"/>
        </w:rPr>
        <w:t xml:space="preserve"> should comply with the Request as initially made and/or clarified</w:t>
      </w:r>
      <w:r w:rsidR="00516F8F">
        <w:rPr>
          <w:color w:val="333335"/>
        </w:rPr>
        <w:t xml:space="preserve"> by any subsequent correspondence between the parties.</w:t>
      </w:r>
    </w:p>
    <w:p w14:paraId="701CE635" w14:textId="77777777" w:rsidR="007B7D8D" w:rsidRDefault="00766C8C" w:rsidP="00FF2CBE">
      <w:pPr>
        <w:pStyle w:val="NormalWeb"/>
        <w:numPr>
          <w:ilvl w:val="0"/>
          <w:numId w:val="11"/>
        </w:numPr>
        <w:spacing w:before="240" w:after="0" w:line="360" w:lineRule="auto"/>
        <w:textAlignment w:val="baseline"/>
        <w:rPr>
          <w:color w:val="333335"/>
        </w:rPr>
      </w:pPr>
      <w:r w:rsidRPr="00ED61B5">
        <w:rPr>
          <w:color w:val="333335"/>
        </w:rPr>
        <w:t>The Defendants</w:t>
      </w:r>
      <w:r w:rsidR="00836E13" w:rsidRPr="00ED61B5">
        <w:rPr>
          <w:color w:val="333335"/>
        </w:rPr>
        <w:t xml:space="preserve"> remain entitled to object and/or seek clarification in respect of any Information Request</w:t>
      </w:r>
      <w:r w:rsidR="008D7A55" w:rsidRPr="00ED61B5">
        <w:rPr>
          <w:color w:val="333335"/>
        </w:rPr>
        <w:t xml:space="preserve"> based on lack of clarity</w:t>
      </w:r>
      <w:r w:rsidR="00A86784" w:rsidRPr="00ED61B5">
        <w:rPr>
          <w:color w:val="333335"/>
        </w:rPr>
        <w:t>,</w:t>
      </w:r>
      <w:r w:rsidR="00F544F8" w:rsidRPr="00ED61B5">
        <w:rPr>
          <w:color w:val="333335"/>
        </w:rPr>
        <w:t xml:space="preserve"> relevance</w:t>
      </w:r>
      <w:r w:rsidR="007A425F" w:rsidRPr="00ED61B5">
        <w:rPr>
          <w:color w:val="333335"/>
        </w:rPr>
        <w:t>,</w:t>
      </w:r>
      <w:r w:rsidR="008E3FA9" w:rsidRPr="00ED61B5">
        <w:rPr>
          <w:color w:val="333335"/>
        </w:rPr>
        <w:t xml:space="preserve"> the request being disproportionate or otherwise</w:t>
      </w:r>
      <w:r w:rsidR="00F94A6F" w:rsidRPr="00ED61B5">
        <w:rPr>
          <w:color w:val="333335"/>
        </w:rPr>
        <w:t>.</w:t>
      </w:r>
    </w:p>
    <w:p w14:paraId="792DE2E1" w14:textId="6DFF2435" w:rsidR="00F94A6F" w:rsidRPr="007B7D8D" w:rsidRDefault="00F94A6F" w:rsidP="00FF2CBE">
      <w:pPr>
        <w:pStyle w:val="NormalWeb"/>
        <w:numPr>
          <w:ilvl w:val="0"/>
          <w:numId w:val="11"/>
        </w:numPr>
        <w:spacing w:before="240" w:after="0" w:line="360" w:lineRule="auto"/>
        <w:textAlignment w:val="baseline"/>
        <w:rPr>
          <w:color w:val="333335"/>
        </w:rPr>
      </w:pPr>
      <w:r w:rsidRPr="007B7D8D">
        <w:rPr>
          <w:color w:val="333335"/>
        </w:rPr>
        <w:t>Nothing said in this direction amends the scope of ¶ 7.1 of the Directions Order.</w:t>
      </w:r>
    </w:p>
    <w:p w14:paraId="630839E7" w14:textId="77777777" w:rsidR="00483A81" w:rsidRPr="00112F73" w:rsidRDefault="00483A81" w:rsidP="003F1765">
      <w:pPr>
        <w:pStyle w:val="NormalWeb"/>
        <w:spacing w:before="240" w:after="0" w:line="360" w:lineRule="auto"/>
        <w:textAlignment w:val="baseline"/>
        <w:rPr>
          <w:b/>
          <w:bCs/>
          <w:color w:val="333335"/>
        </w:rPr>
      </w:pPr>
    </w:p>
    <w:p w14:paraId="6A11E783" w14:textId="5338E21E" w:rsidR="003F1765" w:rsidRDefault="00CB45E3" w:rsidP="00C65816">
      <w:pPr>
        <w:pStyle w:val="NormalWeb"/>
        <w:numPr>
          <w:ilvl w:val="0"/>
          <w:numId w:val="4"/>
        </w:numPr>
        <w:spacing w:before="240" w:after="0" w:line="360" w:lineRule="auto"/>
        <w:textAlignment w:val="baseline"/>
        <w:rPr>
          <w:b/>
          <w:bCs/>
          <w:color w:val="333335"/>
        </w:rPr>
      </w:pPr>
      <w:r w:rsidRPr="00112F73">
        <w:rPr>
          <w:b/>
          <w:bCs/>
          <w:color w:val="333335"/>
        </w:rPr>
        <w:t>Appendix</w:t>
      </w:r>
      <w:r w:rsidR="00112F73" w:rsidRPr="00112F73">
        <w:rPr>
          <w:b/>
          <w:bCs/>
          <w:color w:val="333335"/>
        </w:rPr>
        <w:t xml:space="preserve"> 2 category 1 application</w:t>
      </w:r>
    </w:p>
    <w:p w14:paraId="7B062BEE" w14:textId="77777777" w:rsidR="00112F73" w:rsidRPr="00784466" w:rsidRDefault="00112F73" w:rsidP="00112F73">
      <w:pPr>
        <w:pStyle w:val="NormalWeb"/>
        <w:spacing w:before="240" w:after="0" w:line="360" w:lineRule="auto"/>
        <w:textAlignment w:val="baseline"/>
        <w:rPr>
          <w:color w:val="333335"/>
        </w:rPr>
      </w:pPr>
    </w:p>
    <w:p w14:paraId="270BC92B" w14:textId="14CCDC68" w:rsidR="008621B4" w:rsidRPr="00784466" w:rsidRDefault="008621B4" w:rsidP="000F7A43">
      <w:pPr>
        <w:pStyle w:val="NormalWeb"/>
        <w:numPr>
          <w:ilvl w:val="0"/>
          <w:numId w:val="13"/>
        </w:numPr>
        <w:tabs>
          <w:tab w:val="left" w:pos="450"/>
        </w:tabs>
        <w:spacing w:before="240" w:after="0" w:line="360" w:lineRule="auto"/>
        <w:ind w:left="450" w:hanging="450"/>
        <w:jc w:val="both"/>
        <w:textAlignment w:val="baseline"/>
        <w:rPr>
          <w:color w:val="333335"/>
        </w:rPr>
      </w:pPr>
      <w:r w:rsidRPr="00784466">
        <w:rPr>
          <w:color w:val="333335"/>
        </w:rPr>
        <w:t>Appendix 2 to the Directions Order identified th</w:t>
      </w:r>
      <w:r w:rsidR="006C654F">
        <w:rPr>
          <w:color w:val="333335"/>
        </w:rPr>
        <w:t>e</w:t>
      </w:r>
      <w:r w:rsidRPr="00784466">
        <w:rPr>
          <w:color w:val="333335"/>
        </w:rPr>
        <w:t xml:space="preserve"> documents</w:t>
      </w:r>
      <w:r w:rsidR="006C654F">
        <w:rPr>
          <w:color w:val="333335"/>
        </w:rPr>
        <w:t xml:space="preserve"> that </w:t>
      </w:r>
      <w:r w:rsidR="00101971">
        <w:rPr>
          <w:color w:val="333335"/>
        </w:rPr>
        <w:t xml:space="preserve">each of </w:t>
      </w:r>
      <w:r w:rsidR="006C654F">
        <w:rPr>
          <w:color w:val="333335"/>
        </w:rPr>
        <w:t>the Plaintiffs</w:t>
      </w:r>
      <w:r w:rsidR="00101971">
        <w:rPr>
          <w:color w:val="333335"/>
        </w:rPr>
        <w:t xml:space="preserve"> was required to upload to the Data Room</w:t>
      </w:r>
      <w:r w:rsidRPr="00784466">
        <w:rPr>
          <w:color w:val="333335"/>
        </w:rPr>
        <w:t xml:space="preserve"> as follows: </w:t>
      </w:r>
    </w:p>
    <w:p w14:paraId="1E8A0BD4" w14:textId="77777777" w:rsidR="008621B4" w:rsidRPr="00725614" w:rsidRDefault="008621B4" w:rsidP="007B7D8D">
      <w:pPr>
        <w:pStyle w:val="NormalWeb"/>
        <w:spacing w:before="240" w:after="0" w:line="276" w:lineRule="auto"/>
        <w:ind w:left="720"/>
        <w:textAlignment w:val="baseline"/>
        <w:rPr>
          <w:i/>
          <w:iCs/>
          <w:color w:val="333335"/>
        </w:rPr>
      </w:pPr>
      <w:r w:rsidRPr="00784466">
        <w:rPr>
          <w:color w:val="333335"/>
        </w:rPr>
        <w:t>“</w:t>
      </w:r>
      <w:r w:rsidRPr="00725614">
        <w:rPr>
          <w:b/>
          <w:bCs/>
          <w:i/>
          <w:iCs/>
          <w:color w:val="333335"/>
        </w:rPr>
        <w:t>Appendix 2</w:t>
      </w:r>
      <w:r w:rsidRPr="00725614">
        <w:rPr>
          <w:i/>
          <w:iCs/>
          <w:color w:val="333335"/>
        </w:rPr>
        <w:t xml:space="preserve"> </w:t>
      </w:r>
    </w:p>
    <w:p w14:paraId="1F37632E" w14:textId="2885FCC8" w:rsidR="008621B4" w:rsidRPr="00725614" w:rsidRDefault="008621B4" w:rsidP="007B7D8D">
      <w:pPr>
        <w:pStyle w:val="NormalWeb"/>
        <w:spacing w:before="240" w:after="0" w:line="276" w:lineRule="auto"/>
        <w:ind w:left="720"/>
        <w:textAlignment w:val="baseline"/>
        <w:rPr>
          <w:i/>
          <w:iCs/>
          <w:color w:val="333335"/>
        </w:rPr>
      </w:pPr>
      <w:r w:rsidRPr="00725614">
        <w:rPr>
          <w:i/>
          <w:iCs/>
          <w:color w:val="333335"/>
        </w:rPr>
        <w:t xml:space="preserve">Documents which exist and are within the Plaintiffs’ possession, custody or power between 12 April 2018 and 12 April 2021, which are relevant to the question of the fair value of the Plaintiffs’ shares in the Company as at the Valuation Date and which fall within the following categories: </w:t>
      </w:r>
    </w:p>
    <w:p w14:paraId="51EDF9C3" w14:textId="5229C3FD" w:rsidR="008621B4" w:rsidRPr="00725614" w:rsidRDefault="008621B4" w:rsidP="007B7D8D">
      <w:pPr>
        <w:pStyle w:val="NormalWeb"/>
        <w:spacing w:before="240" w:after="0" w:line="276" w:lineRule="auto"/>
        <w:ind w:left="720"/>
        <w:textAlignment w:val="baseline"/>
        <w:rPr>
          <w:i/>
          <w:iCs/>
          <w:color w:val="333335"/>
        </w:rPr>
      </w:pPr>
      <w:r w:rsidRPr="00725614">
        <w:rPr>
          <w:i/>
          <w:iCs/>
          <w:color w:val="333335"/>
        </w:rPr>
        <w:t xml:space="preserve">1. A full history of the Dissenters’ dealings in shares in the Company, specifying the price(s) and date(s) of all trades. </w:t>
      </w:r>
    </w:p>
    <w:p w14:paraId="6022E663" w14:textId="39A7E1DB" w:rsidR="008621B4" w:rsidRPr="00725614" w:rsidRDefault="008621B4" w:rsidP="007B7D8D">
      <w:pPr>
        <w:pStyle w:val="NormalWeb"/>
        <w:spacing w:before="240" w:after="0" w:line="276" w:lineRule="auto"/>
        <w:ind w:left="720"/>
        <w:textAlignment w:val="baseline"/>
        <w:rPr>
          <w:i/>
          <w:iCs/>
          <w:color w:val="333335"/>
        </w:rPr>
      </w:pPr>
      <w:r w:rsidRPr="00725614">
        <w:rPr>
          <w:i/>
          <w:iCs/>
          <w:color w:val="333335"/>
        </w:rPr>
        <w:t>2. Any valuations or similar analyses of the Company or the Company’s shares prepared,</w:t>
      </w:r>
      <w:r w:rsidR="00A11081" w:rsidRPr="00725614">
        <w:rPr>
          <w:i/>
          <w:iCs/>
          <w:color w:val="333335"/>
        </w:rPr>
        <w:t xml:space="preserve"> </w:t>
      </w:r>
      <w:r w:rsidRPr="00725614">
        <w:rPr>
          <w:i/>
          <w:iCs/>
          <w:color w:val="333335"/>
        </w:rPr>
        <w:t xml:space="preserve">reviewed or considered by the Dissenters in contemplation of an amalgamation. </w:t>
      </w:r>
    </w:p>
    <w:p w14:paraId="3073D80B" w14:textId="029C98EA" w:rsidR="0021789E" w:rsidRDefault="008621B4" w:rsidP="007B7D8D">
      <w:pPr>
        <w:pStyle w:val="NormalWeb"/>
        <w:spacing w:before="240" w:after="0" w:line="276" w:lineRule="auto"/>
        <w:ind w:left="720"/>
        <w:textAlignment w:val="baseline"/>
        <w:rPr>
          <w:color w:val="333335"/>
        </w:rPr>
      </w:pPr>
      <w:r w:rsidRPr="00725614">
        <w:rPr>
          <w:i/>
          <w:iCs/>
          <w:color w:val="333335"/>
        </w:rPr>
        <w:t>3. All documents information and material provided to or reviewed or considered by the Dissenters’ Investment Committee(s) or equivalent body for their consideration of an</w:t>
      </w:r>
      <w:r w:rsidR="00725614" w:rsidRPr="00725614">
        <w:rPr>
          <w:i/>
          <w:iCs/>
          <w:color w:val="333335"/>
        </w:rPr>
        <w:t xml:space="preserve"> </w:t>
      </w:r>
      <w:r w:rsidRPr="00725614">
        <w:rPr>
          <w:i/>
          <w:iCs/>
          <w:color w:val="333335"/>
        </w:rPr>
        <w:t>amalgamation</w:t>
      </w:r>
      <w:r w:rsidRPr="00784466">
        <w:rPr>
          <w:color w:val="333335"/>
        </w:rPr>
        <w:t>.”</w:t>
      </w:r>
    </w:p>
    <w:p w14:paraId="5F806AC0" w14:textId="586B92B9" w:rsidR="00101971" w:rsidRDefault="004E380A" w:rsidP="000F7A43">
      <w:pPr>
        <w:pStyle w:val="NormalWeb"/>
        <w:numPr>
          <w:ilvl w:val="0"/>
          <w:numId w:val="13"/>
        </w:numPr>
        <w:tabs>
          <w:tab w:val="left" w:pos="450"/>
        </w:tabs>
        <w:spacing w:before="240" w:after="0" w:line="360" w:lineRule="auto"/>
        <w:ind w:left="450" w:hanging="450"/>
        <w:jc w:val="both"/>
        <w:textAlignment w:val="baseline"/>
        <w:rPr>
          <w:color w:val="333335"/>
        </w:rPr>
      </w:pPr>
      <w:r>
        <w:rPr>
          <w:color w:val="333335"/>
        </w:rPr>
        <w:t xml:space="preserve">The </w:t>
      </w:r>
      <w:r w:rsidR="00E76C0C">
        <w:rPr>
          <w:color w:val="333335"/>
        </w:rPr>
        <w:t>Defendants</w:t>
      </w:r>
      <w:r w:rsidR="006B4B91">
        <w:rPr>
          <w:color w:val="333335"/>
        </w:rPr>
        <w:t xml:space="preserve"> contend that </w:t>
      </w:r>
      <w:r w:rsidR="002B69FF">
        <w:rPr>
          <w:color w:val="333335"/>
        </w:rPr>
        <w:t>p</w:t>
      </w:r>
      <w:r w:rsidR="002B69FF" w:rsidRPr="002B69FF">
        <w:rPr>
          <w:color w:val="333335"/>
        </w:rPr>
        <w:t xml:space="preserve">ursuant to paragraph 1 of Appendix 2 to the Directions Order, the Plaintiffs were required to give discovery of documents existing and within the Plaintiffs’ </w:t>
      </w:r>
      <w:r w:rsidR="006E1360">
        <w:rPr>
          <w:color w:val="333335"/>
        </w:rPr>
        <w:t>PCP</w:t>
      </w:r>
      <w:r w:rsidR="002B69FF" w:rsidRPr="002B69FF">
        <w:rPr>
          <w:color w:val="333335"/>
        </w:rPr>
        <w:t xml:space="preserve"> between 12 April 2018 and 12 April 2021, which are relevant to the question of fair value of the Plaintiffs’ shares in the Company as at the Valuation Date and which fell within the category there set out, namely “</w:t>
      </w:r>
      <w:r w:rsidR="002B69FF" w:rsidRPr="00147420">
        <w:rPr>
          <w:i/>
          <w:iCs/>
          <w:color w:val="333335"/>
        </w:rPr>
        <w:t>A full history of the Dissenters’ dealings in shares in the Company, specifying the price(s) and date(s) of all trades</w:t>
      </w:r>
      <w:r w:rsidR="002B69FF" w:rsidRPr="002B69FF">
        <w:rPr>
          <w:color w:val="333335"/>
        </w:rPr>
        <w:t>”.</w:t>
      </w:r>
      <w:r w:rsidR="00147420">
        <w:rPr>
          <w:color w:val="333335"/>
        </w:rPr>
        <w:t xml:space="preserve"> The Defendants say that the Plaintiffs are required to provide not only a schedule of trades</w:t>
      </w:r>
      <w:r w:rsidR="00F208C4">
        <w:rPr>
          <w:color w:val="333335"/>
        </w:rPr>
        <w:t xml:space="preserve"> but also of the underlying documents which might evidence that schedule.</w:t>
      </w:r>
    </w:p>
    <w:p w14:paraId="07BC0ECE" w14:textId="77777777" w:rsidR="00F208C4" w:rsidRDefault="00F208C4" w:rsidP="002B69FF">
      <w:pPr>
        <w:pStyle w:val="NormalWeb"/>
        <w:spacing w:before="240" w:after="0" w:line="360" w:lineRule="auto"/>
        <w:textAlignment w:val="baseline"/>
        <w:rPr>
          <w:color w:val="333335"/>
        </w:rPr>
      </w:pPr>
    </w:p>
    <w:p w14:paraId="4E8FBFF9" w14:textId="476FEC29" w:rsidR="00F208C4" w:rsidRDefault="00F208C4" w:rsidP="000F7A43">
      <w:pPr>
        <w:pStyle w:val="NormalWeb"/>
        <w:numPr>
          <w:ilvl w:val="0"/>
          <w:numId w:val="13"/>
        </w:numPr>
        <w:tabs>
          <w:tab w:val="left" w:pos="450"/>
        </w:tabs>
        <w:spacing w:before="240" w:after="0" w:line="360" w:lineRule="auto"/>
        <w:ind w:left="450" w:hanging="450"/>
        <w:jc w:val="both"/>
        <w:textAlignment w:val="baseline"/>
        <w:rPr>
          <w:color w:val="333335"/>
        </w:rPr>
      </w:pPr>
      <w:r>
        <w:rPr>
          <w:color w:val="333335"/>
        </w:rPr>
        <w:t>The Court was taken through</w:t>
      </w:r>
      <w:r w:rsidR="00B46569">
        <w:rPr>
          <w:color w:val="333335"/>
        </w:rPr>
        <w:t xml:space="preserve"> the drafting</w:t>
      </w:r>
      <w:r w:rsidR="00382E4D">
        <w:rPr>
          <w:color w:val="333335"/>
        </w:rPr>
        <w:t xml:space="preserve"> of Appendix 2</w:t>
      </w:r>
      <w:r>
        <w:rPr>
          <w:color w:val="333335"/>
        </w:rPr>
        <w:t xml:space="preserve"> by Mr Adkins KC</w:t>
      </w:r>
      <w:r w:rsidR="00382E4D">
        <w:rPr>
          <w:color w:val="333335"/>
        </w:rPr>
        <w:t xml:space="preserve"> and the Court is satisfied</w:t>
      </w:r>
      <w:r w:rsidR="00AB0B91">
        <w:rPr>
          <w:color w:val="333335"/>
        </w:rPr>
        <w:t xml:space="preserve"> that the original proposal </w:t>
      </w:r>
      <w:r w:rsidR="00415C76">
        <w:rPr>
          <w:color w:val="333335"/>
        </w:rPr>
        <w:t xml:space="preserve">made in a letter dated </w:t>
      </w:r>
      <w:r w:rsidR="004C7A9C">
        <w:rPr>
          <w:color w:val="333335"/>
        </w:rPr>
        <w:t xml:space="preserve">13 August 2021 from Appleby, on behalf of the </w:t>
      </w:r>
      <w:r w:rsidR="00E83CBE">
        <w:rPr>
          <w:color w:val="333335"/>
        </w:rPr>
        <w:t>Defendants,</w:t>
      </w:r>
      <w:r w:rsidR="004C7A9C">
        <w:rPr>
          <w:color w:val="333335"/>
        </w:rPr>
        <w:t xml:space="preserve"> </w:t>
      </w:r>
      <w:r w:rsidR="00AB0B91">
        <w:rPr>
          <w:color w:val="333335"/>
        </w:rPr>
        <w:t xml:space="preserve">was simply that each </w:t>
      </w:r>
      <w:r w:rsidR="004C7A9C">
        <w:rPr>
          <w:color w:val="333335"/>
        </w:rPr>
        <w:t>Plaintiff</w:t>
      </w:r>
      <w:r w:rsidR="00AB0B91">
        <w:rPr>
          <w:color w:val="333335"/>
        </w:rPr>
        <w:t xml:space="preserve">  be required to provide</w:t>
      </w:r>
      <w:r w:rsidR="00657E9A">
        <w:rPr>
          <w:color w:val="333335"/>
        </w:rPr>
        <w:t xml:space="preserve"> a schedule of trades and not the underlying documents.</w:t>
      </w:r>
      <w:r w:rsidR="00C5739E">
        <w:rPr>
          <w:color w:val="333335"/>
        </w:rPr>
        <w:t xml:space="preserve"> The Court accepts that it was the insertion of the preamble by the Plaintiffs</w:t>
      </w:r>
      <w:r w:rsidR="00DE67F8">
        <w:rPr>
          <w:color w:val="333335"/>
        </w:rPr>
        <w:t xml:space="preserve"> which created the disjunct with paragraph 1 which the Defendants now say has the opposite effect.</w:t>
      </w:r>
      <w:r w:rsidR="00B43B13">
        <w:rPr>
          <w:color w:val="333335"/>
        </w:rPr>
        <w:t xml:space="preserve"> </w:t>
      </w:r>
      <w:r w:rsidR="00320839">
        <w:rPr>
          <w:color w:val="333335"/>
        </w:rPr>
        <w:t xml:space="preserve">In the circumstances, the Court is satisfied that the intent of category </w:t>
      </w:r>
      <w:r w:rsidR="00D61A44">
        <w:rPr>
          <w:color w:val="333335"/>
        </w:rPr>
        <w:t>1 is simply to provide a schedule of the trades and not which might evidence that schedule. Accordingly, the Court dismisses the Defendant’s application</w:t>
      </w:r>
      <w:r w:rsidR="00EE22FA">
        <w:rPr>
          <w:color w:val="333335"/>
        </w:rPr>
        <w:t xml:space="preserve"> in respect of Appendix 2, paragraph 1 of the Directions Order.</w:t>
      </w:r>
    </w:p>
    <w:p w14:paraId="20768BB6" w14:textId="77777777" w:rsidR="00EE22FA" w:rsidRPr="005E5228" w:rsidRDefault="00EE22FA" w:rsidP="002B69FF">
      <w:pPr>
        <w:pStyle w:val="NormalWeb"/>
        <w:spacing w:before="240" w:after="0" w:line="360" w:lineRule="auto"/>
        <w:textAlignment w:val="baseline"/>
        <w:rPr>
          <w:b/>
          <w:bCs/>
          <w:color w:val="333335"/>
        </w:rPr>
      </w:pPr>
    </w:p>
    <w:p w14:paraId="20791810" w14:textId="5E2DC859" w:rsidR="00EE22FA" w:rsidRDefault="003D5E3F" w:rsidP="00EE22FA">
      <w:pPr>
        <w:pStyle w:val="NormalWeb"/>
        <w:numPr>
          <w:ilvl w:val="0"/>
          <w:numId w:val="4"/>
        </w:numPr>
        <w:spacing w:before="240" w:after="0" w:line="360" w:lineRule="auto"/>
        <w:textAlignment w:val="baseline"/>
        <w:rPr>
          <w:b/>
          <w:bCs/>
          <w:color w:val="333335"/>
        </w:rPr>
      </w:pPr>
      <w:r w:rsidRPr="005E5228">
        <w:rPr>
          <w:b/>
          <w:bCs/>
          <w:color w:val="333335"/>
        </w:rPr>
        <w:t>Appendix 2</w:t>
      </w:r>
      <w:r w:rsidR="00FA77E2" w:rsidRPr="005E5228">
        <w:rPr>
          <w:b/>
          <w:bCs/>
          <w:color w:val="333335"/>
        </w:rPr>
        <w:t xml:space="preserve"> category</w:t>
      </w:r>
      <w:r w:rsidRPr="005E5228">
        <w:rPr>
          <w:b/>
          <w:bCs/>
          <w:color w:val="333335"/>
        </w:rPr>
        <w:t xml:space="preserve"> 2-3 Application (</w:t>
      </w:r>
      <w:r w:rsidR="005E5228" w:rsidRPr="005E5228">
        <w:rPr>
          <w:b/>
          <w:bCs/>
          <w:color w:val="333335"/>
        </w:rPr>
        <w:t>Redactions)</w:t>
      </w:r>
    </w:p>
    <w:p w14:paraId="0B7B4F3D" w14:textId="77777777" w:rsidR="000F7A43" w:rsidRDefault="000F7A43" w:rsidP="00E52B57">
      <w:pPr>
        <w:pStyle w:val="NormalWeb"/>
        <w:spacing w:before="240" w:after="0" w:line="360" w:lineRule="auto"/>
        <w:textAlignment w:val="baseline"/>
        <w:rPr>
          <w:color w:val="333335"/>
        </w:rPr>
      </w:pPr>
    </w:p>
    <w:p w14:paraId="50226132" w14:textId="74D608AA" w:rsidR="005E5228" w:rsidRDefault="00A52F6F" w:rsidP="000F7A43">
      <w:pPr>
        <w:pStyle w:val="NormalWeb"/>
        <w:numPr>
          <w:ilvl w:val="0"/>
          <w:numId w:val="23"/>
        </w:numPr>
        <w:tabs>
          <w:tab w:val="left" w:pos="450"/>
        </w:tabs>
        <w:spacing w:before="240" w:after="0" w:line="360" w:lineRule="auto"/>
        <w:ind w:left="450" w:hanging="450"/>
        <w:jc w:val="both"/>
        <w:textAlignment w:val="baseline"/>
        <w:rPr>
          <w:color w:val="333335"/>
        </w:rPr>
      </w:pPr>
      <w:r>
        <w:rPr>
          <w:color w:val="333335"/>
        </w:rPr>
        <w:t>A</w:t>
      </w:r>
      <w:r w:rsidR="00D43538">
        <w:rPr>
          <w:color w:val="333335"/>
        </w:rPr>
        <w:t>s noted above, p</w:t>
      </w:r>
      <w:r w:rsidR="00E52B57" w:rsidRPr="00E52B57">
        <w:rPr>
          <w:color w:val="333335"/>
        </w:rPr>
        <w:t>ursuant to paragraph 2-3 of Appendix 2 to the Directions Order, the Plaintiffs were required to give discovery of documents existing and within the Plaintiffs’ PCP between 12 April 2018 and 12 April 2021, which are relevant to the question of fair value of the Plaintiffs’ shares in the Company as at the Valuation Date and which fell within the categories there set out</w:t>
      </w:r>
      <w:r w:rsidR="00767C4C">
        <w:rPr>
          <w:color w:val="333335"/>
        </w:rPr>
        <w:t>.</w:t>
      </w:r>
    </w:p>
    <w:p w14:paraId="5D0B8806" w14:textId="77777777" w:rsidR="00767C4C" w:rsidRDefault="00767C4C" w:rsidP="00E52B57">
      <w:pPr>
        <w:pStyle w:val="NormalWeb"/>
        <w:spacing w:before="240" w:after="0" w:line="360" w:lineRule="auto"/>
        <w:textAlignment w:val="baseline"/>
        <w:rPr>
          <w:color w:val="333335"/>
        </w:rPr>
      </w:pPr>
    </w:p>
    <w:p w14:paraId="0514D63E" w14:textId="52C73B05" w:rsidR="005B3EC9" w:rsidRPr="005B3EC9" w:rsidRDefault="005B3EC9" w:rsidP="000F7A43">
      <w:pPr>
        <w:pStyle w:val="NormalWeb"/>
        <w:numPr>
          <w:ilvl w:val="0"/>
          <w:numId w:val="23"/>
        </w:numPr>
        <w:tabs>
          <w:tab w:val="left" w:pos="450"/>
        </w:tabs>
        <w:spacing w:before="240" w:after="0" w:line="360" w:lineRule="auto"/>
        <w:ind w:left="450" w:hanging="450"/>
        <w:jc w:val="both"/>
        <w:textAlignment w:val="baseline"/>
        <w:rPr>
          <w:color w:val="333335"/>
        </w:rPr>
      </w:pPr>
      <w:r w:rsidRPr="005B3EC9">
        <w:rPr>
          <w:color w:val="333335"/>
        </w:rPr>
        <w:t>The</w:t>
      </w:r>
      <w:r w:rsidR="007476A3">
        <w:rPr>
          <w:color w:val="333335"/>
        </w:rPr>
        <w:t xml:space="preserve"> Defendants say</w:t>
      </w:r>
      <w:r w:rsidR="00BB3A36">
        <w:rPr>
          <w:color w:val="333335"/>
        </w:rPr>
        <w:t xml:space="preserve"> that</w:t>
      </w:r>
      <w:r w:rsidRPr="005B3EC9">
        <w:rPr>
          <w:color w:val="333335"/>
        </w:rPr>
        <w:t xml:space="preserve"> </w:t>
      </w:r>
      <w:r w:rsidR="00BB3A36">
        <w:rPr>
          <w:color w:val="333335"/>
        </w:rPr>
        <w:t>c</w:t>
      </w:r>
      <w:r w:rsidRPr="005B3EC9">
        <w:rPr>
          <w:color w:val="333335"/>
        </w:rPr>
        <w:t xml:space="preserve">ategory 2-3 Respondents have redacted material within their disclosed documents which appears, based on the context and the Plaintiffs’ approach to redactions as a whole (i) to engage the terms of categories 2-3 in precisely the same way as the unredacted material; and (ii) (in some cases) to obscure the meaning of the unredacted text. The Category 2-3 Respondents are: </w:t>
      </w:r>
    </w:p>
    <w:p w14:paraId="3EE88F4F" w14:textId="7A7485B0" w:rsidR="005B3EC9" w:rsidRPr="005B3EC9" w:rsidRDefault="005B3EC9" w:rsidP="00341897">
      <w:pPr>
        <w:pStyle w:val="NormalWeb"/>
        <w:spacing w:before="240" w:after="0" w:line="360" w:lineRule="auto"/>
        <w:ind w:left="720"/>
        <w:textAlignment w:val="baseline"/>
        <w:rPr>
          <w:color w:val="333335"/>
        </w:rPr>
      </w:pPr>
      <w:r w:rsidRPr="005B3EC9">
        <w:rPr>
          <w:color w:val="333335"/>
        </w:rPr>
        <w:t xml:space="preserve">(a) The First and Second Plaintiffs in Case No. 116, namely Wakefield Securities LP and Wakefield Securities LLC (the Elliott Funds); </w:t>
      </w:r>
    </w:p>
    <w:p w14:paraId="016E816F" w14:textId="15CA0832" w:rsidR="005B3EC9" w:rsidRPr="005B3EC9" w:rsidRDefault="005B3EC9" w:rsidP="00341897">
      <w:pPr>
        <w:pStyle w:val="NormalWeb"/>
        <w:spacing w:before="240" w:after="0" w:line="360" w:lineRule="auto"/>
        <w:ind w:left="720"/>
        <w:textAlignment w:val="baseline"/>
        <w:rPr>
          <w:color w:val="333335"/>
        </w:rPr>
      </w:pPr>
      <w:r w:rsidRPr="005B3EC9">
        <w:rPr>
          <w:color w:val="333335"/>
        </w:rPr>
        <w:t xml:space="preserve">(b) The Fifth and Sixth Plaintiffs in Case No. 125, namely Qube Master Fund Ltd and Qube Master Fund SPC – Torus Fund SP (the Qube Funds); and </w:t>
      </w:r>
    </w:p>
    <w:p w14:paraId="04457AE8" w14:textId="69EB8D7D" w:rsidR="00767C4C" w:rsidRDefault="005B3EC9" w:rsidP="00341897">
      <w:pPr>
        <w:pStyle w:val="NormalWeb"/>
        <w:spacing w:before="240" w:after="0" w:line="360" w:lineRule="auto"/>
        <w:ind w:left="720"/>
        <w:textAlignment w:val="baseline"/>
        <w:rPr>
          <w:color w:val="333335"/>
        </w:rPr>
      </w:pPr>
      <w:r w:rsidRPr="005B3EC9">
        <w:rPr>
          <w:color w:val="333335"/>
        </w:rPr>
        <w:t>(c) The 24th and 25th Plaintiffs in Case No. 125, namely Man Funds XII SPC-MAN 1783 II SP and Man GLG Credit Multi Strategy Master (the Man Funds).</w:t>
      </w:r>
    </w:p>
    <w:p w14:paraId="5638D124" w14:textId="77777777" w:rsidR="00341897" w:rsidRDefault="00341897" w:rsidP="00341897">
      <w:pPr>
        <w:pStyle w:val="NormalWeb"/>
        <w:spacing w:before="240" w:after="0" w:line="360" w:lineRule="auto"/>
        <w:ind w:left="720"/>
        <w:textAlignment w:val="baseline"/>
        <w:rPr>
          <w:color w:val="333335"/>
        </w:rPr>
      </w:pPr>
    </w:p>
    <w:p w14:paraId="3A1E85D8" w14:textId="018288CD" w:rsidR="00341897" w:rsidRDefault="00720B71" w:rsidP="000F7A43">
      <w:pPr>
        <w:pStyle w:val="NormalWeb"/>
        <w:numPr>
          <w:ilvl w:val="0"/>
          <w:numId w:val="23"/>
        </w:numPr>
        <w:tabs>
          <w:tab w:val="left" w:pos="450"/>
        </w:tabs>
        <w:spacing w:before="240" w:after="0" w:line="360" w:lineRule="auto"/>
        <w:ind w:left="450" w:hanging="450"/>
        <w:jc w:val="both"/>
        <w:textAlignment w:val="baseline"/>
        <w:rPr>
          <w:color w:val="333335"/>
        </w:rPr>
      </w:pPr>
      <w:r>
        <w:rPr>
          <w:color w:val="333335"/>
        </w:rPr>
        <w:t>The Defendants</w:t>
      </w:r>
      <w:r w:rsidR="003E6879">
        <w:rPr>
          <w:color w:val="333335"/>
        </w:rPr>
        <w:t xml:space="preserve"> contend that </w:t>
      </w:r>
      <w:r w:rsidR="001B586C">
        <w:rPr>
          <w:color w:val="333335"/>
        </w:rPr>
        <w:t>t</w:t>
      </w:r>
      <w:r w:rsidR="001B586C" w:rsidRPr="001B586C">
        <w:rPr>
          <w:color w:val="333335"/>
        </w:rPr>
        <w:t xml:space="preserve">he Court should order the Plaintiffs to give discovery of the documents identified below (the </w:t>
      </w:r>
      <w:r w:rsidR="001B586C" w:rsidRPr="006F7DD4">
        <w:rPr>
          <w:b/>
          <w:bCs/>
          <w:color w:val="333335"/>
        </w:rPr>
        <w:t>Redacted Documents</w:t>
      </w:r>
      <w:r w:rsidR="001B586C" w:rsidRPr="001B586C">
        <w:rPr>
          <w:color w:val="333335"/>
        </w:rPr>
        <w:t>) in unredacted form on the basis that it is clear from (i) what is known of the redaction process generally and (ii) the redacted documents themselves that the redactions were not appropriately made. Alternatively, if there is doubt as to the appropriateness of the redactions, the Court is invited to review for itself the small number of redactions in issue, and thereafter to determine whether the redacted material should be produced.</w:t>
      </w:r>
      <w:r w:rsidR="006811C5">
        <w:rPr>
          <w:color w:val="333335"/>
        </w:rPr>
        <w:t xml:space="preserve"> </w:t>
      </w:r>
      <w:r w:rsidR="004E2CBE">
        <w:rPr>
          <w:color w:val="333335"/>
        </w:rPr>
        <w:t>The Defendants take issue with five</w:t>
      </w:r>
      <w:r w:rsidR="00B83F28">
        <w:rPr>
          <w:color w:val="333335"/>
        </w:rPr>
        <w:t xml:space="preserve"> Redacted Documents, together with the additional redacted documents in each chain of emails, as set out in the Amended Summonses</w:t>
      </w:r>
      <w:r w:rsidR="005641CE">
        <w:rPr>
          <w:color w:val="333335"/>
        </w:rPr>
        <w:t xml:space="preserve"> and referred to in paragraphs 48-60</w:t>
      </w:r>
      <w:r w:rsidR="00D10123">
        <w:rPr>
          <w:color w:val="333335"/>
        </w:rPr>
        <w:t xml:space="preserve"> of the Skeleton Argument of Jardine Strategic</w:t>
      </w:r>
      <w:r w:rsidR="00A151A9">
        <w:rPr>
          <w:color w:val="333335"/>
        </w:rPr>
        <w:t xml:space="preserve"> dated 24 November 2022.</w:t>
      </w:r>
    </w:p>
    <w:p w14:paraId="63853762" w14:textId="77777777" w:rsidR="00663F1B" w:rsidRDefault="00663F1B" w:rsidP="001B586C">
      <w:pPr>
        <w:pStyle w:val="NormalWeb"/>
        <w:spacing w:before="240" w:after="0" w:line="360" w:lineRule="auto"/>
        <w:textAlignment w:val="baseline"/>
        <w:rPr>
          <w:color w:val="333335"/>
        </w:rPr>
      </w:pPr>
    </w:p>
    <w:p w14:paraId="6B085BB7" w14:textId="0B0408CE" w:rsidR="00E02799" w:rsidRPr="00E02799" w:rsidRDefault="00A35A9C" w:rsidP="000F7A43">
      <w:pPr>
        <w:pStyle w:val="NormalWeb"/>
        <w:numPr>
          <w:ilvl w:val="0"/>
          <w:numId w:val="23"/>
        </w:numPr>
        <w:tabs>
          <w:tab w:val="left" w:pos="450"/>
        </w:tabs>
        <w:spacing w:before="240" w:after="0" w:line="360" w:lineRule="auto"/>
        <w:ind w:left="450" w:hanging="450"/>
        <w:textAlignment w:val="baseline"/>
        <w:rPr>
          <w:color w:val="333335"/>
        </w:rPr>
      </w:pPr>
      <w:r>
        <w:rPr>
          <w:color w:val="333335"/>
        </w:rPr>
        <w:t>The Court was referred to</w:t>
      </w:r>
      <w:r w:rsidR="00E02799">
        <w:rPr>
          <w:color w:val="333335"/>
        </w:rPr>
        <w:t xml:space="preserve"> </w:t>
      </w:r>
      <w:r w:rsidR="00E02799" w:rsidRPr="006B7B86">
        <w:rPr>
          <w:i/>
          <w:iCs/>
          <w:color w:val="333335"/>
        </w:rPr>
        <w:t>Atos Consulting v Avis plc</w:t>
      </w:r>
      <w:r w:rsidR="00E02799" w:rsidRPr="00E02799">
        <w:rPr>
          <w:color w:val="333335"/>
        </w:rPr>
        <w:t xml:space="preserve"> [2007] EWHC 323</w:t>
      </w:r>
      <w:r w:rsidR="00E02799">
        <w:rPr>
          <w:color w:val="333335"/>
        </w:rPr>
        <w:t xml:space="preserve"> as</w:t>
      </w:r>
      <w:r w:rsidR="000917D3">
        <w:rPr>
          <w:color w:val="333335"/>
        </w:rPr>
        <w:t xml:space="preserve"> indicating the appropriate approach for the court to take</w:t>
      </w:r>
      <w:r w:rsidR="006B7B86">
        <w:rPr>
          <w:color w:val="333335"/>
        </w:rPr>
        <w:t xml:space="preserve"> where redactions are in issue:</w:t>
      </w:r>
    </w:p>
    <w:p w14:paraId="3AB36DAC" w14:textId="77777777" w:rsidR="00E02799" w:rsidRPr="00E02799" w:rsidRDefault="00E02799" w:rsidP="00E02799">
      <w:pPr>
        <w:pStyle w:val="NormalWeb"/>
        <w:spacing w:before="240" w:after="0" w:line="360" w:lineRule="auto"/>
        <w:textAlignment w:val="baseline"/>
        <w:rPr>
          <w:color w:val="333335"/>
        </w:rPr>
      </w:pPr>
    </w:p>
    <w:p w14:paraId="14C7428E" w14:textId="77777777" w:rsidR="006B7B86" w:rsidRPr="006B7B86" w:rsidRDefault="00E02799" w:rsidP="00A44446">
      <w:pPr>
        <w:pStyle w:val="NormalWeb"/>
        <w:spacing w:before="240" w:after="0" w:line="276" w:lineRule="auto"/>
        <w:ind w:left="720"/>
        <w:textAlignment w:val="baseline"/>
        <w:rPr>
          <w:i/>
          <w:iCs/>
          <w:color w:val="333335"/>
        </w:rPr>
      </w:pPr>
      <w:r w:rsidRPr="006B7B86">
        <w:rPr>
          <w:i/>
          <w:iCs/>
          <w:color w:val="333335"/>
        </w:rPr>
        <w:t xml:space="preserve">“(1) The Court has to consider the evidence produced on the application. </w:t>
      </w:r>
    </w:p>
    <w:p w14:paraId="21991A84" w14:textId="3A612B41" w:rsidR="00E02799" w:rsidRPr="006B7B86" w:rsidRDefault="00E02799" w:rsidP="00A44446">
      <w:pPr>
        <w:pStyle w:val="NormalWeb"/>
        <w:spacing w:before="240" w:after="0" w:line="276" w:lineRule="auto"/>
        <w:ind w:left="720"/>
        <w:textAlignment w:val="baseline"/>
        <w:rPr>
          <w:i/>
          <w:iCs/>
          <w:color w:val="333335"/>
        </w:rPr>
      </w:pPr>
      <w:r w:rsidRPr="006B7B86">
        <w:rPr>
          <w:i/>
          <w:iCs/>
          <w:color w:val="333335"/>
        </w:rPr>
        <w:t xml:space="preserve">(2) If the Court is satisfied that the right to withhold inspection of a document is established by the evidence and there are no sufficient grounds for challenging the correctness of that asserted right, the Court will uphold the right. </w:t>
      </w:r>
    </w:p>
    <w:p w14:paraId="42684439" w14:textId="0E8EC33C" w:rsidR="00E02799" w:rsidRPr="006B7B86" w:rsidRDefault="00E02799" w:rsidP="00A44446">
      <w:pPr>
        <w:pStyle w:val="NormalWeb"/>
        <w:spacing w:before="240" w:after="0" w:line="276" w:lineRule="auto"/>
        <w:ind w:left="720"/>
        <w:textAlignment w:val="baseline"/>
        <w:rPr>
          <w:i/>
          <w:iCs/>
          <w:color w:val="333335"/>
        </w:rPr>
      </w:pPr>
      <w:r w:rsidRPr="006B7B86">
        <w:rPr>
          <w:i/>
          <w:iCs/>
          <w:color w:val="333335"/>
        </w:rPr>
        <w:t xml:space="preserve">(3) If the Court is not satisfied that the right to withhold inspection is established because, for instance, the evidence does not establish a legal right to withhold inspection, then the Court will order inspection of the documents. </w:t>
      </w:r>
    </w:p>
    <w:p w14:paraId="1FD92339" w14:textId="29210037" w:rsidR="00E02799" w:rsidRPr="006B7B86" w:rsidRDefault="00E02799" w:rsidP="00A44446">
      <w:pPr>
        <w:pStyle w:val="NormalWeb"/>
        <w:spacing w:before="240" w:after="0" w:line="276" w:lineRule="auto"/>
        <w:ind w:left="720"/>
        <w:textAlignment w:val="baseline"/>
        <w:rPr>
          <w:i/>
          <w:iCs/>
          <w:color w:val="333335"/>
        </w:rPr>
      </w:pPr>
      <w:r w:rsidRPr="006B7B86">
        <w:rPr>
          <w:i/>
          <w:iCs/>
          <w:color w:val="333335"/>
        </w:rPr>
        <w:t xml:space="preserve">(4) If sufficient grounds are shown for challenging the correctness of the asserted right then the Court may order further evidence to be produced on oath or, if there is no other appropriate method of properly deciding whether the right to withhold inspection should be upheld, it may decide to inspect the documents. </w:t>
      </w:r>
    </w:p>
    <w:p w14:paraId="14C0E586" w14:textId="236589DB" w:rsidR="00663F1B" w:rsidRDefault="00E02799" w:rsidP="00A44446">
      <w:pPr>
        <w:pStyle w:val="NormalWeb"/>
        <w:spacing w:before="240" w:after="0" w:line="276" w:lineRule="auto"/>
        <w:ind w:left="720"/>
        <w:textAlignment w:val="baseline"/>
        <w:rPr>
          <w:i/>
          <w:iCs/>
          <w:color w:val="333335"/>
        </w:rPr>
      </w:pPr>
      <w:r w:rsidRPr="006B7B86">
        <w:rPr>
          <w:i/>
          <w:iCs/>
          <w:color w:val="333335"/>
        </w:rPr>
        <w:t>(5) If it decides to inspect then having inspected the documents it may invite representations.”</w:t>
      </w:r>
    </w:p>
    <w:p w14:paraId="1E01B999" w14:textId="77777777" w:rsidR="006B7B86" w:rsidRDefault="006B7B86" w:rsidP="006B7B86">
      <w:pPr>
        <w:pStyle w:val="NormalWeb"/>
        <w:spacing w:before="240" w:after="0" w:line="360" w:lineRule="auto"/>
        <w:ind w:left="720"/>
        <w:textAlignment w:val="baseline"/>
        <w:rPr>
          <w:i/>
          <w:iCs/>
          <w:color w:val="333335"/>
        </w:rPr>
      </w:pPr>
    </w:p>
    <w:p w14:paraId="20CF6158" w14:textId="6C9A0B61" w:rsidR="006B7B86" w:rsidRDefault="005B24F9" w:rsidP="000F7A43">
      <w:pPr>
        <w:pStyle w:val="NormalWeb"/>
        <w:numPr>
          <w:ilvl w:val="0"/>
          <w:numId w:val="23"/>
        </w:numPr>
        <w:tabs>
          <w:tab w:val="left" w:pos="450"/>
        </w:tabs>
        <w:spacing w:before="240" w:after="0" w:line="360" w:lineRule="auto"/>
        <w:ind w:left="450" w:hanging="450"/>
        <w:jc w:val="both"/>
        <w:textAlignment w:val="baseline"/>
        <w:rPr>
          <w:color w:val="333335"/>
        </w:rPr>
      </w:pPr>
      <w:r>
        <w:rPr>
          <w:color w:val="333335"/>
        </w:rPr>
        <w:t>Having</w:t>
      </w:r>
      <w:r w:rsidR="00171E16">
        <w:rPr>
          <w:color w:val="333335"/>
        </w:rPr>
        <w:t xml:space="preserve"> considered the submissions of the parties, the Court has </w:t>
      </w:r>
      <w:r w:rsidR="00A44446">
        <w:rPr>
          <w:color w:val="333335"/>
        </w:rPr>
        <w:t>concluded</w:t>
      </w:r>
      <w:r w:rsidR="00171E16">
        <w:rPr>
          <w:color w:val="333335"/>
        </w:rPr>
        <w:t xml:space="preserve"> that the appropriate way to deal with the redacted documents is for the </w:t>
      </w:r>
      <w:r w:rsidR="00FF3072">
        <w:rPr>
          <w:color w:val="333335"/>
        </w:rPr>
        <w:t>C</w:t>
      </w:r>
      <w:r w:rsidR="00171E16">
        <w:rPr>
          <w:color w:val="333335"/>
        </w:rPr>
        <w:t>ourt</w:t>
      </w:r>
      <w:r w:rsidR="00FF3072">
        <w:rPr>
          <w:color w:val="333335"/>
        </w:rPr>
        <w:t xml:space="preserve"> to inspect the documents for itself. In this regard it is noted that</w:t>
      </w:r>
      <w:r w:rsidR="00347BD6">
        <w:rPr>
          <w:color w:val="333335"/>
        </w:rPr>
        <w:t xml:space="preserve"> none of the documents contain privileged </w:t>
      </w:r>
      <w:r w:rsidR="00A44446">
        <w:rPr>
          <w:color w:val="333335"/>
        </w:rPr>
        <w:t>material,</w:t>
      </w:r>
      <w:r w:rsidR="00347BD6">
        <w:rPr>
          <w:color w:val="333335"/>
        </w:rPr>
        <w:t xml:space="preserve"> and the only issue is whether the redacted material is relevant and should be disclosed.</w:t>
      </w:r>
    </w:p>
    <w:p w14:paraId="7ECD9470" w14:textId="77777777" w:rsidR="00054A11" w:rsidRDefault="00054A11" w:rsidP="006B7B86">
      <w:pPr>
        <w:pStyle w:val="NormalWeb"/>
        <w:spacing w:before="240" w:after="0" w:line="360" w:lineRule="auto"/>
        <w:textAlignment w:val="baseline"/>
        <w:rPr>
          <w:color w:val="333335"/>
        </w:rPr>
      </w:pPr>
    </w:p>
    <w:p w14:paraId="404928FE" w14:textId="5EB6C685" w:rsidR="00351938" w:rsidRDefault="00054A11" w:rsidP="00351938">
      <w:pPr>
        <w:pStyle w:val="NormalWeb"/>
        <w:numPr>
          <w:ilvl w:val="0"/>
          <w:numId w:val="4"/>
        </w:numPr>
        <w:spacing w:before="240" w:after="0" w:line="360" w:lineRule="auto"/>
        <w:textAlignment w:val="baseline"/>
        <w:rPr>
          <w:b/>
          <w:bCs/>
          <w:color w:val="333335"/>
        </w:rPr>
      </w:pPr>
      <w:r w:rsidRPr="001E59FB">
        <w:rPr>
          <w:b/>
          <w:bCs/>
          <w:color w:val="333335"/>
        </w:rPr>
        <w:t>Conclusion</w:t>
      </w:r>
    </w:p>
    <w:p w14:paraId="24EAD600" w14:textId="77777777" w:rsidR="00351938" w:rsidRPr="00351938" w:rsidRDefault="00351938" w:rsidP="00351938">
      <w:pPr>
        <w:pStyle w:val="NormalWeb"/>
        <w:spacing w:before="240" w:after="0" w:line="360" w:lineRule="auto"/>
        <w:ind w:left="360"/>
        <w:textAlignment w:val="baseline"/>
        <w:rPr>
          <w:b/>
          <w:bCs/>
          <w:color w:val="333335"/>
        </w:rPr>
      </w:pPr>
    </w:p>
    <w:p w14:paraId="03BCBFB5" w14:textId="0D03D545" w:rsidR="00CF1548" w:rsidRPr="000F7A43" w:rsidRDefault="00CF1548" w:rsidP="00351938">
      <w:pPr>
        <w:pStyle w:val="ListParagraph"/>
        <w:numPr>
          <w:ilvl w:val="0"/>
          <w:numId w:val="26"/>
        </w:numPr>
        <w:tabs>
          <w:tab w:val="left" w:pos="450"/>
        </w:tabs>
        <w:spacing w:before="120" w:line="360" w:lineRule="auto"/>
        <w:ind w:left="450" w:hanging="450"/>
        <w:jc w:val="both"/>
        <w:rPr>
          <w:rFonts w:ascii="Times New Roman" w:hAnsi="Times New Roman" w:cs="Times New Roman"/>
          <w:sz w:val="24"/>
          <w:szCs w:val="24"/>
        </w:rPr>
      </w:pPr>
      <w:r w:rsidRPr="000F7A43">
        <w:rPr>
          <w:rFonts w:ascii="Times New Roman" w:hAnsi="Times New Roman" w:cs="Times New Roman"/>
          <w:color w:val="333335"/>
          <w:sz w:val="24"/>
          <w:szCs w:val="24"/>
        </w:rPr>
        <w:t>In relation to this issue of “</w:t>
      </w:r>
      <w:r w:rsidRPr="000F7A43">
        <w:rPr>
          <w:rFonts w:ascii="Times New Roman" w:hAnsi="Times New Roman" w:cs="Times New Roman"/>
          <w:i/>
          <w:iCs/>
          <w:color w:val="333335"/>
          <w:sz w:val="24"/>
          <w:szCs w:val="24"/>
        </w:rPr>
        <w:t>practical control</w:t>
      </w:r>
      <w:r w:rsidRPr="000F7A43">
        <w:rPr>
          <w:rFonts w:ascii="Times New Roman" w:hAnsi="Times New Roman" w:cs="Times New Roman"/>
          <w:color w:val="333335"/>
          <w:sz w:val="24"/>
          <w:szCs w:val="24"/>
        </w:rPr>
        <w:t>”</w:t>
      </w:r>
      <w:r w:rsidRPr="000F7A43">
        <w:rPr>
          <w:color w:val="333335"/>
        </w:rPr>
        <w:t xml:space="preserve"> </w:t>
      </w:r>
      <w:r w:rsidRPr="000F7A43">
        <w:rPr>
          <w:rFonts w:ascii="Times New Roman" w:hAnsi="Times New Roman" w:cs="Times New Roman"/>
          <w:sz w:val="24"/>
          <w:szCs w:val="24"/>
        </w:rPr>
        <w:t>the Court is required to consider the totality of the evidence presented and relied upon in support of this factual assertion that there is an existing arrangement or understanding, the effect of which is that the party to the litigation from whom disclosure is sought has in practice free or unfettered access to the documents of the third party. In this case the Court has considered the totality of the evidence outlined</w:t>
      </w:r>
      <w:r w:rsidR="00E55DB0" w:rsidRPr="000F7A43">
        <w:rPr>
          <w:rFonts w:ascii="Times New Roman" w:hAnsi="Times New Roman" w:cs="Times New Roman"/>
          <w:sz w:val="24"/>
          <w:szCs w:val="24"/>
        </w:rPr>
        <w:t xml:space="preserve"> at</w:t>
      </w:r>
      <w:r w:rsidR="00B27221">
        <w:rPr>
          <w:rFonts w:ascii="Times New Roman" w:hAnsi="Times New Roman" w:cs="Times New Roman"/>
          <w:sz w:val="24"/>
          <w:szCs w:val="24"/>
        </w:rPr>
        <w:t xml:space="preserve"> 61</w:t>
      </w:r>
      <w:r w:rsidR="003435C7" w:rsidRPr="000F7A43">
        <w:rPr>
          <w:rFonts w:ascii="Times New Roman" w:hAnsi="Times New Roman" w:cs="Times New Roman"/>
          <w:sz w:val="24"/>
          <w:szCs w:val="24"/>
        </w:rPr>
        <w:t xml:space="preserve"> to</w:t>
      </w:r>
      <w:r w:rsidR="00B27221">
        <w:rPr>
          <w:rFonts w:ascii="Times New Roman" w:hAnsi="Times New Roman" w:cs="Times New Roman"/>
          <w:sz w:val="24"/>
          <w:szCs w:val="24"/>
        </w:rPr>
        <w:t xml:space="preserve"> 131</w:t>
      </w:r>
      <w:r w:rsidRPr="000F7A43">
        <w:rPr>
          <w:rFonts w:ascii="Times New Roman" w:hAnsi="Times New Roman" w:cs="Times New Roman"/>
          <w:sz w:val="24"/>
          <w:szCs w:val="24"/>
        </w:rPr>
        <w:t xml:space="preserve"> above and is not satisfied that this evidence establishes that there is an existing arrangement or understanding, the effect of which is that the Company has in practice free or unfettered access to the documents held by the Principal Group Companies.</w:t>
      </w:r>
    </w:p>
    <w:p w14:paraId="7E1AB688" w14:textId="77777777" w:rsidR="003435C7" w:rsidRDefault="003435C7" w:rsidP="00CF1548">
      <w:pPr>
        <w:tabs>
          <w:tab w:val="left" w:pos="6696"/>
        </w:tabs>
        <w:spacing w:before="120" w:line="360" w:lineRule="auto"/>
        <w:rPr>
          <w:rFonts w:ascii="Times New Roman" w:hAnsi="Times New Roman" w:cs="Times New Roman"/>
          <w:sz w:val="24"/>
          <w:szCs w:val="24"/>
        </w:rPr>
      </w:pPr>
    </w:p>
    <w:p w14:paraId="013965C0" w14:textId="68E249DE" w:rsidR="00BA4D4B" w:rsidRDefault="005C0180" w:rsidP="00351938">
      <w:pPr>
        <w:pStyle w:val="NormalWeb"/>
        <w:numPr>
          <w:ilvl w:val="0"/>
          <w:numId w:val="26"/>
        </w:numPr>
        <w:spacing w:before="240" w:after="0" w:line="360" w:lineRule="auto"/>
        <w:ind w:left="450" w:hanging="450"/>
        <w:jc w:val="both"/>
        <w:textAlignment w:val="baseline"/>
        <w:rPr>
          <w:color w:val="333335"/>
        </w:rPr>
      </w:pPr>
      <w:r>
        <w:t>In relation to the issue of joint privilege</w:t>
      </w:r>
      <w:r w:rsidR="00D043FC">
        <w:t xml:space="preserve"> (i</w:t>
      </w:r>
      <w:r w:rsidR="00CC0060">
        <w:t>)</w:t>
      </w:r>
      <w:r w:rsidR="009A683F">
        <w:t xml:space="preserve"> </w:t>
      </w:r>
      <w:r w:rsidR="00067BC5">
        <w:rPr>
          <w:color w:val="333335"/>
        </w:rPr>
        <w:t xml:space="preserve">any documents which were, at the time of their creation, the subject of joint privilege between the Company and the Plaintiffs, remain the subject of joint privilege in the present proceedings </w:t>
      </w:r>
      <w:r w:rsidR="009B674D">
        <w:rPr>
          <w:color w:val="333335"/>
        </w:rPr>
        <w:t xml:space="preserve">even after the Plaintiffs ceased to be the shareholders in the Company; </w:t>
      </w:r>
      <w:r w:rsidR="001F582C">
        <w:rPr>
          <w:color w:val="333335"/>
        </w:rPr>
        <w:t>(ii)</w:t>
      </w:r>
      <w:r w:rsidR="009B674D">
        <w:rPr>
          <w:color w:val="333335"/>
        </w:rPr>
        <w:t xml:space="preserve"> </w:t>
      </w:r>
      <w:r w:rsidR="001B7F19">
        <w:rPr>
          <w:color w:val="333335"/>
        </w:rPr>
        <w:t>hostile litigation against the Company</w:t>
      </w:r>
      <w:r w:rsidR="00BA4D4B">
        <w:rPr>
          <w:color w:val="333335"/>
        </w:rPr>
        <w:t xml:space="preserve"> in the form of section 106 proceedings was indeed in contemplation by the time the Transaction Committee was established on 19 February 2021</w:t>
      </w:r>
      <w:r w:rsidR="005D2AE6">
        <w:rPr>
          <w:color w:val="333335"/>
        </w:rPr>
        <w:t xml:space="preserve"> and</w:t>
      </w:r>
      <w:r w:rsidR="00BA4D4B">
        <w:rPr>
          <w:color w:val="333335"/>
        </w:rPr>
        <w:t xml:space="preserve"> </w:t>
      </w:r>
      <w:r w:rsidR="005D2AE6">
        <w:rPr>
          <w:color w:val="333335"/>
        </w:rPr>
        <w:t>a</w:t>
      </w:r>
      <w:r w:rsidR="00BA4D4B">
        <w:rPr>
          <w:color w:val="333335"/>
        </w:rPr>
        <w:t>s a result, any legal advice sought and received, on or after 19 February 2021, by the Company and/or the Transaction Committee in defence of or in connection with the contemplated section 106 proceedings will fall within the exception to the general rule and that is privileged against the shareholders</w:t>
      </w:r>
      <w:r w:rsidR="00B62423">
        <w:rPr>
          <w:color w:val="333335"/>
        </w:rPr>
        <w:t>; and (iii) in relation to the issue</w:t>
      </w:r>
      <w:r w:rsidR="00E824E9">
        <w:rPr>
          <w:color w:val="333335"/>
        </w:rPr>
        <w:t xml:space="preserve"> rule relating to joint privilege between a company and its shareholders should be imported into Bermuda law, that issue</w:t>
      </w:r>
      <w:r w:rsidR="003D4AB5">
        <w:rPr>
          <w:color w:val="333335"/>
        </w:rPr>
        <w:t xml:space="preserve"> should properly be reviewed by the Court of Appeal as opposed to this Court.</w:t>
      </w:r>
    </w:p>
    <w:p w14:paraId="24E5310D" w14:textId="77777777" w:rsidR="0000200C" w:rsidRDefault="0000200C" w:rsidP="00BA4D4B">
      <w:pPr>
        <w:pStyle w:val="NormalWeb"/>
        <w:spacing w:before="240" w:after="0" w:line="360" w:lineRule="auto"/>
        <w:textAlignment w:val="baseline"/>
        <w:rPr>
          <w:color w:val="333335"/>
        </w:rPr>
      </w:pPr>
    </w:p>
    <w:p w14:paraId="539D9D0B" w14:textId="7B0FEA44" w:rsidR="001B3730" w:rsidRDefault="001B3730" w:rsidP="00351938">
      <w:pPr>
        <w:pStyle w:val="NormalWeb"/>
        <w:numPr>
          <w:ilvl w:val="0"/>
          <w:numId w:val="26"/>
        </w:numPr>
        <w:spacing w:before="240" w:after="0" w:line="360" w:lineRule="auto"/>
        <w:ind w:left="450" w:hanging="450"/>
        <w:jc w:val="both"/>
        <w:textAlignment w:val="baseline"/>
        <w:rPr>
          <w:color w:val="333335"/>
        </w:rPr>
      </w:pPr>
      <w:r>
        <w:rPr>
          <w:color w:val="333335"/>
        </w:rPr>
        <w:t>In relation to the “</w:t>
      </w:r>
      <w:r w:rsidRPr="003C68A1">
        <w:rPr>
          <w:i/>
          <w:iCs/>
          <w:color w:val="333335"/>
        </w:rPr>
        <w:t>essence</w:t>
      </w:r>
      <w:r>
        <w:rPr>
          <w:color w:val="333335"/>
        </w:rPr>
        <w:t xml:space="preserve">” of the </w:t>
      </w:r>
      <w:r w:rsidR="001463BA">
        <w:rPr>
          <w:color w:val="333335"/>
        </w:rPr>
        <w:t>R</w:t>
      </w:r>
      <w:r>
        <w:rPr>
          <w:color w:val="333335"/>
        </w:rPr>
        <w:t>equest issue</w:t>
      </w:r>
      <w:r w:rsidR="001463BA">
        <w:rPr>
          <w:color w:val="333335"/>
        </w:rPr>
        <w:t>, the Court directs that (i)</w:t>
      </w:r>
      <w:r>
        <w:rPr>
          <w:color w:val="333335"/>
        </w:rPr>
        <w:t xml:space="preserve"> </w:t>
      </w:r>
      <w:r w:rsidR="001463BA">
        <w:rPr>
          <w:color w:val="333335"/>
        </w:rPr>
        <w:t>g</w:t>
      </w:r>
      <w:r>
        <w:rPr>
          <w:color w:val="333335"/>
        </w:rPr>
        <w:t>oing forward the Defendants should refrain from endeavouring to identify and thereafter disclosing documents which they understand to reflect the “</w:t>
      </w:r>
      <w:r w:rsidRPr="001463BA">
        <w:rPr>
          <w:i/>
          <w:iCs/>
          <w:color w:val="333335"/>
        </w:rPr>
        <w:t>essence</w:t>
      </w:r>
      <w:r>
        <w:rPr>
          <w:color w:val="333335"/>
        </w:rPr>
        <w:t>” of what is sought by the Information Request. The Defendants should comply with the Request as initially made and/or clarified by any subsequent correspondence between the parties</w:t>
      </w:r>
      <w:r w:rsidR="00DC4AAB">
        <w:rPr>
          <w:color w:val="333335"/>
        </w:rPr>
        <w:t>; (ii)t</w:t>
      </w:r>
      <w:r w:rsidRPr="00DC4AAB">
        <w:rPr>
          <w:color w:val="333335"/>
        </w:rPr>
        <w:t>he Defendants remain entitled to object and/or seek clarification in respect of any Information Request based on lack of clarity, relevance, the request being disproportionate or otherwise</w:t>
      </w:r>
      <w:r w:rsidR="00DC4AAB">
        <w:rPr>
          <w:color w:val="333335"/>
        </w:rPr>
        <w:t>; and (iii) n</w:t>
      </w:r>
      <w:r w:rsidRPr="00DC4AAB">
        <w:rPr>
          <w:color w:val="333335"/>
        </w:rPr>
        <w:t>othing said in this direction amends the scope of ¶ 7.1 of the Directions Order.</w:t>
      </w:r>
    </w:p>
    <w:p w14:paraId="5A01F0AB" w14:textId="77777777" w:rsidR="00702DED" w:rsidRDefault="00702DED" w:rsidP="00241A78">
      <w:pPr>
        <w:pStyle w:val="NormalWeb"/>
        <w:spacing w:before="240" w:after="0" w:line="360" w:lineRule="auto"/>
        <w:textAlignment w:val="baseline"/>
        <w:rPr>
          <w:color w:val="333335"/>
        </w:rPr>
      </w:pPr>
    </w:p>
    <w:p w14:paraId="6B741427" w14:textId="7E32DC30" w:rsidR="003A4F25" w:rsidRDefault="00801AE0" w:rsidP="00351938">
      <w:pPr>
        <w:pStyle w:val="NormalWeb"/>
        <w:numPr>
          <w:ilvl w:val="0"/>
          <w:numId w:val="26"/>
        </w:numPr>
        <w:tabs>
          <w:tab w:val="left" w:pos="450"/>
        </w:tabs>
        <w:spacing w:before="240" w:after="0" w:line="360" w:lineRule="auto"/>
        <w:ind w:hanging="720"/>
        <w:textAlignment w:val="baseline"/>
        <w:rPr>
          <w:color w:val="333335"/>
        </w:rPr>
      </w:pPr>
      <w:r>
        <w:rPr>
          <w:color w:val="333335"/>
        </w:rPr>
        <w:t>The Defendants’ application</w:t>
      </w:r>
      <w:r w:rsidR="008F0D6C">
        <w:rPr>
          <w:color w:val="333335"/>
        </w:rPr>
        <w:t xml:space="preserve"> in relation to Appendix 2, category 1 is dismissed by the Court.</w:t>
      </w:r>
    </w:p>
    <w:p w14:paraId="790706D1" w14:textId="77777777" w:rsidR="00351938" w:rsidRDefault="00351938" w:rsidP="008B578B">
      <w:pPr>
        <w:pStyle w:val="NormalWeb"/>
        <w:spacing w:before="240" w:after="0" w:line="360" w:lineRule="auto"/>
        <w:textAlignment w:val="baseline"/>
        <w:rPr>
          <w:color w:val="333335"/>
        </w:rPr>
      </w:pPr>
    </w:p>
    <w:p w14:paraId="67C813E2" w14:textId="4DB0D46A" w:rsidR="008B578B" w:rsidRDefault="008B578B" w:rsidP="00351938">
      <w:pPr>
        <w:pStyle w:val="NormalWeb"/>
        <w:numPr>
          <w:ilvl w:val="0"/>
          <w:numId w:val="26"/>
        </w:numPr>
        <w:spacing w:before="240" w:after="0" w:line="360" w:lineRule="auto"/>
        <w:ind w:left="450" w:hanging="450"/>
        <w:jc w:val="both"/>
        <w:textAlignment w:val="baseline"/>
        <w:rPr>
          <w:color w:val="333335"/>
        </w:rPr>
      </w:pPr>
      <w:r>
        <w:rPr>
          <w:color w:val="333335"/>
        </w:rPr>
        <w:t xml:space="preserve">In relation to the Defendants application in relation to Appendix 2, categories 2-3, the Court has </w:t>
      </w:r>
      <w:r w:rsidR="00FC40C1">
        <w:rPr>
          <w:color w:val="333335"/>
        </w:rPr>
        <w:t xml:space="preserve">determined </w:t>
      </w:r>
      <w:r>
        <w:rPr>
          <w:color w:val="333335"/>
        </w:rPr>
        <w:t>that the appropriate way to deal with the redacted documents is for the Court to inspect the documents for itself</w:t>
      </w:r>
      <w:r w:rsidR="00810720">
        <w:rPr>
          <w:color w:val="333335"/>
        </w:rPr>
        <w:t xml:space="preserve"> in order to determine </w:t>
      </w:r>
      <w:r>
        <w:rPr>
          <w:color w:val="333335"/>
        </w:rPr>
        <w:t>whether the redacted material is relevant and should be disclosed.</w:t>
      </w:r>
    </w:p>
    <w:p w14:paraId="764B172C" w14:textId="77777777" w:rsidR="0045612D" w:rsidRDefault="0045612D" w:rsidP="008B578B">
      <w:pPr>
        <w:pStyle w:val="NormalWeb"/>
        <w:spacing w:before="240" w:after="0" w:line="360" w:lineRule="auto"/>
        <w:textAlignment w:val="baseline"/>
        <w:rPr>
          <w:color w:val="333335"/>
        </w:rPr>
      </w:pPr>
    </w:p>
    <w:p w14:paraId="511D27EE" w14:textId="202C4A65" w:rsidR="0045612D" w:rsidRDefault="0045612D" w:rsidP="00351938">
      <w:pPr>
        <w:pStyle w:val="NormalWeb"/>
        <w:numPr>
          <w:ilvl w:val="0"/>
          <w:numId w:val="26"/>
        </w:numPr>
        <w:spacing w:before="240" w:after="0" w:line="360" w:lineRule="auto"/>
        <w:ind w:left="450" w:hanging="450"/>
        <w:textAlignment w:val="baseline"/>
        <w:rPr>
          <w:color w:val="333335"/>
        </w:rPr>
      </w:pPr>
      <w:r>
        <w:rPr>
          <w:color w:val="333335"/>
        </w:rPr>
        <w:t>The Court</w:t>
      </w:r>
      <w:r w:rsidR="00BD5587">
        <w:rPr>
          <w:color w:val="333335"/>
        </w:rPr>
        <w:t xml:space="preserve"> will hear the parties in relation to the issue of costs, if required.</w:t>
      </w:r>
    </w:p>
    <w:p w14:paraId="4E73D69A" w14:textId="77777777" w:rsidR="00A33979" w:rsidRDefault="00A33979" w:rsidP="008B578B">
      <w:pPr>
        <w:pStyle w:val="NormalWeb"/>
        <w:spacing w:before="240" w:after="0" w:line="360" w:lineRule="auto"/>
        <w:textAlignment w:val="baseline"/>
        <w:rPr>
          <w:color w:val="333335"/>
        </w:rPr>
      </w:pPr>
    </w:p>
    <w:p w14:paraId="15B2E00C" w14:textId="22185794" w:rsidR="00A33979" w:rsidRDefault="00A33979" w:rsidP="008B578B">
      <w:pPr>
        <w:pStyle w:val="NormalWeb"/>
        <w:spacing w:before="240" w:after="0" w:line="360" w:lineRule="auto"/>
        <w:textAlignment w:val="baseline"/>
        <w:rPr>
          <w:color w:val="333335"/>
        </w:rPr>
      </w:pPr>
      <w:r>
        <w:rPr>
          <w:color w:val="333335"/>
        </w:rPr>
        <w:t>Dated this</w:t>
      </w:r>
      <w:r w:rsidR="00B27221">
        <w:rPr>
          <w:color w:val="333335"/>
        </w:rPr>
        <w:t xml:space="preserve"> 14</w:t>
      </w:r>
      <w:r w:rsidR="00B27221" w:rsidRPr="00B27221">
        <w:rPr>
          <w:color w:val="333335"/>
          <w:vertAlign w:val="superscript"/>
        </w:rPr>
        <w:t>th</w:t>
      </w:r>
      <w:r>
        <w:rPr>
          <w:color w:val="333335"/>
        </w:rPr>
        <w:t xml:space="preserve"> day of February 2023</w:t>
      </w:r>
    </w:p>
    <w:p w14:paraId="3F69B0E6" w14:textId="77777777" w:rsidR="00013E78" w:rsidRDefault="00013E78" w:rsidP="008B578B">
      <w:pPr>
        <w:pStyle w:val="NormalWeb"/>
        <w:spacing w:before="240" w:after="0" w:line="360" w:lineRule="auto"/>
        <w:textAlignment w:val="baseline"/>
        <w:rPr>
          <w:color w:val="333335"/>
        </w:rPr>
      </w:pPr>
    </w:p>
    <w:p w14:paraId="3B10838C" w14:textId="77777777" w:rsidR="00A33979" w:rsidRDefault="00A33979" w:rsidP="00013E78">
      <w:pPr>
        <w:pStyle w:val="NoSpacing"/>
        <w:jc w:val="right"/>
        <w:rPr>
          <w:rFonts w:ascii="Times New Roman" w:hAnsi="Times New Roman" w:cs="Times New Roman"/>
          <w:sz w:val="24"/>
        </w:rPr>
      </w:pPr>
    </w:p>
    <w:p w14:paraId="75F6BB37" w14:textId="65AD2B79" w:rsidR="00013E78" w:rsidRPr="00013E78" w:rsidRDefault="00013E78" w:rsidP="00013E78">
      <w:pPr>
        <w:pStyle w:val="NoSpacing"/>
        <w:jc w:val="right"/>
        <w:rPr>
          <w:rFonts w:ascii="Times New Roman" w:hAnsi="Times New Roman" w:cs="Times New Roman"/>
          <w:sz w:val="24"/>
        </w:rPr>
      </w:pPr>
      <w:r>
        <w:rPr>
          <w:rFonts w:ascii="Times New Roman" w:hAnsi="Times New Roman" w:cs="Times New Roman"/>
          <w:sz w:val="24"/>
        </w:rPr>
        <w:t>____________________________</w:t>
      </w:r>
    </w:p>
    <w:p w14:paraId="4AE4F4B2" w14:textId="3E939216" w:rsidR="00A33979" w:rsidRPr="00013E78" w:rsidRDefault="00A33979" w:rsidP="00013E78">
      <w:pPr>
        <w:pStyle w:val="NoSpacing"/>
        <w:jc w:val="right"/>
        <w:rPr>
          <w:rFonts w:ascii="Times New Roman" w:hAnsi="Times New Roman" w:cs="Times New Roman"/>
          <w:color w:val="333335"/>
          <w:sz w:val="24"/>
        </w:rPr>
      </w:pPr>
      <w:r w:rsidRPr="00013E78">
        <w:rPr>
          <w:rFonts w:ascii="Times New Roman" w:hAnsi="Times New Roman" w:cs="Times New Roman"/>
          <w:color w:val="333335"/>
          <w:sz w:val="24"/>
        </w:rPr>
        <w:t xml:space="preserve">                                                                                    NARINDER K HARGUN</w:t>
      </w:r>
      <w:r w:rsidRPr="00013E78">
        <w:rPr>
          <w:rFonts w:ascii="Times New Roman" w:hAnsi="Times New Roman" w:cs="Times New Roman"/>
          <w:color w:val="333335"/>
          <w:sz w:val="24"/>
        </w:rPr>
        <w:br/>
        <w:t xml:space="preserve">                                                                                           CHIEF JUSTICE</w:t>
      </w:r>
    </w:p>
    <w:p w14:paraId="41ECC6FB" w14:textId="01AFB400" w:rsidR="00A249E7" w:rsidRDefault="00A249E7" w:rsidP="00702DED">
      <w:pPr>
        <w:pStyle w:val="NormalWeb"/>
        <w:spacing w:before="240" w:after="0" w:line="360" w:lineRule="auto"/>
        <w:textAlignment w:val="baseline"/>
        <w:rPr>
          <w:color w:val="333335"/>
        </w:rPr>
      </w:pPr>
    </w:p>
    <w:p w14:paraId="778045C8" w14:textId="77777777" w:rsidR="008F0D6C" w:rsidRDefault="008F0D6C" w:rsidP="00702DED">
      <w:pPr>
        <w:pStyle w:val="NormalWeb"/>
        <w:spacing w:before="240" w:after="0" w:line="360" w:lineRule="auto"/>
        <w:textAlignment w:val="baseline"/>
        <w:rPr>
          <w:color w:val="333335"/>
        </w:rPr>
      </w:pPr>
    </w:p>
    <w:p w14:paraId="37248E03" w14:textId="77777777" w:rsidR="008F0D6C" w:rsidRDefault="008F0D6C" w:rsidP="00702DED">
      <w:pPr>
        <w:pStyle w:val="NormalWeb"/>
        <w:spacing w:before="240" w:after="0" w:line="360" w:lineRule="auto"/>
        <w:textAlignment w:val="baseline"/>
        <w:rPr>
          <w:color w:val="333335"/>
        </w:rPr>
      </w:pPr>
    </w:p>
    <w:p w14:paraId="2301C295" w14:textId="77777777" w:rsidR="008F0D6C" w:rsidRDefault="008F0D6C" w:rsidP="00702DED">
      <w:pPr>
        <w:pStyle w:val="NormalWeb"/>
        <w:spacing w:before="240" w:after="0" w:line="360" w:lineRule="auto"/>
        <w:textAlignment w:val="baseline"/>
        <w:rPr>
          <w:color w:val="333335"/>
        </w:rPr>
      </w:pPr>
    </w:p>
    <w:p w14:paraId="5BBC8729" w14:textId="77777777" w:rsidR="00702DED" w:rsidRDefault="00702DED" w:rsidP="00241A78">
      <w:pPr>
        <w:pStyle w:val="NormalWeb"/>
        <w:spacing w:before="240" w:after="0" w:line="360" w:lineRule="auto"/>
        <w:textAlignment w:val="baseline"/>
        <w:rPr>
          <w:color w:val="333335"/>
        </w:rPr>
      </w:pPr>
    </w:p>
    <w:p w14:paraId="7FAD8BCD" w14:textId="77777777" w:rsidR="00241A78" w:rsidRDefault="00241A78" w:rsidP="00241A78">
      <w:pPr>
        <w:pStyle w:val="NormalWeb"/>
        <w:spacing w:before="240" w:after="0" w:line="360" w:lineRule="auto"/>
        <w:textAlignment w:val="baseline"/>
        <w:rPr>
          <w:color w:val="333335"/>
        </w:rPr>
      </w:pPr>
    </w:p>
    <w:p w14:paraId="09C40A69" w14:textId="77777777" w:rsidR="00241A78" w:rsidRPr="00DC4AAB" w:rsidRDefault="00241A78" w:rsidP="00241A78">
      <w:pPr>
        <w:pStyle w:val="NormalWeb"/>
        <w:spacing w:before="240" w:after="0" w:line="360" w:lineRule="auto"/>
        <w:textAlignment w:val="baseline"/>
        <w:rPr>
          <w:color w:val="333335"/>
        </w:rPr>
      </w:pPr>
    </w:p>
    <w:p w14:paraId="5D752049" w14:textId="609EA12F" w:rsidR="0000200C" w:rsidRDefault="0000200C" w:rsidP="00BA4D4B">
      <w:pPr>
        <w:pStyle w:val="NormalWeb"/>
        <w:spacing w:before="240" w:after="0" w:line="360" w:lineRule="auto"/>
        <w:textAlignment w:val="baseline"/>
        <w:rPr>
          <w:color w:val="333335"/>
        </w:rPr>
      </w:pPr>
    </w:p>
    <w:p w14:paraId="6B387484" w14:textId="2C754C3F" w:rsidR="00592532" w:rsidRPr="00013E78" w:rsidRDefault="00592532" w:rsidP="00013E78">
      <w:pPr>
        <w:pStyle w:val="NormalWeb"/>
        <w:spacing w:before="240" w:after="0" w:line="360" w:lineRule="auto"/>
        <w:textAlignment w:val="baseline"/>
        <w:rPr>
          <w:color w:val="333335"/>
        </w:rPr>
      </w:pPr>
    </w:p>
    <w:sectPr w:rsidR="00592532" w:rsidRPr="00013E78" w:rsidSect="005E4FEA">
      <w:headerReference w:type="default" r:id="rId9"/>
      <w:footerReference w:type="default" r:id="rId10"/>
      <w:headerReference w:type="first" r:id="rId11"/>
      <w:pgSz w:w="12240" w:h="15840"/>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49ED6" w14:textId="77777777" w:rsidR="001204FF" w:rsidRDefault="001204FF" w:rsidP="00147700">
      <w:pPr>
        <w:spacing w:after="0" w:line="240" w:lineRule="auto"/>
      </w:pPr>
      <w:r>
        <w:separator/>
      </w:r>
    </w:p>
  </w:endnote>
  <w:endnote w:type="continuationSeparator" w:id="0">
    <w:p w14:paraId="0E9C4C56" w14:textId="77777777" w:rsidR="001204FF" w:rsidRDefault="001204FF" w:rsidP="00147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ld English Text MT">
    <w:altName w:val="Calibri"/>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8483472"/>
      <w:docPartObj>
        <w:docPartGallery w:val="Page Numbers (Bottom of Page)"/>
        <w:docPartUnique/>
      </w:docPartObj>
    </w:sdtPr>
    <w:sdtEndPr>
      <w:rPr>
        <w:noProof/>
      </w:rPr>
    </w:sdtEndPr>
    <w:sdtContent>
      <w:p w14:paraId="4090EACF" w14:textId="43655A00" w:rsidR="006678C1" w:rsidRDefault="006678C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57328D" w14:textId="77777777" w:rsidR="006678C1" w:rsidRDefault="006678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9EDCE" w14:textId="77777777" w:rsidR="001204FF" w:rsidRDefault="001204FF" w:rsidP="00147700">
      <w:pPr>
        <w:spacing w:after="0" w:line="240" w:lineRule="auto"/>
      </w:pPr>
      <w:r>
        <w:separator/>
      </w:r>
    </w:p>
  </w:footnote>
  <w:footnote w:type="continuationSeparator" w:id="0">
    <w:p w14:paraId="3D07FF7E" w14:textId="77777777" w:rsidR="001204FF" w:rsidRDefault="001204FF" w:rsidP="00147700">
      <w:pPr>
        <w:spacing w:after="0" w:line="240" w:lineRule="auto"/>
      </w:pPr>
      <w:r>
        <w:continuationSeparator/>
      </w:r>
    </w:p>
  </w:footnote>
  <w:footnote w:id="1">
    <w:p w14:paraId="69288393" w14:textId="00A6FC11" w:rsidR="00E22C50" w:rsidRPr="005A4BAB" w:rsidRDefault="00E22C50">
      <w:pPr>
        <w:pStyle w:val="FootnoteText"/>
        <w:rPr>
          <w:i/>
          <w:iCs/>
        </w:rPr>
      </w:pPr>
      <w:r>
        <w:rPr>
          <w:rStyle w:val="FootnoteReference"/>
        </w:rPr>
        <w:footnoteRef/>
      </w:r>
      <w:r>
        <w:t xml:space="preserve"> </w:t>
      </w:r>
      <w:r w:rsidRPr="005A4BAB">
        <w:rPr>
          <w:i/>
          <w:iCs/>
        </w:rPr>
        <w:t>46. Drawing all of these threads together, the following points can be made in determining whether documents held by one person are under the control of another where there is no legally enforceable right to access the documents: i) The relationship between the parties is irrelevant. It does not depend on there being control over the holder of the documents in some looser sense, such as a parent and subsidiary relationship; ii) There must be an arrangement or understanding that the holder of the documents will search for relevant documents or make documents available to be searched; iii) The arrangement may be general in that it applies to all documents held by the third party or it could be limited to a particular class or category of documents. A limitation such as an ability to withhold confidential or commercially sensitive documents will not prevent the existence of such an arrangement; iv) The existence of the arrangement or understanding may be inferred from the surrounding circumstances. Evidence of past access to documents in the same proceedings is a highly relevant factor; v) It is not necessary that there should be an understanding as to how the documents will be accessed. It is enough that there is an understanding that access will be permitted and that the third party will co-operate in providing the relevant documents or copies of them or access to them; vi) the arrangement or understanding must not be limited to a specific request but should be more general in its nature.</w:t>
      </w:r>
    </w:p>
  </w:footnote>
  <w:footnote w:id="2">
    <w:p w14:paraId="34F33FD9" w14:textId="45B2F15C" w:rsidR="00E22C50" w:rsidRPr="00AE5732" w:rsidRDefault="00E22C50">
      <w:pPr>
        <w:pStyle w:val="FootnoteText"/>
        <w:rPr>
          <w:rFonts w:ascii="Times New Roman" w:hAnsi="Times New Roman" w:cs="Times New Roman"/>
        </w:rPr>
      </w:pPr>
      <w:r w:rsidRPr="006777F4">
        <w:rPr>
          <w:rStyle w:val="FootnoteReference"/>
          <w:rFonts w:ascii="Times New Roman" w:hAnsi="Times New Roman" w:cs="Times New Roman"/>
          <w:sz w:val="22"/>
          <w:szCs w:val="22"/>
        </w:rPr>
        <w:footnoteRef/>
      </w:r>
      <w:r w:rsidRPr="006777F4">
        <w:rPr>
          <w:rFonts w:ascii="Times New Roman" w:hAnsi="Times New Roman" w:cs="Times New Roman"/>
          <w:sz w:val="22"/>
          <w:szCs w:val="22"/>
        </w:rPr>
        <w:t xml:space="preserve"> The Privy Council decision in </w:t>
      </w:r>
      <w:r w:rsidRPr="006777F4">
        <w:rPr>
          <w:rFonts w:ascii="Times New Roman" w:hAnsi="Times New Roman" w:cs="Times New Roman"/>
          <w:i/>
          <w:iCs/>
          <w:sz w:val="22"/>
          <w:szCs w:val="22"/>
        </w:rPr>
        <w:t>Schmidt v Rosewood Trust Ltd</w:t>
      </w:r>
      <w:r w:rsidRPr="006777F4">
        <w:rPr>
          <w:rFonts w:ascii="Times New Roman" w:hAnsi="Times New Roman" w:cs="Times New Roman"/>
          <w:sz w:val="22"/>
          <w:szCs w:val="22"/>
        </w:rPr>
        <w:t xml:space="preserve"> [2003] UKPC 26 has in any event discarded the proprietary right analysis in the beneficiary context. Lord Walker held that </w:t>
      </w:r>
      <w:r w:rsidRPr="006777F4">
        <w:rPr>
          <w:rFonts w:ascii="Times New Roman" w:hAnsi="Times New Roman" w:cs="Times New Roman"/>
          <w:color w:val="333335"/>
          <w:sz w:val="22"/>
          <w:szCs w:val="22"/>
          <w:shd w:val="clear" w:color="auto" w:fill="FFFFFF"/>
        </w:rPr>
        <w:t>it was fundamental to the law of trusts that the court had jurisdiction to supervise and if appropriate intervene in the administration of a trust, including a discretionary trust and that the more principled and correct approach was to regard the right to seek disclosure of trust documents as one aspect of the court's inherent jurisdiction to supervise, and if necessary to intervene in, the administration of trusts</w:t>
      </w:r>
      <w:r w:rsidRPr="00AE5732">
        <w:rPr>
          <w:rFonts w:ascii="Times New Roman" w:hAnsi="Times New Roman" w:cs="Times New Roman"/>
          <w:color w:val="333335"/>
          <w:sz w:val="18"/>
          <w:szCs w:val="18"/>
          <w:shd w:val="clear" w:color="auto" w:fill="FFFFFF"/>
        </w:rPr>
        <w:t>.</w:t>
      </w:r>
    </w:p>
  </w:footnote>
  <w:footnote w:id="3">
    <w:p w14:paraId="224985EB" w14:textId="577A5D20" w:rsidR="00E22C50" w:rsidRPr="00B27221" w:rsidRDefault="00E22C50">
      <w:pPr>
        <w:pStyle w:val="FootnoteText"/>
        <w:rPr>
          <w:rFonts w:ascii="Times New Roman" w:hAnsi="Times New Roman" w:cs="Times New Roman"/>
        </w:rPr>
      </w:pPr>
      <w:r w:rsidRPr="00B27221">
        <w:rPr>
          <w:rStyle w:val="FootnoteReference"/>
          <w:rFonts w:ascii="Times New Roman" w:hAnsi="Times New Roman" w:cs="Times New Roman"/>
        </w:rPr>
        <w:footnoteRef/>
      </w:r>
      <w:r w:rsidRPr="00B27221">
        <w:rPr>
          <w:rFonts w:ascii="Times New Roman" w:hAnsi="Times New Roman" w:cs="Times New Roman"/>
        </w:rPr>
        <w:t xml:space="preserve"> Mr Hollander KC rightly points out that the Canadian cases do not deal with the modern justification of the privilege based upon the joint interest of the company and its shareholders.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BF403" w14:textId="353CED5A" w:rsidR="00E22C50" w:rsidRDefault="00E22C50" w:rsidP="005E4FEA">
    <w:pPr>
      <w:pStyle w:val="Header"/>
    </w:pPr>
  </w:p>
  <w:p w14:paraId="5CB4382D" w14:textId="5ADCC858" w:rsidR="00E22C50" w:rsidRDefault="00E22C50">
    <w:pPr>
      <w:pStyle w:val="Header"/>
    </w:pPr>
  </w:p>
  <w:p w14:paraId="7BEC8F1C" w14:textId="77777777" w:rsidR="00E22C50" w:rsidRDefault="00E22C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741CD" w14:textId="5AAD37E5" w:rsidR="00E22C50" w:rsidRDefault="00E22C50">
    <w:pPr>
      <w:pStyle w:val="Header"/>
    </w:pPr>
    <w:r>
      <w:rPr>
        <w:rFonts w:ascii="Times New Roman" w:hAnsi="Times New Roman"/>
        <w:sz w:val="24"/>
      </w:rPr>
      <w:t>[2023] SC (Bda) 8 Civ.</w:t>
    </w:r>
    <w:r w:rsidR="00223D9B">
      <w:rPr>
        <w:rFonts w:ascii="Times New Roman" w:hAnsi="Times New Roman"/>
        <w:sz w:val="24"/>
      </w:rPr>
      <w:t xml:space="preserve"> 14 February</w:t>
    </w:r>
    <w:r>
      <w:rPr>
        <w:rFonts w:ascii="Times New Roman" w:hAnsi="Times New Roman"/>
        <w:sz w:val="24"/>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A1CA0"/>
    <w:multiLevelType w:val="hybridMultilevel"/>
    <w:tmpl w:val="67FA5D32"/>
    <w:lvl w:ilvl="0" w:tplc="A382500C">
      <w:start w:val="38"/>
      <w:numFmt w:val="decimal"/>
      <w:lvlText w:val="%1."/>
      <w:lvlJc w:val="left"/>
      <w:pPr>
        <w:ind w:left="502" w:hanging="360"/>
      </w:pPr>
      <w:rPr>
        <w:rFonts w:hint="default"/>
        <w:b w:val="0"/>
      </w:r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1" w15:restartNumberingAfterBreak="0">
    <w:nsid w:val="0B195E6E"/>
    <w:multiLevelType w:val="hybridMultilevel"/>
    <w:tmpl w:val="B2FAC7D4"/>
    <w:lvl w:ilvl="0" w:tplc="35EE35DC">
      <w:start w:val="19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8B6D44"/>
    <w:multiLevelType w:val="hybridMultilevel"/>
    <w:tmpl w:val="17B833D4"/>
    <w:lvl w:ilvl="0" w:tplc="94EA389E">
      <w:start w:val="7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075D93"/>
    <w:multiLevelType w:val="hybridMultilevel"/>
    <w:tmpl w:val="CED8CC24"/>
    <w:lvl w:ilvl="0" w:tplc="055882EE">
      <w:start w:val="1"/>
      <w:numFmt w:val="lowerRoman"/>
      <w:lvlText w:val="(%1)"/>
      <w:lvlJc w:val="left"/>
      <w:pPr>
        <w:ind w:left="1080" w:hanging="720"/>
      </w:pPr>
      <w:rPr>
        <w:rFonts w:ascii="Times New Roman" w:eastAsiaTheme="minorHAnsi" w:hAnsi="Times New Roman" w:cs="Times New Roman"/>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D352139"/>
    <w:multiLevelType w:val="hybridMultilevel"/>
    <w:tmpl w:val="B3E0269A"/>
    <w:lvl w:ilvl="0" w:tplc="F59890E2">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1AB4461"/>
    <w:multiLevelType w:val="hybridMultilevel"/>
    <w:tmpl w:val="1DFA4C48"/>
    <w:lvl w:ilvl="0" w:tplc="94EA389E">
      <w:start w:val="7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6E0117"/>
    <w:multiLevelType w:val="hybridMultilevel"/>
    <w:tmpl w:val="F1726074"/>
    <w:lvl w:ilvl="0" w:tplc="E4C27606">
      <w:start w:val="72"/>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8F50D1"/>
    <w:multiLevelType w:val="hybridMultilevel"/>
    <w:tmpl w:val="427CDD36"/>
    <w:lvl w:ilvl="0" w:tplc="35EE35DC">
      <w:start w:val="19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BD4A72"/>
    <w:multiLevelType w:val="hybridMultilevel"/>
    <w:tmpl w:val="8362DE66"/>
    <w:lvl w:ilvl="0" w:tplc="FED03060">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2B450F8"/>
    <w:multiLevelType w:val="hybridMultilevel"/>
    <w:tmpl w:val="0150A410"/>
    <w:lvl w:ilvl="0" w:tplc="94EA389E">
      <w:start w:val="7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610873"/>
    <w:multiLevelType w:val="hybridMultilevel"/>
    <w:tmpl w:val="316C4868"/>
    <w:lvl w:ilvl="0" w:tplc="85F6C51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9540397"/>
    <w:multiLevelType w:val="hybridMultilevel"/>
    <w:tmpl w:val="BD40EE3E"/>
    <w:lvl w:ilvl="0" w:tplc="20000015">
      <w:start w:val="1"/>
      <w:numFmt w:val="upp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2" w15:restartNumberingAfterBreak="0">
    <w:nsid w:val="3A091F63"/>
    <w:multiLevelType w:val="singleLevel"/>
    <w:tmpl w:val="20000001"/>
    <w:lvl w:ilvl="0">
      <w:start w:val="1"/>
      <w:numFmt w:val="bullet"/>
      <w:lvlText w:val=""/>
      <w:lvlJc w:val="left"/>
      <w:pPr>
        <w:ind w:left="720" w:hanging="360"/>
      </w:pPr>
      <w:rPr>
        <w:rFonts w:ascii="Symbol" w:hAnsi="Symbol" w:hint="default"/>
      </w:rPr>
    </w:lvl>
  </w:abstractNum>
  <w:abstractNum w:abstractNumId="13" w15:restartNumberingAfterBreak="0">
    <w:nsid w:val="3A406401"/>
    <w:multiLevelType w:val="hybridMultilevel"/>
    <w:tmpl w:val="7096C48C"/>
    <w:lvl w:ilvl="0" w:tplc="94EA389E">
      <w:start w:val="7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714B9F"/>
    <w:multiLevelType w:val="hybridMultilevel"/>
    <w:tmpl w:val="B87AB9BE"/>
    <w:lvl w:ilvl="0" w:tplc="E4C27606">
      <w:start w:val="72"/>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DDF4737"/>
    <w:multiLevelType w:val="hybridMultilevel"/>
    <w:tmpl w:val="C1B4986E"/>
    <w:lvl w:ilvl="0" w:tplc="45927DE4">
      <w:start w:val="1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EF7681"/>
    <w:multiLevelType w:val="hybridMultilevel"/>
    <w:tmpl w:val="C6902946"/>
    <w:lvl w:ilvl="0" w:tplc="3CE45240">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46DB0BF6"/>
    <w:multiLevelType w:val="hybridMultilevel"/>
    <w:tmpl w:val="8F94907A"/>
    <w:lvl w:ilvl="0" w:tplc="35EE35DC">
      <w:start w:val="19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AD3AC7"/>
    <w:multiLevelType w:val="hybridMultilevel"/>
    <w:tmpl w:val="AD424980"/>
    <w:lvl w:ilvl="0" w:tplc="FD0A1526">
      <w:start w:val="6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67D50D2"/>
    <w:multiLevelType w:val="hybridMultilevel"/>
    <w:tmpl w:val="6D523BDC"/>
    <w:lvl w:ilvl="0" w:tplc="923C6CDA">
      <w:start w:val="1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A56804"/>
    <w:multiLevelType w:val="hybridMultilevel"/>
    <w:tmpl w:val="790AE7E0"/>
    <w:lvl w:ilvl="0" w:tplc="94EA389E">
      <w:start w:val="7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617832"/>
    <w:multiLevelType w:val="hybridMultilevel"/>
    <w:tmpl w:val="B1FEE3A2"/>
    <w:lvl w:ilvl="0" w:tplc="9886F7E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620D6AFB"/>
    <w:multiLevelType w:val="hybridMultilevel"/>
    <w:tmpl w:val="C804CCA0"/>
    <w:lvl w:ilvl="0" w:tplc="E4C27606">
      <w:start w:val="72"/>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FB1639"/>
    <w:multiLevelType w:val="hybridMultilevel"/>
    <w:tmpl w:val="7EFC2572"/>
    <w:lvl w:ilvl="0" w:tplc="94EA389E">
      <w:start w:val="7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4A1BB6"/>
    <w:multiLevelType w:val="hybridMultilevel"/>
    <w:tmpl w:val="E116C538"/>
    <w:lvl w:ilvl="0" w:tplc="FA3A353E">
      <w:start w:val="1"/>
      <w:numFmt w:val="decimal"/>
      <w:lvlText w:val="(%1)"/>
      <w:lvlJc w:val="left"/>
      <w:pPr>
        <w:ind w:left="928"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75D70B9F"/>
    <w:multiLevelType w:val="multilevel"/>
    <w:tmpl w:val="FFFFFFFF"/>
    <w:lvl w:ilvl="0">
      <w:start w:val="1"/>
      <w:numFmt w:val="decimal"/>
      <w:pStyle w:val="ParaLevel1"/>
      <w:lvlText w:val="%1."/>
      <w:lvlJc w:val="left"/>
      <w:pPr>
        <w:tabs>
          <w:tab w:val="num" w:pos="720"/>
        </w:tabs>
        <w:ind w:left="720" w:hanging="720"/>
      </w:pPr>
      <w:rPr>
        <w:rFonts w:cs="Times New Roman"/>
        <w:b w:val="0"/>
        <w:i w:val="0"/>
        <w:strike w:val="0"/>
        <w:dstrike w:val="0"/>
        <w:u w:val="none"/>
        <w:effect w:val="none"/>
      </w:rPr>
    </w:lvl>
    <w:lvl w:ilvl="1">
      <w:start w:val="1"/>
      <w:numFmt w:val="lowerRoman"/>
      <w:pStyle w:val="ParaLevel2"/>
      <w:lvlText w:val="%2)"/>
      <w:lvlJc w:val="left"/>
      <w:pPr>
        <w:tabs>
          <w:tab w:val="num" w:pos="1418"/>
        </w:tabs>
        <w:ind w:left="1418" w:hanging="709"/>
      </w:pPr>
      <w:rPr>
        <w:rFonts w:cs="Times New Roman"/>
        <w:b w:val="0"/>
        <w:i w:val="0"/>
      </w:rPr>
    </w:lvl>
    <w:lvl w:ilvl="2">
      <w:start w:val="1"/>
      <w:numFmt w:val="lowerLetter"/>
      <w:pStyle w:val="ParaLevel3"/>
      <w:lvlText w:val="%3)"/>
      <w:lvlJc w:val="left"/>
      <w:pPr>
        <w:tabs>
          <w:tab w:val="num" w:pos="2127"/>
        </w:tabs>
        <w:ind w:left="2127" w:hanging="709"/>
      </w:pPr>
      <w:rPr>
        <w:rFonts w:cs="Times New Roman"/>
      </w:rPr>
    </w:lvl>
    <w:lvl w:ilvl="3">
      <w:start w:val="1"/>
      <w:numFmt w:val="lowerRoman"/>
      <w:pStyle w:val="ParaLevel4"/>
      <w:lvlText w:val="%4)"/>
      <w:lvlJc w:val="left"/>
      <w:pPr>
        <w:tabs>
          <w:tab w:val="num" w:pos="2836"/>
        </w:tabs>
        <w:ind w:left="2836" w:hanging="709"/>
      </w:pPr>
      <w:rPr>
        <w:rFonts w:cs="Times New Roman"/>
      </w:rPr>
    </w:lvl>
    <w:lvl w:ilvl="4">
      <w:start w:val="1"/>
      <w:numFmt w:val="lowerLetter"/>
      <w:pStyle w:val="ParaLevel5"/>
      <w:lvlText w:val="(%5)"/>
      <w:lvlJc w:val="left"/>
      <w:pPr>
        <w:tabs>
          <w:tab w:val="num" w:pos="3545"/>
        </w:tabs>
        <w:ind w:left="3545" w:hanging="709"/>
      </w:pPr>
      <w:rPr>
        <w:rFonts w:cs="Times New Roman"/>
      </w:rPr>
    </w:lvl>
    <w:lvl w:ilvl="5">
      <w:start w:val="1"/>
      <w:numFmt w:val="lowerRoman"/>
      <w:pStyle w:val="ParaLevel6"/>
      <w:lvlText w:val="(%6)"/>
      <w:lvlJc w:val="left"/>
      <w:pPr>
        <w:tabs>
          <w:tab w:val="num" w:pos="4254"/>
        </w:tabs>
        <w:ind w:left="4254" w:hanging="709"/>
      </w:pPr>
      <w:rPr>
        <w:rFonts w:cs="Times New Roman"/>
      </w:rPr>
    </w:lvl>
    <w:lvl w:ilvl="6">
      <w:start w:val="1"/>
      <w:numFmt w:val="lowerLetter"/>
      <w:pStyle w:val="ParaLevel7"/>
      <w:lvlText w:val="(%7)"/>
      <w:lvlJc w:val="left"/>
      <w:pPr>
        <w:tabs>
          <w:tab w:val="num" w:pos="4963"/>
        </w:tabs>
        <w:ind w:left="4963" w:hanging="709"/>
      </w:pPr>
      <w:rPr>
        <w:rFonts w:cs="Times New Roman"/>
      </w:rPr>
    </w:lvl>
    <w:lvl w:ilvl="7">
      <w:start w:val="1"/>
      <w:numFmt w:val="lowerRoman"/>
      <w:pStyle w:val="ParaLevel8"/>
      <w:lvlText w:val="(%8)"/>
      <w:lvlJc w:val="left"/>
      <w:pPr>
        <w:tabs>
          <w:tab w:val="num" w:pos="5672"/>
        </w:tabs>
        <w:ind w:left="5672" w:hanging="709"/>
      </w:pPr>
      <w:rPr>
        <w:rFonts w:cs="Times New Roman"/>
      </w:rPr>
    </w:lvl>
    <w:lvl w:ilvl="8">
      <w:start w:val="1"/>
      <w:numFmt w:val="lowerLetter"/>
      <w:pStyle w:val="ParaLevel9"/>
      <w:lvlText w:val="(%9)"/>
      <w:lvlJc w:val="left"/>
      <w:pPr>
        <w:tabs>
          <w:tab w:val="num" w:pos="6381"/>
        </w:tabs>
        <w:ind w:left="6381" w:hanging="709"/>
      </w:pPr>
      <w:rPr>
        <w:rFonts w:cs="Times New Roman"/>
      </w:rPr>
    </w:lvl>
  </w:abstractNum>
  <w:num w:numId="1">
    <w:abstractNumId w:val="8"/>
  </w:num>
  <w:num w:numId="2">
    <w:abstractNumId w:val="4"/>
  </w:num>
  <w:num w:numId="3">
    <w:abstractNumId w:val="3"/>
  </w:num>
  <w:num w:numId="4">
    <w:abstractNumId w:val="11"/>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1"/>
  </w:num>
  <w:num w:numId="8">
    <w:abstractNumId w:val="16"/>
  </w:num>
  <w:num w:numId="9">
    <w:abstractNumId w:val="10"/>
  </w:num>
  <w:num w:numId="10">
    <w:abstractNumId w:val="12"/>
  </w:num>
  <w:num w:numId="11">
    <w:abstractNumId w:val="24"/>
  </w:num>
  <w:num w:numId="12">
    <w:abstractNumId w:val="18"/>
  </w:num>
  <w:num w:numId="13">
    <w:abstractNumId w:val="14"/>
  </w:num>
  <w:num w:numId="14">
    <w:abstractNumId w:val="20"/>
  </w:num>
  <w:num w:numId="15">
    <w:abstractNumId w:val="13"/>
  </w:num>
  <w:num w:numId="16">
    <w:abstractNumId w:val="9"/>
  </w:num>
  <w:num w:numId="17">
    <w:abstractNumId w:val="23"/>
  </w:num>
  <w:num w:numId="18">
    <w:abstractNumId w:val="5"/>
  </w:num>
  <w:num w:numId="19">
    <w:abstractNumId w:val="2"/>
  </w:num>
  <w:num w:numId="20">
    <w:abstractNumId w:val="6"/>
  </w:num>
  <w:num w:numId="21">
    <w:abstractNumId w:val="22"/>
  </w:num>
  <w:num w:numId="22">
    <w:abstractNumId w:val="19"/>
  </w:num>
  <w:num w:numId="23">
    <w:abstractNumId w:val="17"/>
  </w:num>
  <w:num w:numId="24">
    <w:abstractNumId w:val="7"/>
  </w:num>
  <w:num w:numId="25">
    <w:abstractNumId w:val="1"/>
  </w:num>
  <w:num w:numId="26">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44F"/>
    <w:rsid w:val="00000160"/>
    <w:rsid w:val="0000047E"/>
    <w:rsid w:val="00000DD7"/>
    <w:rsid w:val="000018F9"/>
    <w:rsid w:val="0000200C"/>
    <w:rsid w:val="00003030"/>
    <w:rsid w:val="000031CB"/>
    <w:rsid w:val="00004974"/>
    <w:rsid w:val="00004ABF"/>
    <w:rsid w:val="00004DC4"/>
    <w:rsid w:val="00004F24"/>
    <w:rsid w:val="00006C25"/>
    <w:rsid w:val="000103FC"/>
    <w:rsid w:val="000106AB"/>
    <w:rsid w:val="00010A57"/>
    <w:rsid w:val="00011265"/>
    <w:rsid w:val="00013454"/>
    <w:rsid w:val="00013E78"/>
    <w:rsid w:val="00014306"/>
    <w:rsid w:val="00015236"/>
    <w:rsid w:val="00015E16"/>
    <w:rsid w:val="00016DE1"/>
    <w:rsid w:val="00017756"/>
    <w:rsid w:val="00017CCF"/>
    <w:rsid w:val="0002085B"/>
    <w:rsid w:val="00021E23"/>
    <w:rsid w:val="0002299F"/>
    <w:rsid w:val="00022B51"/>
    <w:rsid w:val="00022DF7"/>
    <w:rsid w:val="00023A4A"/>
    <w:rsid w:val="0002441F"/>
    <w:rsid w:val="000255D5"/>
    <w:rsid w:val="00026517"/>
    <w:rsid w:val="000275C9"/>
    <w:rsid w:val="00027E6D"/>
    <w:rsid w:val="00034722"/>
    <w:rsid w:val="00034CFF"/>
    <w:rsid w:val="00034E90"/>
    <w:rsid w:val="00035621"/>
    <w:rsid w:val="00036248"/>
    <w:rsid w:val="00037326"/>
    <w:rsid w:val="00037D50"/>
    <w:rsid w:val="0004016D"/>
    <w:rsid w:val="000410B2"/>
    <w:rsid w:val="00041471"/>
    <w:rsid w:val="00041497"/>
    <w:rsid w:val="0004538C"/>
    <w:rsid w:val="00045DCD"/>
    <w:rsid w:val="00047BCE"/>
    <w:rsid w:val="0005152D"/>
    <w:rsid w:val="0005181F"/>
    <w:rsid w:val="00051830"/>
    <w:rsid w:val="0005427C"/>
    <w:rsid w:val="000544B0"/>
    <w:rsid w:val="00054A11"/>
    <w:rsid w:val="0005514D"/>
    <w:rsid w:val="000560DC"/>
    <w:rsid w:val="0005695B"/>
    <w:rsid w:val="00056A29"/>
    <w:rsid w:val="00060CC6"/>
    <w:rsid w:val="000622BF"/>
    <w:rsid w:val="00062922"/>
    <w:rsid w:val="000644A1"/>
    <w:rsid w:val="00065060"/>
    <w:rsid w:val="00065AA1"/>
    <w:rsid w:val="00066050"/>
    <w:rsid w:val="000676BD"/>
    <w:rsid w:val="00067BC5"/>
    <w:rsid w:val="00070C06"/>
    <w:rsid w:val="00071870"/>
    <w:rsid w:val="000718DD"/>
    <w:rsid w:val="00071A98"/>
    <w:rsid w:val="00071E57"/>
    <w:rsid w:val="00072EC4"/>
    <w:rsid w:val="000735A0"/>
    <w:rsid w:val="00073A5B"/>
    <w:rsid w:val="00073C94"/>
    <w:rsid w:val="00073D8C"/>
    <w:rsid w:val="00074220"/>
    <w:rsid w:val="00074D24"/>
    <w:rsid w:val="000762D4"/>
    <w:rsid w:val="00076C09"/>
    <w:rsid w:val="00077272"/>
    <w:rsid w:val="00077539"/>
    <w:rsid w:val="00080067"/>
    <w:rsid w:val="00080E32"/>
    <w:rsid w:val="00081892"/>
    <w:rsid w:val="0008342A"/>
    <w:rsid w:val="0008500C"/>
    <w:rsid w:val="000853B4"/>
    <w:rsid w:val="00085C32"/>
    <w:rsid w:val="00085F2F"/>
    <w:rsid w:val="0008721B"/>
    <w:rsid w:val="00090F29"/>
    <w:rsid w:val="000917D3"/>
    <w:rsid w:val="000922C7"/>
    <w:rsid w:val="000929B9"/>
    <w:rsid w:val="00092CE5"/>
    <w:rsid w:val="00094337"/>
    <w:rsid w:val="00095356"/>
    <w:rsid w:val="000974C8"/>
    <w:rsid w:val="000A2F7A"/>
    <w:rsid w:val="000A34E4"/>
    <w:rsid w:val="000A3D01"/>
    <w:rsid w:val="000A4686"/>
    <w:rsid w:val="000A480F"/>
    <w:rsid w:val="000A4C81"/>
    <w:rsid w:val="000A5024"/>
    <w:rsid w:val="000A56C6"/>
    <w:rsid w:val="000A5E3D"/>
    <w:rsid w:val="000A625C"/>
    <w:rsid w:val="000A7B92"/>
    <w:rsid w:val="000B0F84"/>
    <w:rsid w:val="000B21B5"/>
    <w:rsid w:val="000B2674"/>
    <w:rsid w:val="000B27F1"/>
    <w:rsid w:val="000B2909"/>
    <w:rsid w:val="000B2E90"/>
    <w:rsid w:val="000B3001"/>
    <w:rsid w:val="000B55A4"/>
    <w:rsid w:val="000B56E5"/>
    <w:rsid w:val="000B5CB0"/>
    <w:rsid w:val="000B63F2"/>
    <w:rsid w:val="000B727B"/>
    <w:rsid w:val="000B728F"/>
    <w:rsid w:val="000B7FDC"/>
    <w:rsid w:val="000C0ACC"/>
    <w:rsid w:val="000C0F80"/>
    <w:rsid w:val="000C1296"/>
    <w:rsid w:val="000C1729"/>
    <w:rsid w:val="000C271D"/>
    <w:rsid w:val="000C27DC"/>
    <w:rsid w:val="000C2A00"/>
    <w:rsid w:val="000C2B80"/>
    <w:rsid w:val="000C5260"/>
    <w:rsid w:val="000C5EE7"/>
    <w:rsid w:val="000C75B0"/>
    <w:rsid w:val="000D01E6"/>
    <w:rsid w:val="000D035A"/>
    <w:rsid w:val="000D07E3"/>
    <w:rsid w:val="000D12D3"/>
    <w:rsid w:val="000D1DF3"/>
    <w:rsid w:val="000D2070"/>
    <w:rsid w:val="000D2175"/>
    <w:rsid w:val="000D76F2"/>
    <w:rsid w:val="000E00F6"/>
    <w:rsid w:val="000E127F"/>
    <w:rsid w:val="000E148B"/>
    <w:rsid w:val="000E1CB4"/>
    <w:rsid w:val="000E32DF"/>
    <w:rsid w:val="000E337E"/>
    <w:rsid w:val="000E38D2"/>
    <w:rsid w:val="000E38D3"/>
    <w:rsid w:val="000E4787"/>
    <w:rsid w:val="000E479B"/>
    <w:rsid w:val="000E53A3"/>
    <w:rsid w:val="000E67A4"/>
    <w:rsid w:val="000E7F44"/>
    <w:rsid w:val="000F00BE"/>
    <w:rsid w:val="000F0283"/>
    <w:rsid w:val="000F0358"/>
    <w:rsid w:val="000F08B9"/>
    <w:rsid w:val="000F22CF"/>
    <w:rsid w:val="000F2C3C"/>
    <w:rsid w:val="000F3C37"/>
    <w:rsid w:val="000F40DE"/>
    <w:rsid w:val="000F44FE"/>
    <w:rsid w:val="000F49BC"/>
    <w:rsid w:val="000F5E79"/>
    <w:rsid w:val="000F7A43"/>
    <w:rsid w:val="0010006E"/>
    <w:rsid w:val="00100F54"/>
    <w:rsid w:val="0010188E"/>
    <w:rsid w:val="00101971"/>
    <w:rsid w:val="00102EAD"/>
    <w:rsid w:val="00103107"/>
    <w:rsid w:val="001034AA"/>
    <w:rsid w:val="0010426C"/>
    <w:rsid w:val="0010715F"/>
    <w:rsid w:val="00107644"/>
    <w:rsid w:val="001079C0"/>
    <w:rsid w:val="00107A95"/>
    <w:rsid w:val="001100DB"/>
    <w:rsid w:val="0011139C"/>
    <w:rsid w:val="00111777"/>
    <w:rsid w:val="00112B8B"/>
    <w:rsid w:val="00112F73"/>
    <w:rsid w:val="00113E5A"/>
    <w:rsid w:val="00114CDF"/>
    <w:rsid w:val="00115CC4"/>
    <w:rsid w:val="00115E0F"/>
    <w:rsid w:val="001165D7"/>
    <w:rsid w:val="00116B69"/>
    <w:rsid w:val="001204FF"/>
    <w:rsid w:val="00121087"/>
    <w:rsid w:val="00121941"/>
    <w:rsid w:val="00121A6D"/>
    <w:rsid w:val="00125216"/>
    <w:rsid w:val="001262F4"/>
    <w:rsid w:val="00126D0E"/>
    <w:rsid w:val="001272F7"/>
    <w:rsid w:val="001278C2"/>
    <w:rsid w:val="00132317"/>
    <w:rsid w:val="00132348"/>
    <w:rsid w:val="00132739"/>
    <w:rsid w:val="001338D4"/>
    <w:rsid w:val="00134DCF"/>
    <w:rsid w:val="00134E88"/>
    <w:rsid w:val="00141074"/>
    <w:rsid w:val="0014123D"/>
    <w:rsid w:val="00141869"/>
    <w:rsid w:val="001459D0"/>
    <w:rsid w:val="00145C0A"/>
    <w:rsid w:val="001462E2"/>
    <w:rsid w:val="001463BA"/>
    <w:rsid w:val="00146BC7"/>
    <w:rsid w:val="00147420"/>
    <w:rsid w:val="00147700"/>
    <w:rsid w:val="001518EA"/>
    <w:rsid w:val="00152626"/>
    <w:rsid w:val="00154CF5"/>
    <w:rsid w:val="00155160"/>
    <w:rsid w:val="0015677B"/>
    <w:rsid w:val="00157035"/>
    <w:rsid w:val="001573DA"/>
    <w:rsid w:val="001603EB"/>
    <w:rsid w:val="00160701"/>
    <w:rsid w:val="00160806"/>
    <w:rsid w:val="00161AD1"/>
    <w:rsid w:val="00162200"/>
    <w:rsid w:val="001637F1"/>
    <w:rsid w:val="00164F65"/>
    <w:rsid w:val="001651C8"/>
    <w:rsid w:val="00165F8A"/>
    <w:rsid w:val="00167286"/>
    <w:rsid w:val="00167DD8"/>
    <w:rsid w:val="00170B07"/>
    <w:rsid w:val="00170B74"/>
    <w:rsid w:val="00171E16"/>
    <w:rsid w:val="00172FFB"/>
    <w:rsid w:val="001734CC"/>
    <w:rsid w:val="00173B06"/>
    <w:rsid w:val="00174184"/>
    <w:rsid w:val="00174CB6"/>
    <w:rsid w:val="00174F78"/>
    <w:rsid w:val="0017651F"/>
    <w:rsid w:val="00176F23"/>
    <w:rsid w:val="00177C1B"/>
    <w:rsid w:val="00177F34"/>
    <w:rsid w:val="00180737"/>
    <w:rsid w:val="00181464"/>
    <w:rsid w:val="00183427"/>
    <w:rsid w:val="00183F02"/>
    <w:rsid w:val="00185AC2"/>
    <w:rsid w:val="00186889"/>
    <w:rsid w:val="00187005"/>
    <w:rsid w:val="001873D0"/>
    <w:rsid w:val="00190DCB"/>
    <w:rsid w:val="001915D9"/>
    <w:rsid w:val="001925B5"/>
    <w:rsid w:val="001927A4"/>
    <w:rsid w:val="00195A61"/>
    <w:rsid w:val="00195C59"/>
    <w:rsid w:val="00196754"/>
    <w:rsid w:val="00196A46"/>
    <w:rsid w:val="00196D36"/>
    <w:rsid w:val="0019758D"/>
    <w:rsid w:val="00197B4D"/>
    <w:rsid w:val="001A0FB1"/>
    <w:rsid w:val="001A1CE7"/>
    <w:rsid w:val="001A231C"/>
    <w:rsid w:val="001A27DC"/>
    <w:rsid w:val="001A2CBC"/>
    <w:rsid w:val="001A3165"/>
    <w:rsid w:val="001A6507"/>
    <w:rsid w:val="001A7B4A"/>
    <w:rsid w:val="001A7FC8"/>
    <w:rsid w:val="001B07CC"/>
    <w:rsid w:val="001B0A51"/>
    <w:rsid w:val="001B18ED"/>
    <w:rsid w:val="001B31A2"/>
    <w:rsid w:val="001B34C2"/>
    <w:rsid w:val="001B3730"/>
    <w:rsid w:val="001B4F9E"/>
    <w:rsid w:val="001B586C"/>
    <w:rsid w:val="001B7D50"/>
    <w:rsid w:val="001B7F19"/>
    <w:rsid w:val="001C1268"/>
    <w:rsid w:val="001C198F"/>
    <w:rsid w:val="001C1D5F"/>
    <w:rsid w:val="001C204A"/>
    <w:rsid w:val="001C2591"/>
    <w:rsid w:val="001C25B5"/>
    <w:rsid w:val="001C2F60"/>
    <w:rsid w:val="001C370A"/>
    <w:rsid w:val="001C6EB7"/>
    <w:rsid w:val="001D1212"/>
    <w:rsid w:val="001D191F"/>
    <w:rsid w:val="001D3BF6"/>
    <w:rsid w:val="001D495F"/>
    <w:rsid w:val="001D524B"/>
    <w:rsid w:val="001D5608"/>
    <w:rsid w:val="001D674A"/>
    <w:rsid w:val="001D6AB9"/>
    <w:rsid w:val="001D6D29"/>
    <w:rsid w:val="001D7867"/>
    <w:rsid w:val="001D7A94"/>
    <w:rsid w:val="001E04BE"/>
    <w:rsid w:val="001E2158"/>
    <w:rsid w:val="001E21B9"/>
    <w:rsid w:val="001E24AA"/>
    <w:rsid w:val="001E3300"/>
    <w:rsid w:val="001E330F"/>
    <w:rsid w:val="001E3B02"/>
    <w:rsid w:val="001E4335"/>
    <w:rsid w:val="001E4ECA"/>
    <w:rsid w:val="001E4F8A"/>
    <w:rsid w:val="001E5781"/>
    <w:rsid w:val="001E59FB"/>
    <w:rsid w:val="001E6F95"/>
    <w:rsid w:val="001E7814"/>
    <w:rsid w:val="001E7F28"/>
    <w:rsid w:val="001F01EA"/>
    <w:rsid w:val="001F033B"/>
    <w:rsid w:val="001F1C5B"/>
    <w:rsid w:val="001F1E39"/>
    <w:rsid w:val="001F3C8D"/>
    <w:rsid w:val="001F4027"/>
    <w:rsid w:val="001F4436"/>
    <w:rsid w:val="001F476D"/>
    <w:rsid w:val="001F47FD"/>
    <w:rsid w:val="001F49EF"/>
    <w:rsid w:val="001F57CC"/>
    <w:rsid w:val="001F582C"/>
    <w:rsid w:val="001F5AE2"/>
    <w:rsid w:val="001F6ECE"/>
    <w:rsid w:val="001F73F3"/>
    <w:rsid w:val="002003E1"/>
    <w:rsid w:val="00203AC6"/>
    <w:rsid w:val="00203DD0"/>
    <w:rsid w:val="00203E8A"/>
    <w:rsid w:val="002049A8"/>
    <w:rsid w:val="00204D01"/>
    <w:rsid w:val="00204FA6"/>
    <w:rsid w:val="00207B93"/>
    <w:rsid w:val="0021139E"/>
    <w:rsid w:val="00211B39"/>
    <w:rsid w:val="00211CFA"/>
    <w:rsid w:val="002122D6"/>
    <w:rsid w:val="002127DF"/>
    <w:rsid w:val="0021280A"/>
    <w:rsid w:val="00213B78"/>
    <w:rsid w:val="00215AA8"/>
    <w:rsid w:val="00215B42"/>
    <w:rsid w:val="002162B4"/>
    <w:rsid w:val="0021789E"/>
    <w:rsid w:val="00220126"/>
    <w:rsid w:val="002211AD"/>
    <w:rsid w:val="00221740"/>
    <w:rsid w:val="00221C6F"/>
    <w:rsid w:val="0022323B"/>
    <w:rsid w:val="00223D9B"/>
    <w:rsid w:val="00224118"/>
    <w:rsid w:val="00224EEA"/>
    <w:rsid w:val="00225E66"/>
    <w:rsid w:val="00227E71"/>
    <w:rsid w:val="00230926"/>
    <w:rsid w:val="002311A9"/>
    <w:rsid w:val="00232D4C"/>
    <w:rsid w:val="00233AFC"/>
    <w:rsid w:val="00233C1B"/>
    <w:rsid w:val="0023587F"/>
    <w:rsid w:val="00236180"/>
    <w:rsid w:val="00236321"/>
    <w:rsid w:val="00236C08"/>
    <w:rsid w:val="00237428"/>
    <w:rsid w:val="0023788A"/>
    <w:rsid w:val="00237E4C"/>
    <w:rsid w:val="002407C0"/>
    <w:rsid w:val="00240B8E"/>
    <w:rsid w:val="00241A78"/>
    <w:rsid w:val="00241FA0"/>
    <w:rsid w:val="00242E4A"/>
    <w:rsid w:val="0024717E"/>
    <w:rsid w:val="00247874"/>
    <w:rsid w:val="00250039"/>
    <w:rsid w:val="00250B90"/>
    <w:rsid w:val="00250E04"/>
    <w:rsid w:val="00251352"/>
    <w:rsid w:val="0025194C"/>
    <w:rsid w:val="002521C8"/>
    <w:rsid w:val="002524CF"/>
    <w:rsid w:val="00252BDC"/>
    <w:rsid w:val="002534CD"/>
    <w:rsid w:val="0025392A"/>
    <w:rsid w:val="00253AFC"/>
    <w:rsid w:val="00254AF8"/>
    <w:rsid w:val="00257516"/>
    <w:rsid w:val="00261D01"/>
    <w:rsid w:val="002622DD"/>
    <w:rsid w:val="002623AB"/>
    <w:rsid w:val="00262596"/>
    <w:rsid w:val="0026343F"/>
    <w:rsid w:val="002636B8"/>
    <w:rsid w:val="00263AF3"/>
    <w:rsid w:val="00265AEB"/>
    <w:rsid w:val="00265F17"/>
    <w:rsid w:val="00267485"/>
    <w:rsid w:val="00267E38"/>
    <w:rsid w:val="0027004D"/>
    <w:rsid w:val="00270AED"/>
    <w:rsid w:val="0027266D"/>
    <w:rsid w:val="002733AA"/>
    <w:rsid w:val="00273FA3"/>
    <w:rsid w:val="002744C4"/>
    <w:rsid w:val="0027458D"/>
    <w:rsid w:val="002756C2"/>
    <w:rsid w:val="00275EF4"/>
    <w:rsid w:val="00276477"/>
    <w:rsid w:val="002772D6"/>
    <w:rsid w:val="002774B3"/>
    <w:rsid w:val="00280309"/>
    <w:rsid w:val="00280FA2"/>
    <w:rsid w:val="00282C88"/>
    <w:rsid w:val="0028380D"/>
    <w:rsid w:val="00283B16"/>
    <w:rsid w:val="00283E18"/>
    <w:rsid w:val="00284938"/>
    <w:rsid w:val="00285589"/>
    <w:rsid w:val="00285ABC"/>
    <w:rsid w:val="00285E5B"/>
    <w:rsid w:val="002870BB"/>
    <w:rsid w:val="00287CCA"/>
    <w:rsid w:val="00290033"/>
    <w:rsid w:val="002903F5"/>
    <w:rsid w:val="002904C7"/>
    <w:rsid w:val="0029125F"/>
    <w:rsid w:val="002932AB"/>
    <w:rsid w:val="00293509"/>
    <w:rsid w:val="0029465C"/>
    <w:rsid w:val="00294E77"/>
    <w:rsid w:val="00295A0A"/>
    <w:rsid w:val="00296B4D"/>
    <w:rsid w:val="00297028"/>
    <w:rsid w:val="002971F3"/>
    <w:rsid w:val="002A13BF"/>
    <w:rsid w:val="002A2EE0"/>
    <w:rsid w:val="002A3A6E"/>
    <w:rsid w:val="002A5395"/>
    <w:rsid w:val="002A5626"/>
    <w:rsid w:val="002B0D96"/>
    <w:rsid w:val="002B1035"/>
    <w:rsid w:val="002B22B7"/>
    <w:rsid w:val="002B2556"/>
    <w:rsid w:val="002B2904"/>
    <w:rsid w:val="002B3608"/>
    <w:rsid w:val="002B4366"/>
    <w:rsid w:val="002B59DF"/>
    <w:rsid w:val="002B5BCC"/>
    <w:rsid w:val="002B69FF"/>
    <w:rsid w:val="002B6BA2"/>
    <w:rsid w:val="002B6BF5"/>
    <w:rsid w:val="002B6E13"/>
    <w:rsid w:val="002B6F80"/>
    <w:rsid w:val="002C0A61"/>
    <w:rsid w:val="002C422B"/>
    <w:rsid w:val="002C5621"/>
    <w:rsid w:val="002C57F1"/>
    <w:rsid w:val="002C6532"/>
    <w:rsid w:val="002C67D8"/>
    <w:rsid w:val="002C69A0"/>
    <w:rsid w:val="002C6E40"/>
    <w:rsid w:val="002C70D2"/>
    <w:rsid w:val="002C7B50"/>
    <w:rsid w:val="002D0CCA"/>
    <w:rsid w:val="002D0D28"/>
    <w:rsid w:val="002D1D08"/>
    <w:rsid w:val="002D3368"/>
    <w:rsid w:val="002D405E"/>
    <w:rsid w:val="002D5285"/>
    <w:rsid w:val="002D5967"/>
    <w:rsid w:val="002D5EA9"/>
    <w:rsid w:val="002D724A"/>
    <w:rsid w:val="002D7E69"/>
    <w:rsid w:val="002E0B63"/>
    <w:rsid w:val="002E1F64"/>
    <w:rsid w:val="002E3C5B"/>
    <w:rsid w:val="002E4308"/>
    <w:rsid w:val="002E4883"/>
    <w:rsid w:val="002E58E8"/>
    <w:rsid w:val="002E67F3"/>
    <w:rsid w:val="002F0D1D"/>
    <w:rsid w:val="002F2367"/>
    <w:rsid w:val="002F263D"/>
    <w:rsid w:val="002F28D1"/>
    <w:rsid w:val="002F3BBC"/>
    <w:rsid w:val="002F3D3A"/>
    <w:rsid w:val="002F3EA3"/>
    <w:rsid w:val="002F56CB"/>
    <w:rsid w:val="002F5D51"/>
    <w:rsid w:val="002F7003"/>
    <w:rsid w:val="00302123"/>
    <w:rsid w:val="003022E0"/>
    <w:rsid w:val="00302639"/>
    <w:rsid w:val="00302C03"/>
    <w:rsid w:val="00302ED4"/>
    <w:rsid w:val="0030610B"/>
    <w:rsid w:val="003064E0"/>
    <w:rsid w:val="00306945"/>
    <w:rsid w:val="0030748B"/>
    <w:rsid w:val="003104F3"/>
    <w:rsid w:val="0031138E"/>
    <w:rsid w:val="0031202E"/>
    <w:rsid w:val="003127AA"/>
    <w:rsid w:val="00313468"/>
    <w:rsid w:val="00313AE6"/>
    <w:rsid w:val="0031499B"/>
    <w:rsid w:val="00315262"/>
    <w:rsid w:val="003157E6"/>
    <w:rsid w:val="00316057"/>
    <w:rsid w:val="00316077"/>
    <w:rsid w:val="003163EE"/>
    <w:rsid w:val="00320839"/>
    <w:rsid w:val="00321206"/>
    <w:rsid w:val="00321585"/>
    <w:rsid w:val="003216D6"/>
    <w:rsid w:val="00322582"/>
    <w:rsid w:val="0032283A"/>
    <w:rsid w:val="00323553"/>
    <w:rsid w:val="00324C6A"/>
    <w:rsid w:val="0032646D"/>
    <w:rsid w:val="0032654B"/>
    <w:rsid w:val="0033001E"/>
    <w:rsid w:val="003306D7"/>
    <w:rsid w:val="003310F7"/>
    <w:rsid w:val="0033133A"/>
    <w:rsid w:val="003327C2"/>
    <w:rsid w:val="00332B9B"/>
    <w:rsid w:val="003333E8"/>
    <w:rsid w:val="00333E5B"/>
    <w:rsid w:val="00333F4D"/>
    <w:rsid w:val="003354B5"/>
    <w:rsid w:val="003354F1"/>
    <w:rsid w:val="00335CBF"/>
    <w:rsid w:val="003360DC"/>
    <w:rsid w:val="003365F3"/>
    <w:rsid w:val="00337194"/>
    <w:rsid w:val="00337E1E"/>
    <w:rsid w:val="00340568"/>
    <w:rsid w:val="00341897"/>
    <w:rsid w:val="00342159"/>
    <w:rsid w:val="00342E29"/>
    <w:rsid w:val="003435C7"/>
    <w:rsid w:val="003444C3"/>
    <w:rsid w:val="003448F5"/>
    <w:rsid w:val="00344C4C"/>
    <w:rsid w:val="00345219"/>
    <w:rsid w:val="00345A01"/>
    <w:rsid w:val="00345EB0"/>
    <w:rsid w:val="00347BD6"/>
    <w:rsid w:val="00351938"/>
    <w:rsid w:val="00355435"/>
    <w:rsid w:val="00357C17"/>
    <w:rsid w:val="00357D17"/>
    <w:rsid w:val="003614AD"/>
    <w:rsid w:val="0036289F"/>
    <w:rsid w:val="00363773"/>
    <w:rsid w:val="003638B1"/>
    <w:rsid w:val="00363C99"/>
    <w:rsid w:val="00364008"/>
    <w:rsid w:val="003641BF"/>
    <w:rsid w:val="003642D8"/>
    <w:rsid w:val="003646F7"/>
    <w:rsid w:val="00366E9D"/>
    <w:rsid w:val="0036725F"/>
    <w:rsid w:val="00370749"/>
    <w:rsid w:val="00370937"/>
    <w:rsid w:val="00372195"/>
    <w:rsid w:val="00372F7D"/>
    <w:rsid w:val="003732AB"/>
    <w:rsid w:val="00374DF0"/>
    <w:rsid w:val="00376F03"/>
    <w:rsid w:val="00377407"/>
    <w:rsid w:val="00380B01"/>
    <w:rsid w:val="00380E90"/>
    <w:rsid w:val="00380F1E"/>
    <w:rsid w:val="0038172D"/>
    <w:rsid w:val="00381FC4"/>
    <w:rsid w:val="00382244"/>
    <w:rsid w:val="00382C69"/>
    <w:rsid w:val="00382DAE"/>
    <w:rsid w:val="00382E4D"/>
    <w:rsid w:val="0038315E"/>
    <w:rsid w:val="003840A7"/>
    <w:rsid w:val="00384355"/>
    <w:rsid w:val="003843D5"/>
    <w:rsid w:val="003853DE"/>
    <w:rsid w:val="00385FB8"/>
    <w:rsid w:val="00387468"/>
    <w:rsid w:val="00387593"/>
    <w:rsid w:val="00390135"/>
    <w:rsid w:val="00392518"/>
    <w:rsid w:val="003930A9"/>
    <w:rsid w:val="00393BF4"/>
    <w:rsid w:val="003943BE"/>
    <w:rsid w:val="00395098"/>
    <w:rsid w:val="003963B2"/>
    <w:rsid w:val="00396EF4"/>
    <w:rsid w:val="00397F68"/>
    <w:rsid w:val="003A076D"/>
    <w:rsid w:val="003A0B5C"/>
    <w:rsid w:val="003A10BE"/>
    <w:rsid w:val="003A1CB8"/>
    <w:rsid w:val="003A27B9"/>
    <w:rsid w:val="003A48E0"/>
    <w:rsid w:val="003A4CB2"/>
    <w:rsid w:val="003A4F25"/>
    <w:rsid w:val="003A5F0E"/>
    <w:rsid w:val="003A6150"/>
    <w:rsid w:val="003A6A02"/>
    <w:rsid w:val="003A6B04"/>
    <w:rsid w:val="003A784E"/>
    <w:rsid w:val="003A7ADB"/>
    <w:rsid w:val="003A7C3E"/>
    <w:rsid w:val="003B03AC"/>
    <w:rsid w:val="003B15C3"/>
    <w:rsid w:val="003B1C4F"/>
    <w:rsid w:val="003B1D36"/>
    <w:rsid w:val="003B1D37"/>
    <w:rsid w:val="003B1E81"/>
    <w:rsid w:val="003B2737"/>
    <w:rsid w:val="003B2D90"/>
    <w:rsid w:val="003B3D6B"/>
    <w:rsid w:val="003B4236"/>
    <w:rsid w:val="003B4E4B"/>
    <w:rsid w:val="003B51E1"/>
    <w:rsid w:val="003B6997"/>
    <w:rsid w:val="003B7524"/>
    <w:rsid w:val="003C0868"/>
    <w:rsid w:val="003C0B88"/>
    <w:rsid w:val="003C341C"/>
    <w:rsid w:val="003C42B0"/>
    <w:rsid w:val="003C468E"/>
    <w:rsid w:val="003C64C3"/>
    <w:rsid w:val="003C68A1"/>
    <w:rsid w:val="003C7FF5"/>
    <w:rsid w:val="003D0A85"/>
    <w:rsid w:val="003D2032"/>
    <w:rsid w:val="003D21D3"/>
    <w:rsid w:val="003D24DB"/>
    <w:rsid w:val="003D2556"/>
    <w:rsid w:val="003D2960"/>
    <w:rsid w:val="003D412F"/>
    <w:rsid w:val="003D4AB5"/>
    <w:rsid w:val="003D5E3F"/>
    <w:rsid w:val="003D7C3F"/>
    <w:rsid w:val="003E1243"/>
    <w:rsid w:val="003E2E01"/>
    <w:rsid w:val="003E4125"/>
    <w:rsid w:val="003E4294"/>
    <w:rsid w:val="003E5795"/>
    <w:rsid w:val="003E5904"/>
    <w:rsid w:val="003E5BE4"/>
    <w:rsid w:val="003E6879"/>
    <w:rsid w:val="003E7979"/>
    <w:rsid w:val="003F0FC1"/>
    <w:rsid w:val="003F1765"/>
    <w:rsid w:val="003F214B"/>
    <w:rsid w:val="003F2715"/>
    <w:rsid w:val="003F3A71"/>
    <w:rsid w:val="003F5349"/>
    <w:rsid w:val="003F6E68"/>
    <w:rsid w:val="003F72A7"/>
    <w:rsid w:val="00401688"/>
    <w:rsid w:val="004025E2"/>
    <w:rsid w:val="0040291F"/>
    <w:rsid w:val="00402AA4"/>
    <w:rsid w:val="004045C3"/>
    <w:rsid w:val="00404DD8"/>
    <w:rsid w:val="00405048"/>
    <w:rsid w:val="00405561"/>
    <w:rsid w:val="00405783"/>
    <w:rsid w:val="00405DCB"/>
    <w:rsid w:val="004066E3"/>
    <w:rsid w:val="00407688"/>
    <w:rsid w:val="00407BA3"/>
    <w:rsid w:val="00410F75"/>
    <w:rsid w:val="00410F7F"/>
    <w:rsid w:val="00410F8A"/>
    <w:rsid w:val="004111D0"/>
    <w:rsid w:val="004113B8"/>
    <w:rsid w:val="004115E6"/>
    <w:rsid w:val="00412297"/>
    <w:rsid w:val="0041240D"/>
    <w:rsid w:val="00415C76"/>
    <w:rsid w:val="00416D29"/>
    <w:rsid w:val="00417A56"/>
    <w:rsid w:val="00420E31"/>
    <w:rsid w:val="0042352B"/>
    <w:rsid w:val="0042370D"/>
    <w:rsid w:val="00423B11"/>
    <w:rsid w:val="00425870"/>
    <w:rsid w:val="00425FF6"/>
    <w:rsid w:val="004266B4"/>
    <w:rsid w:val="00426A48"/>
    <w:rsid w:val="00426CB0"/>
    <w:rsid w:val="00427052"/>
    <w:rsid w:val="00427285"/>
    <w:rsid w:val="0042773E"/>
    <w:rsid w:val="00430097"/>
    <w:rsid w:val="004313BD"/>
    <w:rsid w:val="004314F1"/>
    <w:rsid w:val="00433C9B"/>
    <w:rsid w:val="00434C62"/>
    <w:rsid w:val="00435DC6"/>
    <w:rsid w:val="00436AC1"/>
    <w:rsid w:val="004374C5"/>
    <w:rsid w:val="004407DA"/>
    <w:rsid w:val="00440814"/>
    <w:rsid w:val="0044200C"/>
    <w:rsid w:val="004421BE"/>
    <w:rsid w:val="0044260F"/>
    <w:rsid w:val="00443018"/>
    <w:rsid w:val="00443188"/>
    <w:rsid w:val="00444603"/>
    <w:rsid w:val="004446EA"/>
    <w:rsid w:val="00444712"/>
    <w:rsid w:val="00444FA7"/>
    <w:rsid w:val="00445054"/>
    <w:rsid w:val="00445928"/>
    <w:rsid w:val="00447B23"/>
    <w:rsid w:val="00452736"/>
    <w:rsid w:val="004545B5"/>
    <w:rsid w:val="0045612D"/>
    <w:rsid w:val="00456131"/>
    <w:rsid w:val="00456B80"/>
    <w:rsid w:val="00456C80"/>
    <w:rsid w:val="00456EEA"/>
    <w:rsid w:val="0046091D"/>
    <w:rsid w:val="004610B1"/>
    <w:rsid w:val="0046115C"/>
    <w:rsid w:val="00462235"/>
    <w:rsid w:val="004634D6"/>
    <w:rsid w:val="00463CB5"/>
    <w:rsid w:val="00463DD9"/>
    <w:rsid w:val="00464406"/>
    <w:rsid w:val="0046491B"/>
    <w:rsid w:val="00464E57"/>
    <w:rsid w:val="00466357"/>
    <w:rsid w:val="0046683E"/>
    <w:rsid w:val="00466AD4"/>
    <w:rsid w:val="00467696"/>
    <w:rsid w:val="00467A2A"/>
    <w:rsid w:val="00467CF6"/>
    <w:rsid w:val="00467EEE"/>
    <w:rsid w:val="00471CF2"/>
    <w:rsid w:val="00472EA2"/>
    <w:rsid w:val="00472F7E"/>
    <w:rsid w:val="00473631"/>
    <w:rsid w:val="00473786"/>
    <w:rsid w:val="0047437B"/>
    <w:rsid w:val="00474A5F"/>
    <w:rsid w:val="00476527"/>
    <w:rsid w:val="0047686E"/>
    <w:rsid w:val="004818FC"/>
    <w:rsid w:val="00481BB3"/>
    <w:rsid w:val="004828B5"/>
    <w:rsid w:val="00483A81"/>
    <w:rsid w:val="004864F1"/>
    <w:rsid w:val="004868CC"/>
    <w:rsid w:val="00487D63"/>
    <w:rsid w:val="00487F93"/>
    <w:rsid w:val="0049042A"/>
    <w:rsid w:val="004909B5"/>
    <w:rsid w:val="004925CE"/>
    <w:rsid w:val="00492E26"/>
    <w:rsid w:val="00493048"/>
    <w:rsid w:val="004930A2"/>
    <w:rsid w:val="004932F1"/>
    <w:rsid w:val="004938B1"/>
    <w:rsid w:val="00497ED1"/>
    <w:rsid w:val="004A098D"/>
    <w:rsid w:val="004A4C81"/>
    <w:rsid w:val="004A7823"/>
    <w:rsid w:val="004B09F9"/>
    <w:rsid w:val="004B2161"/>
    <w:rsid w:val="004B277F"/>
    <w:rsid w:val="004B3D89"/>
    <w:rsid w:val="004B4A6B"/>
    <w:rsid w:val="004B5C42"/>
    <w:rsid w:val="004B5CF8"/>
    <w:rsid w:val="004B6B3E"/>
    <w:rsid w:val="004B6D2B"/>
    <w:rsid w:val="004B76E3"/>
    <w:rsid w:val="004B7CF3"/>
    <w:rsid w:val="004C04DA"/>
    <w:rsid w:val="004C3022"/>
    <w:rsid w:val="004C3E97"/>
    <w:rsid w:val="004C40DC"/>
    <w:rsid w:val="004C41F3"/>
    <w:rsid w:val="004C49D5"/>
    <w:rsid w:val="004C4EBF"/>
    <w:rsid w:val="004C55AC"/>
    <w:rsid w:val="004C5698"/>
    <w:rsid w:val="004C6474"/>
    <w:rsid w:val="004C6B65"/>
    <w:rsid w:val="004C7755"/>
    <w:rsid w:val="004C7A9C"/>
    <w:rsid w:val="004D0055"/>
    <w:rsid w:val="004D2016"/>
    <w:rsid w:val="004D2481"/>
    <w:rsid w:val="004D2CF1"/>
    <w:rsid w:val="004D3D4A"/>
    <w:rsid w:val="004D5A9F"/>
    <w:rsid w:val="004D764E"/>
    <w:rsid w:val="004E1BC5"/>
    <w:rsid w:val="004E1BD2"/>
    <w:rsid w:val="004E1C96"/>
    <w:rsid w:val="004E2CBE"/>
    <w:rsid w:val="004E380A"/>
    <w:rsid w:val="004E3ABC"/>
    <w:rsid w:val="004E3AC8"/>
    <w:rsid w:val="004E3EA6"/>
    <w:rsid w:val="004E41BB"/>
    <w:rsid w:val="004E5A76"/>
    <w:rsid w:val="004E630C"/>
    <w:rsid w:val="004E666E"/>
    <w:rsid w:val="004E670E"/>
    <w:rsid w:val="004E7F70"/>
    <w:rsid w:val="004F3ACB"/>
    <w:rsid w:val="004F481D"/>
    <w:rsid w:val="004F5B8A"/>
    <w:rsid w:val="004F603B"/>
    <w:rsid w:val="004F62F3"/>
    <w:rsid w:val="005008E0"/>
    <w:rsid w:val="00500926"/>
    <w:rsid w:val="00501C71"/>
    <w:rsid w:val="00502376"/>
    <w:rsid w:val="005030F2"/>
    <w:rsid w:val="0050335E"/>
    <w:rsid w:val="005035BA"/>
    <w:rsid w:val="00503701"/>
    <w:rsid w:val="0050388C"/>
    <w:rsid w:val="00503928"/>
    <w:rsid w:val="00504892"/>
    <w:rsid w:val="0050516E"/>
    <w:rsid w:val="00505206"/>
    <w:rsid w:val="0050582D"/>
    <w:rsid w:val="005060D7"/>
    <w:rsid w:val="00506EF3"/>
    <w:rsid w:val="00507F3F"/>
    <w:rsid w:val="00510149"/>
    <w:rsid w:val="00512326"/>
    <w:rsid w:val="00512949"/>
    <w:rsid w:val="00512E0A"/>
    <w:rsid w:val="00514727"/>
    <w:rsid w:val="00514735"/>
    <w:rsid w:val="00514828"/>
    <w:rsid w:val="00515039"/>
    <w:rsid w:val="00516F8F"/>
    <w:rsid w:val="00521443"/>
    <w:rsid w:val="00521E3D"/>
    <w:rsid w:val="00522062"/>
    <w:rsid w:val="00522711"/>
    <w:rsid w:val="00523E03"/>
    <w:rsid w:val="0052500E"/>
    <w:rsid w:val="005254DB"/>
    <w:rsid w:val="00525DB0"/>
    <w:rsid w:val="00531381"/>
    <w:rsid w:val="005323EC"/>
    <w:rsid w:val="00532A32"/>
    <w:rsid w:val="00534322"/>
    <w:rsid w:val="00534822"/>
    <w:rsid w:val="00534FCE"/>
    <w:rsid w:val="00535164"/>
    <w:rsid w:val="00535C86"/>
    <w:rsid w:val="00535EA0"/>
    <w:rsid w:val="005361E5"/>
    <w:rsid w:val="00536E17"/>
    <w:rsid w:val="00536FB9"/>
    <w:rsid w:val="00540B19"/>
    <w:rsid w:val="00541508"/>
    <w:rsid w:val="005415ED"/>
    <w:rsid w:val="005418D0"/>
    <w:rsid w:val="00543D88"/>
    <w:rsid w:val="00543E9B"/>
    <w:rsid w:val="005442C9"/>
    <w:rsid w:val="0054586C"/>
    <w:rsid w:val="00545DF8"/>
    <w:rsid w:val="0054727B"/>
    <w:rsid w:val="00547A4E"/>
    <w:rsid w:val="00550F50"/>
    <w:rsid w:val="00550F51"/>
    <w:rsid w:val="0055153F"/>
    <w:rsid w:val="0055158C"/>
    <w:rsid w:val="0055174A"/>
    <w:rsid w:val="00551D31"/>
    <w:rsid w:val="00551E30"/>
    <w:rsid w:val="00551E9A"/>
    <w:rsid w:val="0055249E"/>
    <w:rsid w:val="00552570"/>
    <w:rsid w:val="005534D4"/>
    <w:rsid w:val="0055519C"/>
    <w:rsid w:val="00555978"/>
    <w:rsid w:val="0055663C"/>
    <w:rsid w:val="00556E21"/>
    <w:rsid w:val="00557FBD"/>
    <w:rsid w:val="00560453"/>
    <w:rsid w:val="0056105C"/>
    <w:rsid w:val="00563249"/>
    <w:rsid w:val="0056355E"/>
    <w:rsid w:val="0056410A"/>
    <w:rsid w:val="005641CE"/>
    <w:rsid w:val="00564D28"/>
    <w:rsid w:val="00570CFF"/>
    <w:rsid w:val="005740CD"/>
    <w:rsid w:val="005765C2"/>
    <w:rsid w:val="005767C8"/>
    <w:rsid w:val="005771D9"/>
    <w:rsid w:val="00577A7B"/>
    <w:rsid w:val="00577D64"/>
    <w:rsid w:val="00580445"/>
    <w:rsid w:val="005806E6"/>
    <w:rsid w:val="00583C45"/>
    <w:rsid w:val="005854CA"/>
    <w:rsid w:val="0058593E"/>
    <w:rsid w:val="00585EEE"/>
    <w:rsid w:val="005862F0"/>
    <w:rsid w:val="00586828"/>
    <w:rsid w:val="00587083"/>
    <w:rsid w:val="00590620"/>
    <w:rsid w:val="00591FB6"/>
    <w:rsid w:val="005922FC"/>
    <w:rsid w:val="0059249C"/>
    <w:rsid w:val="00592532"/>
    <w:rsid w:val="00592AA5"/>
    <w:rsid w:val="0059473C"/>
    <w:rsid w:val="005A001D"/>
    <w:rsid w:val="005A0073"/>
    <w:rsid w:val="005A1626"/>
    <w:rsid w:val="005A180D"/>
    <w:rsid w:val="005A25C6"/>
    <w:rsid w:val="005A2B64"/>
    <w:rsid w:val="005A3383"/>
    <w:rsid w:val="005A343D"/>
    <w:rsid w:val="005A3788"/>
    <w:rsid w:val="005A4A7D"/>
    <w:rsid w:val="005A4BAB"/>
    <w:rsid w:val="005A67D7"/>
    <w:rsid w:val="005A6C05"/>
    <w:rsid w:val="005A6E2C"/>
    <w:rsid w:val="005A7442"/>
    <w:rsid w:val="005A77DE"/>
    <w:rsid w:val="005B0AEE"/>
    <w:rsid w:val="005B0AFB"/>
    <w:rsid w:val="005B24EA"/>
    <w:rsid w:val="005B24F9"/>
    <w:rsid w:val="005B3EC9"/>
    <w:rsid w:val="005B40D6"/>
    <w:rsid w:val="005B4378"/>
    <w:rsid w:val="005B5C75"/>
    <w:rsid w:val="005B631D"/>
    <w:rsid w:val="005B6FFB"/>
    <w:rsid w:val="005B7B36"/>
    <w:rsid w:val="005B7C63"/>
    <w:rsid w:val="005B7D62"/>
    <w:rsid w:val="005C0180"/>
    <w:rsid w:val="005C0B44"/>
    <w:rsid w:val="005C0D2F"/>
    <w:rsid w:val="005C11FC"/>
    <w:rsid w:val="005C16D5"/>
    <w:rsid w:val="005C1AAA"/>
    <w:rsid w:val="005C1E30"/>
    <w:rsid w:val="005C2012"/>
    <w:rsid w:val="005C21B3"/>
    <w:rsid w:val="005C25A2"/>
    <w:rsid w:val="005C2FBE"/>
    <w:rsid w:val="005C4529"/>
    <w:rsid w:val="005C47B2"/>
    <w:rsid w:val="005C5E37"/>
    <w:rsid w:val="005C5E96"/>
    <w:rsid w:val="005C6380"/>
    <w:rsid w:val="005C712A"/>
    <w:rsid w:val="005D0733"/>
    <w:rsid w:val="005D1BCE"/>
    <w:rsid w:val="005D26A6"/>
    <w:rsid w:val="005D29B7"/>
    <w:rsid w:val="005D2AE6"/>
    <w:rsid w:val="005D2BC6"/>
    <w:rsid w:val="005D3CFF"/>
    <w:rsid w:val="005D3F93"/>
    <w:rsid w:val="005D4AD8"/>
    <w:rsid w:val="005D5639"/>
    <w:rsid w:val="005D59A0"/>
    <w:rsid w:val="005D5DC2"/>
    <w:rsid w:val="005D5E3C"/>
    <w:rsid w:val="005D6AD5"/>
    <w:rsid w:val="005E063A"/>
    <w:rsid w:val="005E0BAB"/>
    <w:rsid w:val="005E19F7"/>
    <w:rsid w:val="005E28F2"/>
    <w:rsid w:val="005E2B53"/>
    <w:rsid w:val="005E2D89"/>
    <w:rsid w:val="005E3218"/>
    <w:rsid w:val="005E4FEA"/>
    <w:rsid w:val="005E5228"/>
    <w:rsid w:val="005E6158"/>
    <w:rsid w:val="005E6C23"/>
    <w:rsid w:val="005E75B6"/>
    <w:rsid w:val="005F0250"/>
    <w:rsid w:val="005F0C19"/>
    <w:rsid w:val="005F0EE7"/>
    <w:rsid w:val="005F14F7"/>
    <w:rsid w:val="005F1C9F"/>
    <w:rsid w:val="005F21A0"/>
    <w:rsid w:val="005F26EF"/>
    <w:rsid w:val="005F276C"/>
    <w:rsid w:val="005F2982"/>
    <w:rsid w:val="005F2EA5"/>
    <w:rsid w:val="005F362F"/>
    <w:rsid w:val="005F3C67"/>
    <w:rsid w:val="005F3DEA"/>
    <w:rsid w:val="005F5A87"/>
    <w:rsid w:val="005F632A"/>
    <w:rsid w:val="005F6CF2"/>
    <w:rsid w:val="005F78AB"/>
    <w:rsid w:val="00600119"/>
    <w:rsid w:val="006007E1"/>
    <w:rsid w:val="00603802"/>
    <w:rsid w:val="00611105"/>
    <w:rsid w:val="00611981"/>
    <w:rsid w:val="00611B52"/>
    <w:rsid w:val="00615079"/>
    <w:rsid w:val="00615934"/>
    <w:rsid w:val="006165B4"/>
    <w:rsid w:val="0061673C"/>
    <w:rsid w:val="0061726E"/>
    <w:rsid w:val="00620F74"/>
    <w:rsid w:val="006228AD"/>
    <w:rsid w:val="006234CB"/>
    <w:rsid w:val="00623B67"/>
    <w:rsid w:val="006240F0"/>
    <w:rsid w:val="00624982"/>
    <w:rsid w:val="00625746"/>
    <w:rsid w:val="00626954"/>
    <w:rsid w:val="00631F17"/>
    <w:rsid w:val="006321E2"/>
    <w:rsid w:val="00632A50"/>
    <w:rsid w:val="00632C30"/>
    <w:rsid w:val="00632FE9"/>
    <w:rsid w:val="00633E74"/>
    <w:rsid w:val="006341A0"/>
    <w:rsid w:val="00635C60"/>
    <w:rsid w:val="0063730E"/>
    <w:rsid w:val="006379AF"/>
    <w:rsid w:val="00640275"/>
    <w:rsid w:val="006402DA"/>
    <w:rsid w:val="00641418"/>
    <w:rsid w:val="006430BE"/>
    <w:rsid w:val="00643A24"/>
    <w:rsid w:val="006452B9"/>
    <w:rsid w:val="006453C5"/>
    <w:rsid w:val="00645F12"/>
    <w:rsid w:val="00645F7F"/>
    <w:rsid w:val="006466B3"/>
    <w:rsid w:val="00646BCA"/>
    <w:rsid w:val="00647062"/>
    <w:rsid w:val="00647934"/>
    <w:rsid w:val="00650144"/>
    <w:rsid w:val="0065080C"/>
    <w:rsid w:val="006515F2"/>
    <w:rsid w:val="00651E24"/>
    <w:rsid w:val="006526F7"/>
    <w:rsid w:val="00652E13"/>
    <w:rsid w:val="00652F1B"/>
    <w:rsid w:val="0065313A"/>
    <w:rsid w:val="00653475"/>
    <w:rsid w:val="006537D6"/>
    <w:rsid w:val="006557AB"/>
    <w:rsid w:val="00656331"/>
    <w:rsid w:val="00656F3A"/>
    <w:rsid w:val="006573D2"/>
    <w:rsid w:val="00657E9A"/>
    <w:rsid w:val="00660026"/>
    <w:rsid w:val="00660039"/>
    <w:rsid w:val="006601C3"/>
    <w:rsid w:val="00660E57"/>
    <w:rsid w:val="00661841"/>
    <w:rsid w:val="00661C64"/>
    <w:rsid w:val="00661FA3"/>
    <w:rsid w:val="00663B20"/>
    <w:rsid w:val="00663F1B"/>
    <w:rsid w:val="00666509"/>
    <w:rsid w:val="0066767F"/>
    <w:rsid w:val="006678C1"/>
    <w:rsid w:val="00670C2A"/>
    <w:rsid w:val="00670C45"/>
    <w:rsid w:val="006722D0"/>
    <w:rsid w:val="00672A9A"/>
    <w:rsid w:val="006730A5"/>
    <w:rsid w:val="00673473"/>
    <w:rsid w:val="006734FA"/>
    <w:rsid w:val="0067390A"/>
    <w:rsid w:val="00673AE6"/>
    <w:rsid w:val="00673CF1"/>
    <w:rsid w:val="00674C77"/>
    <w:rsid w:val="00674F36"/>
    <w:rsid w:val="006754AD"/>
    <w:rsid w:val="006755EB"/>
    <w:rsid w:val="006775B9"/>
    <w:rsid w:val="006777F4"/>
    <w:rsid w:val="006811C5"/>
    <w:rsid w:val="00681ACF"/>
    <w:rsid w:val="00681B7E"/>
    <w:rsid w:val="006826A9"/>
    <w:rsid w:val="00682989"/>
    <w:rsid w:val="00683100"/>
    <w:rsid w:val="00684944"/>
    <w:rsid w:val="00684D5B"/>
    <w:rsid w:val="00684FCD"/>
    <w:rsid w:val="006851BD"/>
    <w:rsid w:val="006853BB"/>
    <w:rsid w:val="00685C95"/>
    <w:rsid w:val="00686388"/>
    <w:rsid w:val="0068664D"/>
    <w:rsid w:val="00686D32"/>
    <w:rsid w:val="0068767F"/>
    <w:rsid w:val="006904F5"/>
    <w:rsid w:val="0069064A"/>
    <w:rsid w:val="00691254"/>
    <w:rsid w:val="0069255D"/>
    <w:rsid w:val="00692EAA"/>
    <w:rsid w:val="00693387"/>
    <w:rsid w:val="0069394B"/>
    <w:rsid w:val="0069398D"/>
    <w:rsid w:val="00693B31"/>
    <w:rsid w:val="00694021"/>
    <w:rsid w:val="00694582"/>
    <w:rsid w:val="006A225A"/>
    <w:rsid w:val="006A2365"/>
    <w:rsid w:val="006A279B"/>
    <w:rsid w:val="006A2D79"/>
    <w:rsid w:val="006A3619"/>
    <w:rsid w:val="006A39FB"/>
    <w:rsid w:val="006A3D95"/>
    <w:rsid w:val="006A3F57"/>
    <w:rsid w:val="006A5ECD"/>
    <w:rsid w:val="006A6DC5"/>
    <w:rsid w:val="006A78D9"/>
    <w:rsid w:val="006B0121"/>
    <w:rsid w:val="006B03A6"/>
    <w:rsid w:val="006B0A76"/>
    <w:rsid w:val="006B0EA3"/>
    <w:rsid w:val="006B0EC2"/>
    <w:rsid w:val="006B0EFD"/>
    <w:rsid w:val="006B3713"/>
    <w:rsid w:val="006B3FC2"/>
    <w:rsid w:val="006B4B91"/>
    <w:rsid w:val="006B51BC"/>
    <w:rsid w:val="006B5E4D"/>
    <w:rsid w:val="006B5FE9"/>
    <w:rsid w:val="006B74AE"/>
    <w:rsid w:val="006B7945"/>
    <w:rsid w:val="006B7B86"/>
    <w:rsid w:val="006B7E3D"/>
    <w:rsid w:val="006C1C64"/>
    <w:rsid w:val="006C3739"/>
    <w:rsid w:val="006C4BD7"/>
    <w:rsid w:val="006C5A20"/>
    <w:rsid w:val="006C654F"/>
    <w:rsid w:val="006C65E6"/>
    <w:rsid w:val="006C79DC"/>
    <w:rsid w:val="006D0D9E"/>
    <w:rsid w:val="006D1214"/>
    <w:rsid w:val="006D23BA"/>
    <w:rsid w:val="006D3700"/>
    <w:rsid w:val="006D3DF2"/>
    <w:rsid w:val="006D4935"/>
    <w:rsid w:val="006D602C"/>
    <w:rsid w:val="006D6030"/>
    <w:rsid w:val="006D6FE2"/>
    <w:rsid w:val="006D7E9E"/>
    <w:rsid w:val="006E0178"/>
    <w:rsid w:val="006E1360"/>
    <w:rsid w:val="006E1588"/>
    <w:rsid w:val="006E1D06"/>
    <w:rsid w:val="006E1F0F"/>
    <w:rsid w:val="006E32DE"/>
    <w:rsid w:val="006E3670"/>
    <w:rsid w:val="006E38DC"/>
    <w:rsid w:val="006E3917"/>
    <w:rsid w:val="006E5BBE"/>
    <w:rsid w:val="006E63B5"/>
    <w:rsid w:val="006E6BDC"/>
    <w:rsid w:val="006E74C6"/>
    <w:rsid w:val="006E7536"/>
    <w:rsid w:val="006F0217"/>
    <w:rsid w:val="006F0ECF"/>
    <w:rsid w:val="006F1BB1"/>
    <w:rsid w:val="006F2840"/>
    <w:rsid w:val="006F2B0E"/>
    <w:rsid w:val="006F2F77"/>
    <w:rsid w:val="006F3B1E"/>
    <w:rsid w:val="006F428D"/>
    <w:rsid w:val="006F50CF"/>
    <w:rsid w:val="006F58C5"/>
    <w:rsid w:val="006F58FC"/>
    <w:rsid w:val="006F5D0B"/>
    <w:rsid w:val="006F64C6"/>
    <w:rsid w:val="006F7B98"/>
    <w:rsid w:val="006F7BE3"/>
    <w:rsid w:val="006F7DD4"/>
    <w:rsid w:val="00702DED"/>
    <w:rsid w:val="0070310A"/>
    <w:rsid w:val="007048A7"/>
    <w:rsid w:val="00704CEE"/>
    <w:rsid w:val="00706BA3"/>
    <w:rsid w:val="00710C1A"/>
    <w:rsid w:val="007124F9"/>
    <w:rsid w:val="00713F8E"/>
    <w:rsid w:val="00714267"/>
    <w:rsid w:val="007153FB"/>
    <w:rsid w:val="007167B7"/>
    <w:rsid w:val="00720B71"/>
    <w:rsid w:val="0072141A"/>
    <w:rsid w:val="00723216"/>
    <w:rsid w:val="007232AA"/>
    <w:rsid w:val="00723572"/>
    <w:rsid w:val="00723845"/>
    <w:rsid w:val="00723D3C"/>
    <w:rsid w:val="0072440B"/>
    <w:rsid w:val="007246C7"/>
    <w:rsid w:val="00725614"/>
    <w:rsid w:val="00726041"/>
    <w:rsid w:val="00726C85"/>
    <w:rsid w:val="007278D1"/>
    <w:rsid w:val="00727BCA"/>
    <w:rsid w:val="00727F16"/>
    <w:rsid w:val="00730069"/>
    <w:rsid w:val="00730CFD"/>
    <w:rsid w:val="00730FCD"/>
    <w:rsid w:val="00732A6B"/>
    <w:rsid w:val="007339DB"/>
    <w:rsid w:val="00734425"/>
    <w:rsid w:val="00734F95"/>
    <w:rsid w:val="00735E82"/>
    <w:rsid w:val="007369F2"/>
    <w:rsid w:val="00737CB3"/>
    <w:rsid w:val="00737CBD"/>
    <w:rsid w:val="0074014E"/>
    <w:rsid w:val="0074084F"/>
    <w:rsid w:val="0074115C"/>
    <w:rsid w:val="00741811"/>
    <w:rsid w:val="007419A4"/>
    <w:rsid w:val="007425EC"/>
    <w:rsid w:val="007432CD"/>
    <w:rsid w:val="00743334"/>
    <w:rsid w:val="00743A9C"/>
    <w:rsid w:val="007442F7"/>
    <w:rsid w:val="00744897"/>
    <w:rsid w:val="00745B6B"/>
    <w:rsid w:val="0074634A"/>
    <w:rsid w:val="007469DD"/>
    <w:rsid w:val="007476A3"/>
    <w:rsid w:val="007518C7"/>
    <w:rsid w:val="007522B6"/>
    <w:rsid w:val="00752D36"/>
    <w:rsid w:val="00753948"/>
    <w:rsid w:val="00753EA2"/>
    <w:rsid w:val="007540C4"/>
    <w:rsid w:val="007545BE"/>
    <w:rsid w:val="007546A3"/>
    <w:rsid w:val="00755922"/>
    <w:rsid w:val="00755E0D"/>
    <w:rsid w:val="00756424"/>
    <w:rsid w:val="007569F0"/>
    <w:rsid w:val="00757F8D"/>
    <w:rsid w:val="007604D6"/>
    <w:rsid w:val="00760855"/>
    <w:rsid w:val="0076105D"/>
    <w:rsid w:val="0076227A"/>
    <w:rsid w:val="00764164"/>
    <w:rsid w:val="0076487C"/>
    <w:rsid w:val="0076507A"/>
    <w:rsid w:val="007659BD"/>
    <w:rsid w:val="00765EBE"/>
    <w:rsid w:val="00766BE2"/>
    <w:rsid w:val="00766C8C"/>
    <w:rsid w:val="00767694"/>
    <w:rsid w:val="00767C4C"/>
    <w:rsid w:val="00767F84"/>
    <w:rsid w:val="00770088"/>
    <w:rsid w:val="00770CBA"/>
    <w:rsid w:val="0077152A"/>
    <w:rsid w:val="00771AA5"/>
    <w:rsid w:val="00773259"/>
    <w:rsid w:val="00773C14"/>
    <w:rsid w:val="0077405C"/>
    <w:rsid w:val="00774862"/>
    <w:rsid w:val="007759A8"/>
    <w:rsid w:val="00775A59"/>
    <w:rsid w:val="00775E8D"/>
    <w:rsid w:val="0077654B"/>
    <w:rsid w:val="00776BAD"/>
    <w:rsid w:val="00780392"/>
    <w:rsid w:val="0078085E"/>
    <w:rsid w:val="0078253F"/>
    <w:rsid w:val="00783C6B"/>
    <w:rsid w:val="00783C89"/>
    <w:rsid w:val="00784386"/>
    <w:rsid w:val="00784466"/>
    <w:rsid w:val="0078477A"/>
    <w:rsid w:val="00785739"/>
    <w:rsid w:val="00786BC6"/>
    <w:rsid w:val="00790D8B"/>
    <w:rsid w:val="00791829"/>
    <w:rsid w:val="00791B78"/>
    <w:rsid w:val="00792F1E"/>
    <w:rsid w:val="0079415B"/>
    <w:rsid w:val="0079422E"/>
    <w:rsid w:val="0079455E"/>
    <w:rsid w:val="007953B2"/>
    <w:rsid w:val="0079621A"/>
    <w:rsid w:val="0079766D"/>
    <w:rsid w:val="007A08B7"/>
    <w:rsid w:val="007A120A"/>
    <w:rsid w:val="007A1860"/>
    <w:rsid w:val="007A36DD"/>
    <w:rsid w:val="007A3AEA"/>
    <w:rsid w:val="007A425F"/>
    <w:rsid w:val="007A5519"/>
    <w:rsid w:val="007A5FB5"/>
    <w:rsid w:val="007A6107"/>
    <w:rsid w:val="007A61C5"/>
    <w:rsid w:val="007A6C40"/>
    <w:rsid w:val="007A71D1"/>
    <w:rsid w:val="007B0A5E"/>
    <w:rsid w:val="007B0BA3"/>
    <w:rsid w:val="007B0BF1"/>
    <w:rsid w:val="007B147B"/>
    <w:rsid w:val="007B1662"/>
    <w:rsid w:val="007B27C5"/>
    <w:rsid w:val="007B4461"/>
    <w:rsid w:val="007B462D"/>
    <w:rsid w:val="007B5DEE"/>
    <w:rsid w:val="007B6268"/>
    <w:rsid w:val="007B6BAC"/>
    <w:rsid w:val="007B7689"/>
    <w:rsid w:val="007B7D8D"/>
    <w:rsid w:val="007C1786"/>
    <w:rsid w:val="007C1BF5"/>
    <w:rsid w:val="007C2548"/>
    <w:rsid w:val="007C2696"/>
    <w:rsid w:val="007C2844"/>
    <w:rsid w:val="007C2A00"/>
    <w:rsid w:val="007C2C51"/>
    <w:rsid w:val="007C2C7B"/>
    <w:rsid w:val="007C36B3"/>
    <w:rsid w:val="007C37A4"/>
    <w:rsid w:val="007C4259"/>
    <w:rsid w:val="007C4639"/>
    <w:rsid w:val="007C5F4B"/>
    <w:rsid w:val="007C69E0"/>
    <w:rsid w:val="007C78F4"/>
    <w:rsid w:val="007D0CF2"/>
    <w:rsid w:val="007D16E2"/>
    <w:rsid w:val="007D2E60"/>
    <w:rsid w:val="007D34E9"/>
    <w:rsid w:val="007D3675"/>
    <w:rsid w:val="007D3AD8"/>
    <w:rsid w:val="007D4280"/>
    <w:rsid w:val="007D590F"/>
    <w:rsid w:val="007D5962"/>
    <w:rsid w:val="007D6908"/>
    <w:rsid w:val="007D6A88"/>
    <w:rsid w:val="007D7BB6"/>
    <w:rsid w:val="007E0963"/>
    <w:rsid w:val="007E1825"/>
    <w:rsid w:val="007E331D"/>
    <w:rsid w:val="007E4559"/>
    <w:rsid w:val="007E477F"/>
    <w:rsid w:val="007E4DA9"/>
    <w:rsid w:val="007E52F7"/>
    <w:rsid w:val="007E5610"/>
    <w:rsid w:val="007E67E3"/>
    <w:rsid w:val="007E7380"/>
    <w:rsid w:val="007E75F4"/>
    <w:rsid w:val="007E789B"/>
    <w:rsid w:val="007E7CE8"/>
    <w:rsid w:val="007F3FE5"/>
    <w:rsid w:val="007F499A"/>
    <w:rsid w:val="007F64F0"/>
    <w:rsid w:val="007F7ECF"/>
    <w:rsid w:val="00800740"/>
    <w:rsid w:val="00800D08"/>
    <w:rsid w:val="00801338"/>
    <w:rsid w:val="00801AE0"/>
    <w:rsid w:val="00802533"/>
    <w:rsid w:val="00804555"/>
    <w:rsid w:val="00804592"/>
    <w:rsid w:val="00810720"/>
    <w:rsid w:val="008111F9"/>
    <w:rsid w:val="0081353D"/>
    <w:rsid w:val="008148E3"/>
    <w:rsid w:val="008149AA"/>
    <w:rsid w:val="008154A8"/>
    <w:rsid w:val="0081597F"/>
    <w:rsid w:val="00815F2A"/>
    <w:rsid w:val="00816F7B"/>
    <w:rsid w:val="0082061A"/>
    <w:rsid w:val="00820A3E"/>
    <w:rsid w:val="00821A2C"/>
    <w:rsid w:val="00822852"/>
    <w:rsid w:val="008244F6"/>
    <w:rsid w:val="00824C67"/>
    <w:rsid w:val="0082563B"/>
    <w:rsid w:val="00825814"/>
    <w:rsid w:val="008265E8"/>
    <w:rsid w:val="008268EB"/>
    <w:rsid w:val="0082759F"/>
    <w:rsid w:val="00827911"/>
    <w:rsid w:val="00827E8C"/>
    <w:rsid w:val="00827E9E"/>
    <w:rsid w:val="00831261"/>
    <w:rsid w:val="00832C6E"/>
    <w:rsid w:val="00832F46"/>
    <w:rsid w:val="00834AB7"/>
    <w:rsid w:val="0083616D"/>
    <w:rsid w:val="00836E13"/>
    <w:rsid w:val="00837DC3"/>
    <w:rsid w:val="00840578"/>
    <w:rsid w:val="008406BA"/>
    <w:rsid w:val="00840B97"/>
    <w:rsid w:val="00841094"/>
    <w:rsid w:val="00841DEE"/>
    <w:rsid w:val="008423C2"/>
    <w:rsid w:val="0084343F"/>
    <w:rsid w:val="0084467C"/>
    <w:rsid w:val="00844AF2"/>
    <w:rsid w:val="00844DB9"/>
    <w:rsid w:val="008452FA"/>
    <w:rsid w:val="00845668"/>
    <w:rsid w:val="00847BDC"/>
    <w:rsid w:val="00847D82"/>
    <w:rsid w:val="008500B4"/>
    <w:rsid w:val="008503AE"/>
    <w:rsid w:val="0085092C"/>
    <w:rsid w:val="00852506"/>
    <w:rsid w:val="00852B0D"/>
    <w:rsid w:val="0085319F"/>
    <w:rsid w:val="00853310"/>
    <w:rsid w:val="008535A5"/>
    <w:rsid w:val="00853657"/>
    <w:rsid w:val="008542E4"/>
    <w:rsid w:val="0085551E"/>
    <w:rsid w:val="008573CB"/>
    <w:rsid w:val="00857BFB"/>
    <w:rsid w:val="008603F5"/>
    <w:rsid w:val="00861401"/>
    <w:rsid w:val="008615D0"/>
    <w:rsid w:val="00861AFC"/>
    <w:rsid w:val="008621B4"/>
    <w:rsid w:val="00862260"/>
    <w:rsid w:val="00863030"/>
    <w:rsid w:val="00863759"/>
    <w:rsid w:val="008652E5"/>
    <w:rsid w:val="00865CA6"/>
    <w:rsid w:val="0086658B"/>
    <w:rsid w:val="00866E67"/>
    <w:rsid w:val="00870A5D"/>
    <w:rsid w:val="00870BD1"/>
    <w:rsid w:val="0087182D"/>
    <w:rsid w:val="00872205"/>
    <w:rsid w:val="00872DA0"/>
    <w:rsid w:val="00873083"/>
    <w:rsid w:val="0087353F"/>
    <w:rsid w:val="00873CE6"/>
    <w:rsid w:val="00875609"/>
    <w:rsid w:val="0087560F"/>
    <w:rsid w:val="0087637B"/>
    <w:rsid w:val="0087688C"/>
    <w:rsid w:val="00876C91"/>
    <w:rsid w:val="00877448"/>
    <w:rsid w:val="00877710"/>
    <w:rsid w:val="00880C19"/>
    <w:rsid w:val="0088182B"/>
    <w:rsid w:val="00881C10"/>
    <w:rsid w:val="00881DE4"/>
    <w:rsid w:val="00882436"/>
    <w:rsid w:val="0088428B"/>
    <w:rsid w:val="00884E57"/>
    <w:rsid w:val="00885213"/>
    <w:rsid w:val="00885C9F"/>
    <w:rsid w:val="008868D4"/>
    <w:rsid w:val="008870E6"/>
    <w:rsid w:val="0088745B"/>
    <w:rsid w:val="00887640"/>
    <w:rsid w:val="00890053"/>
    <w:rsid w:val="008902A5"/>
    <w:rsid w:val="00891697"/>
    <w:rsid w:val="008922C8"/>
    <w:rsid w:val="008924B3"/>
    <w:rsid w:val="008930AC"/>
    <w:rsid w:val="00894688"/>
    <w:rsid w:val="008953C5"/>
    <w:rsid w:val="008954EB"/>
    <w:rsid w:val="008955B6"/>
    <w:rsid w:val="00896E15"/>
    <w:rsid w:val="008A0472"/>
    <w:rsid w:val="008A1B8A"/>
    <w:rsid w:val="008A2561"/>
    <w:rsid w:val="008A2B87"/>
    <w:rsid w:val="008A3948"/>
    <w:rsid w:val="008A505F"/>
    <w:rsid w:val="008A58C7"/>
    <w:rsid w:val="008A611F"/>
    <w:rsid w:val="008A6513"/>
    <w:rsid w:val="008A663F"/>
    <w:rsid w:val="008A6BFD"/>
    <w:rsid w:val="008A7A38"/>
    <w:rsid w:val="008B0E16"/>
    <w:rsid w:val="008B1672"/>
    <w:rsid w:val="008B2031"/>
    <w:rsid w:val="008B2480"/>
    <w:rsid w:val="008B3212"/>
    <w:rsid w:val="008B374F"/>
    <w:rsid w:val="008B3E1D"/>
    <w:rsid w:val="008B4201"/>
    <w:rsid w:val="008B4F94"/>
    <w:rsid w:val="008B50C3"/>
    <w:rsid w:val="008B5579"/>
    <w:rsid w:val="008B578B"/>
    <w:rsid w:val="008B697F"/>
    <w:rsid w:val="008C245F"/>
    <w:rsid w:val="008C3E88"/>
    <w:rsid w:val="008C4525"/>
    <w:rsid w:val="008C492A"/>
    <w:rsid w:val="008C556B"/>
    <w:rsid w:val="008C6299"/>
    <w:rsid w:val="008C6595"/>
    <w:rsid w:val="008C6F2C"/>
    <w:rsid w:val="008C7356"/>
    <w:rsid w:val="008C75F9"/>
    <w:rsid w:val="008D03D0"/>
    <w:rsid w:val="008D122F"/>
    <w:rsid w:val="008D27F2"/>
    <w:rsid w:val="008D29F4"/>
    <w:rsid w:val="008D3943"/>
    <w:rsid w:val="008D63E8"/>
    <w:rsid w:val="008D6508"/>
    <w:rsid w:val="008D6937"/>
    <w:rsid w:val="008D70F0"/>
    <w:rsid w:val="008D7A55"/>
    <w:rsid w:val="008E058D"/>
    <w:rsid w:val="008E1917"/>
    <w:rsid w:val="008E218E"/>
    <w:rsid w:val="008E3FA9"/>
    <w:rsid w:val="008E4DFB"/>
    <w:rsid w:val="008E550F"/>
    <w:rsid w:val="008E589C"/>
    <w:rsid w:val="008E5E42"/>
    <w:rsid w:val="008E6907"/>
    <w:rsid w:val="008E7CB1"/>
    <w:rsid w:val="008E7CF5"/>
    <w:rsid w:val="008F0D6C"/>
    <w:rsid w:val="008F272D"/>
    <w:rsid w:val="008F2BA0"/>
    <w:rsid w:val="008F4399"/>
    <w:rsid w:val="008F4B37"/>
    <w:rsid w:val="008F5A3C"/>
    <w:rsid w:val="008F5FFC"/>
    <w:rsid w:val="008F635C"/>
    <w:rsid w:val="008F6548"/>
    <w:rsid w:val="008F6AE4"/>
    <w:rsid w:val="008F749A"/>
    <w:rsid w:val="008F7A82"/>
    <w:rsid w:val="009018DD"/>
    <w:rsid w:val="00901ACA"/>
    <w:rsid w:val="009029CE"/>
    <w:rsid w:val="009029FC"/>
    <w:rsid w:val="00902C88"/>
    <w:rsid w:val="009038BD"/>
    <w:rsid w:val="00904D45"/>
    <w:rsid w:val="009061B3"/>
    <w:rsid w:val="00906B94"/>
    <w:rsid w:val="0090793B"/>
    <w:rsid w:val="00910C52"/>
    <w:rsid w:val="00911538"/>
    <w:rsid w:val="00914CF3"/>
    <w:rsid w:val="009152D2"/>
    <w:rsid w:val="0091548F"/>
    <w:rsid w:val="009155D0"/>
    <w:rsid w:val="009156E1"/>
    <w:rsid w:val="00920763"/>
    <w:rsid w:val="009209B3"/>
    <w:rsid w:val="00920EA3"/>
    <w:rsid w:val="0092344A"/>
    <w:rsid w:val="009238EC"/>
    <w:rsid w:val="00924886"/>
    <w:rsid w:val="00924925"/>
    <w:rsid w:val="0092532F"/>
    <w:rsid w:val="00925467"/>
    <w:rsid w:val="00926367"/>
    <w:rsid w:val="00926CCD"/>
    <w:rsid w:val="00930063"/>
    <w:rsid w:val="00930839"/>
    <w:rsid w:val="009308F2"/>
    <w:rsid w:val="00930C18"/>
    <w:rsid w:val="0093172C"/>
    <w:rsid w:val="009318A3"/>
    <w:rsid w:val="0093190D"/>
    <w:rsid w:val="00931D78"/>
    <w:rsid w:val="00932614"/>
    <w:rsid w:val="009338D6"/>
    <w:rsid w:val="0093769F"/>
    <w:rsid w:val="009376D7"/>
    <w:rsid w:val="00937F69"/>
    <w:rsid w:val="009403EC"/>
    <w:rsid w:val="009405EC"/>
    <w:rsid w:val="009416A2"/>
    <w:rsid w:val="009416E8"/>
    <w:rsid w:val="009424A0"/>
    <w:rsid w:val="00943002"/>
    <w:rsid w:val="009436EA"/>
    <w:rsid w:val="00944450"/>
    <w:rsid w:val="00945242"/>
    <w:rsid w:val="009452DC"/>
    <w:rsid w:val="00945AC9"/>
    <w:rsid w:val="00945EB8"/>
    <w:rsid w:val="00947546"/>
    <w:rsid w:val="00947E26"/>
    <w:rsid w:val="00951026"/>
    <w:rsid w:val="009517B4"/>
    <w:rsid w:val="00952DAC"/>
    <w:rsid w:val="00953428"/>
    <w:rsid w:val="00953543"/>
    <w:rsid w:val="00954BA9"/>
    <w:rsid w:val="00955997"/>
    <w:rsid w:val="00956225"/>
    <w:rsid w:val="00956E36"/>
    <w:rsid w:val="0095794A"/>
    <w:rsid w:val="009607CA"/>
    <w:rsid w:val="00961892"/>
    <w:rsid w:val="00961AEB"/>
    <w:rsid w:val="00961F00"/>
    <w:rsid w:val="009632A6"/>
    <w:rsid w:val="0096354B"/>
    <w:rsid w:val="00963929"/>
    <w:rsid w:val="00963BA1"/>
    <w:rsid w:val="00963FF0"/>
    <w:rsid w:val="00964076"/>
    <w:rsid w:val="00966B5B"/>
    <w:rsid w:val="00967137"/>
    <w:rsid w:val="00967A6C"/>
    <w:rsid w:val="00970287"/>
    <w:rsid w:val="00971459"/>
    <w:rsid w:val="00971E87"/>
    <w:rsid w:val="00972F14"/>
    <w:rsid w:val="0097330C"/>
    <w:rsid w:val="00973847"/>
    <w:rsid w:val="0097465B"/>
    <w:rsid w:val="009777A5"/>
    <w:rsid w:val="0097786D"/>
    <w:rsid w:val="00980F96"/>
    <w:rsid w:val="00981085"/>
    <w:rsid w:val="009817A6"/>
    <w:rsid w:val="00982734"/>
    <w:rsid w:val="0098318C"/>
    <w:rsid w:val="00983C70"/>
    <w:rsid w:val="00983CE2"/>
    <w:rsid w:val="00984620"/>
    <w:rsid w:val="00985EEB"/>
    <w:rsid w:val="00987269"/>
    <w:rsid w:val="00987E0A"/>
    <w:rsid w:val="00990274"/>
    <w:rsid w:val="00990E2E"/>
    <w:rsid w:val="009931D4"/>
    <w:rsid w:val="00993F31"/>
    <w:rsid w:val="009942D4"/>
    <w:rsid w:val="00995D51"/>
    <w:rsid w:val="00996777"/>
    <w:rsid w:val="00997A54"/>
    <w:rsid w:val="009A29F9"/>
    <w:rsid w:val="009A63FF"/>
    <w:rsid w:val="009A683F"/>
    <w:rsid w:val="009A6DCF"/>
    <w:rsid w:val="009A7EE6"/>
    <w:rsid w:val="009B088E"/>
    <w:rsid w:val="009B0D9B"/>
    <w:rsid w:val="009B2BAF"/>
    <w:rsid w:val="009B3940"/>
    <w:rsid w:val="009B4BE0"/>
    <w:rsid w:val="009B5582"/>
    <w:rsid w:val="009B674D"/>
    <w:rsid w:val="009B7522"/>
    <w:rsid w:val="009B7AFD"/>
    <w:rsid w:val="009B7DFD"/>
    <w:rsid w:val="009C065B"/>
    <w:rsid w:val="009C19C8"/>
    <w:rsid w:val="009C267F"/>
    <w:rsid w:val="009C2C53"/>
    <w:rsid w:val="009C44E6"/>
    <w:rsid w:val="009C5137"/>
    <w:rsid w:val="009C58F1"/>
    <w:rsid w:val="009C6031"/>
    <w:rsid w:val="009C6E55"/>
    <w:rsid w:val="009D0871"/>
    <w:rsid w:val="009D0991"/>
    <w:rsid w:val="009D1796"/>
    <w:rsid w:val="009D1A73"/>
    <w:rsid w:val="009D2DE7"/>
    <w:rsid w:val="009D423D"/>
    <w:rsid w:val="009D4741"/>
    <w:rsid w:val="009D58C6"/>
    <w:rsid w:val="009D5932"/>
    <w:rsid w:val="009D6036"/>
    <w:rsid w:val="009D6056"/>
    <w:rsid w:val="009D6AA1"/>
    <w:rsid w:val="009D6AE8"/>
    <w:rsid w:val="009D7072"/>
    <w:rsid w:val="009D738B"/>
    <w:rsid w:val="009D7CDB"/>
    <w:rsid w:val="009D7F05"/>
    <w:rsid w:val="009E0697"/>
    <w:rsid w:val="009E197D"/>
    <w:rsid w:val="009E2458"/>
    <w:rsid w:val="009E3450"/>
    <w:rsid w:val="009E36ED"/>
    <w:rsid w:val="009E3C5E"/>
    <w:rsid w:val="009E5529"/>
    <w:rsid w:val="009F0E56"/>
    <w:rsid w:val="009F1472"/>
    <w:rsid w:val="009F1D55"/>
    <w:rsid w:val="009F1D69"/>
    <w:rsid w:val="009F2593"/>
    <w:rsid w:val="009F300B"/>
    <w:rsid w:val="009F37C0"/>
    <w:rsid w:val="009F439F"/>
    <w:rsid w:val="009F5851"/>
    <w:rsid w:val="009F58A1"/>
    <w:rsid w:val="009F6416"/>
    <w:rsid w:val="009F6E9D"/>
    <w:rsid w:val="009F73A9"/>
    <w:rsid w:val="009F7422"/>
    <w:rsid w:val="009F7474"/>
    <w:rsid w:val="00A014B9"/>
    <w:rsid w:val="00A01AF8"/>
    <w:rsid w:val="00A01DE1"/>
    <w:rsid w:val="00A03912"/>
    <w:rsid w:val="00A041D9"/>
    <w:rsid w:val="00A047A3"/>
    <w:rsid w:val="00A051A9"/>
    <w:rsid w:val="00A0525F"/>
    <w:rsid w:val="00A05313"/>
    <w:rsid w:val="00A06117"/>
    <w:rsid w:val="00A068E5"/>
    <w:rsid w:val="00A10458"/>
    <w:rsid w:val="00A10EDA"/>
    <w:rsid w:val="00A11081"/>
    <w:rsid w:val="00A110C5"/>
    <w:rsid w:val="00A13663"/>
    <w:rsid w:val="00A14DE9"/>
    <w:rsid w:val="00A151A9"/>
    <w:rsid w:val="00A157E9"/>
    <w:rsid w:val="00A1597E"/>
    <w:rsid w:val="00A15E8F"/>
    <w:rsid w:val="00A15F47"/>
    <w:rsid w:val="00A15FE1"/>
    <w:rsid w:val="00A16C34"/>
    <w:rsid w:val="00A17B26"/>
    <w:rsid w:val="00A20105"/>
    <w:rsid w:val="00A211D8"/>
    <w:rsid w:val="00A21233"/>
    <w:rsid w:val="00A214F2"/>
    <w:rsid w:val="00A2346A"/>
    <w:rsid w:val="00A2399C"/>
    <w:rsid w:val="00A23C8C"/>
    <w:rsid w:val="00A249E7"/>
    <w:rsid w:val="00A24E6F"/>
    <w:rsid w:val="00A25604"/>
    <w:rsid w:val="00A25D6D"/>
    <w:rsid w:val="00A26A3C"/>
    <w:rsid w:val="00A270FF"/>
    <w:rsid w:val="00A27770"/>
    <w:rsid w:val="00A279FA"/>
    <w:rsid w:val="00A308DA"/>
    <w:rsid w:val="00A31F8D"/>
    <w:rsid w:val="00A33979"/>
    <w:rsid w:val="00A34817"/>
    <w:rsid w:val="00A348C3"/>
    <w:rsid w:val="00A35418"/>
    <w:rsid w:val="00A35A9C"/>
    <w:rsid w:val="00A364EC"/>
    <w:rsid w:val="00A372DE"/>
    <w:rsid w:val="00A37CCD"/>
    <w:rsid w:val="00A413D3"/>
    <w:rsid w:val="00A435F2"/>
    <w:rsid w:val="00A442E3"/>
    <w:rsid w:val="00A44446"/>
    <w:rsid w:val="00A4456D"/>
    <w:rsid w:val="00A4769F"/>
    <w:rsid w:val="00A47756"/>
    <w:rsid w:val="00A47B9F"/>
    <w:rsid w:val="00A47BC6"/>
    <w:rsid w:val="00A47CE8"/>
    <w:rsid w:val="00A50314"/>
    <w:rsid w:val="00A50875"/>
    <w:rsid w:val="00A52F6F"/>
    <w:rsid w:val="00A53176"/>
    <w:rsid w:val="00A5572D"/>
    <w:rsid w:val="00A55765"/>
    <w:rsid w:val="00A55FFF"/>
    <w:rsid w:val="00A60925"/>
    <w:rsid w:val="00A60D5A"/>
    <w:rsid w:val="00A614C2"/>
    <w:rsid w:val="00A6158B"/>
    <w:rsid w:val="00A61E5E"/>
    <w:rsid w:val="00A61E89"/>
    <w:rsid w:val="00A61F79"/>
    <w:rsid w:val="00A62350"/>
    <w:rsid w:val="00A62670"/>
    <w:rsid w:val="00A65955"/>
    <w:rsid w:val="00A670B6"/>
    <w:rsid w:val="00A67897"/>
    <w:rsid w:val="00A7047C"/>
    <w:rsid w:val="00A70F79"/>
    <w:rsid w:val="00A722CE"/>
    <w:rsid w:val="00A73F02"/>
    <w:rsid w:val="00A750F1"/>
    <w:rsid w:val="00A75404"/>
    <w:rsid w:val="00A76169"/>
    <w:rsid w:val="00A77F38"/>
    <w:rsid w:val="00A804E5"/>
    <w:rsid w:val="00A8066A"/>
    <w:rsid w:val="00A83604"/>
    <w:rsid w:val="00A856EE"/>
    <w:rsid w:val="00A86784"/>
    <w:rsid w:val="00A876E9"/>
    <w:rsid w:val="00A90500"/>
    <w:rsid w:val="00A92EB8"/>
    <w:rsid w:val="00A94536"/>
    <w:rsid w:val="00A94E95"/>
    <w:rsid w:val="00A95A02"/>
    <w:rsid w:val="00A9684A"/>
    <w:rsid w:val="00A96E19"/>
    <w:rsid w:val="00A96E3B"/>
    <w:rsid w:val="00A97CD4"/>
    <w:rsid w:val="00AA181B"/>
    <w:rsid w:val="00AA200D"/>
    <w:rsid w:val="00AA291B"/>
    <w:rsid w:val="00AA346E"/>
    <w:rsid w:val="00AA4610"/>
    <w:rsid w:val="00AA496C"/>
    <w:rsid w:val="00AA7938"/>
    <w:rsid w:val="00AB0B91"/>
    <w:rsid w:val="00AB1653"/>
    <w:rsid w:val="00AB335E"/>
    <w:rsid w:val="00AB40FF"/>
    <w:rsid w:val="00AB5F4D"/>
    <w:rsid w:val="00AB6963"/>
    <w:rsid w:val="00AB7125"/>
    <w:rsid w:val="00AB7244"/>
    <w:rsid w:val="00AC0D35"/>
    <w:rsid w:val="00AC16B9"/>
    <w:rsid w:val="00AC1AE9"/>
    <w:rsid w:val="00AC29B9"/>
    <w:rsid w:val="00AC3001"/>
    <w:rsid w:val="00AC3CB5"/>
    <w:rsid w:val="00AC632D"/>
    <w:rsid w:val="00AD12B7"/>
    <w:rsid w:val="00AD17E9"/>
    <w:rsid w:val="00AD245D"/>
    <w:rsid w:val="00AD5B1A"/>
    <w:rsid w:val="00AD5FE9"/>
    <w:rsid w:val="00AD6549"/>
    <w:rsid w:val="00AD70A3"/>
    <w:rsid w:val="00AD72C6"/>
    <w:rsid w:val="00AD7ADC"/>
    <w:rsid w:val="00AE0D98"/>
    <w:rsid w:val="00AE0E01"/>
    <w:rsid w:val="00AE1FFD"/>
    <w:rsid w:val="00AE2713"/>
    <w:rsid w:val="00AE2F9C"/>
    <w:rsid w:val="00AE4769"/>
    <w:rsid w:val="00AE5054"/>
    <w:rsid w:val="00AE54D4"/>
    <w:rsid w:val="00AE5732"/>
    <w:rsid w:val="00AF105F"/>
    <w:rsid w:val="00AF1135"/>
    <w:rsid w:val="00AF18D0"/>
    <w:rsid w:val="00AF4C16"/>
    <w:rsid w:val="00AF5A16"/>
    <w:rsid w:val="00AF7252"/>
    <w:rsid w:val="00AF75E2"/>
    <w:rsid w:val="00B0209A"/>
    <w:rsid w:val="00B03CB6"/>
    <w:rsid w:val="00B03F28"/>
    <w:rsid w:val="00B06A9E"/>
    <w:rsid w:val="00B12794"/>
    <w:rsid w:val="00B12960"/>
    <w:rsid w:val="00B12F5F"/>
    <w:rsid w:val="00B1466D"/>
    <w:rsid w:val="00B15715"/>
    <w:rsid w:val="00B15E3F"/>
    <w:rsid w:val="00B23AF3"/>
    <w:rsid w:val="00B2603E"/>
    <w:rsid w:val="00B26B44"/>
    <w:rsid w:val="00B27221"/>
    <w:rsid w:val="00B30274"/>
    <w:rsid w:val="00B3033D"/>
    <w:rsid w:val="00B316AF"/>
    <w:rsid w:val="00B34E28"/>
    <w:rsid w:val="00B4044F"/>
    <w:rsid w:val="00B40633"/>
    <w:rsid w:val="00B4081F"/>
    <w:rsid w:val="00B40B8D"/>
    <w:rsid w:val="00B41677"/>
    <w:rsid w:val="00B426A5"/>
    <w:rsid w:val="00B42A51"/>
    <w:rsid w:val="00B437E1"/>
    <w:rsid w:val="00B43B13"/>
    <w:rsid w:val="00B44438"/>
    <w:rsid w:val="00B44AFD"/>
    <w:rsid w:val="00B44E4B"/>
    <w:rsid w:val="00B46569"/>
    <w:rsid w:val="00B471FA"/>
    <w:rsid w:val="00B47233"/>
    <w:rsid w:val="00B50701"/>
    <w:rsid w:val="00B50876"/>
    <w:rsid w:val="00B50E5A"/>
    <w:rsid w:val="00B52029"/>
    <w:rsid w:val="00B52A3B"/>
    <w:rsid w:val="00B52D75"/>
    <w:rsid w:val="00B54204"/>
    <w:rsid w:val="00B54298"/>
    <w:rsid w:val="00B549F8"/>
    <w:rsid w:val="00B550AB"/>
    <w:rsid w:val="00B55D34"/>
    <w:rsid w:val="00B56CA8"/>
    <w:rsid w:val="00B57095"/>
    <w:rsid w:val="00B622F8"/>
    <w:rsid w:val="00B62423"/>
    <w:rsid w:val="00B631AA"/>
    <w:rsid w:val="00B63582"/>
    <w:rsid w:val="00B64D1F"/>
    <w:rsid w:val="00B64DE3"/>
    <w:rsid w:val="00B64FE0"/>
    <w:rsid w:val="00B65758"/>
    <w:rsid w:val="00B66DB0"/>
    <w:rsid w:val="00B703EF"/>
    <w:rsid w:val="00B70EAA"/>
    <w:rsid w:val="00B72AF9"/>
    <w:rsid w:val="00B730E8"/>
    <w:rsid w:val="00B74DFD"/>
    <w:rsid w:val="00B75A81"/>
    <w:rsid w:val="00B75F99"/>
    <w:rsid w:val="00B765FB"/>
    <w:rsid w:val="00B76CF2"/>
    <w:rsid w:val="00B76E67"/>
    <w:rsid w:val="00B76FB5"/>
    <w:rsid w:val="00B805E1"/>
    <w:rsid w:val="00B83884"/>
    <w:rsid w:val="00B83F28"/>
    <w:rsid w:val="00B84E6C"/>
    <w:rsid w:val="00B84F47"/>
    <w:rsid w:val="00B850FA"/>
    <w:rsid w:val="00B85631"/>
    <w:rsid w:val="00B8664B"/>
    <w:rsid w:val="00B91950"/>
    <w:rsid w:val="00B92AF9"/>
    <w:rsid w:val="00B92D38"/>
    <w:rsid w:val="00B9329C"/>
    <w:rsid w:val="00B939D4"/>
    <w:rsid w:val="00B94844"/>
    <w:rsid w:val="00B9563B"/>
    <w:rsid w:val="00B962B3"/>
    <w:rsid w:val="00B96616"/>
    <w:rsid w:val="00BA02B5"/>
    <w:rsid w:val="00BA0511"/>
    <w:rsid w:val="00BA1E3E"/>
    <w:rsid w:val="00BA4D4B"/>
    <w:rsid w:val="00BA507B"/>
    <w:rsid w:val="00BA56CB"/>
    <w:rsid w:val="00BA706D"/>
    <w:rsid w:val="00BA71A4"/>
    <w:rsid w:val="00BB2825"/>
    <w:rsid w:val="00BB3454"/>
    <w:rsid w:val="00BB3A36"/>
    <w:rsid w:val="00BB4549"/>
    <w:rsid w:val="00BB4FF2"/>
    <w:rsid w:val="00BB5EC3"/>
    <w:rsid w:val="00BB7105"/>
    <w:rsid w:val="00BC0193"/>
    <w:rsid w:val="00BC0422"/>
    <w:rsid w:val="00BC083A"/>
    <w:rsid w:val="00BC1462"/>
    <w:rsid w:val="00BC1624"/>
    <w:rsid w:val="00BC2392"/>
    <w:rsid w:val="00BC2A9B"/>
    <w:rsid w:val="00BC3644"/>
    <w:rsid w:val="00BC4E83"/>
    <w:rsid w:val="00BC713F"/>
    <w:rsid w:val="00BD0EA8"/>
    <w:rsid w:val="00BD130A"/>
    <w:rsid w:val="00BD2294"/>
    <w:rsid w:val="00BD2650"/>
    <w:rsid w:val="00BD3C19"/>
    <w:rsid w:val="00BD5587"/>
    <w:rsid w:val="00BD580A"/>
    <w:rsid w:val="00BD59AA"/>
    <w:rsid w:val="00BD656A"/>
    <w:rsid w:val="00BD68F0"/>
    <w:rsid w:val="00BD707D"/>
    <w:rsid w:val="00BE00D3"/>
    <w:rsid w:val="00BE0363"/>
    <w:rsid w:val="00BE1116"/>
    <w:rsid w:val="00BE2048"/>
    <w:rsid w:val="00BE289D"/>
    <w:rsid w:val="00BE337F"/>
    <w:rsid w:val="00BE33E3"/>
    <w:rsid w:val="00BE3A44"/>
    <w:rsid w:val="00BE4EC3"/>
    <w:rsid w:val="00BE56A8"/>
    <w:rsid w:val="00BE615F"/>
    <w:rsid w:val="00BE68C9"/>
    <w:rsid w:val="00BF10EB"/>
    <w:rsid w:val="00BF1C64"/>
    <w:rsid w:val="00BF245B"/>
    <w:rsid w:val="00BF6272"/>
    <w:rsid w:val="00BF64EE"/>
    <w:rsid w:val="00BF672E"/>
    <w:rsid w:val="00BF6F7A"/>
    <w:rsid w:val="00BF72C1"/>
    <w:rsid w:val="00C004AF"/>
    <w:rsid w:val="00C0468C"/>
    <w:rsid w:val="00C0494F"/>
    <w:rsid w:val="00C04D77"/>
    <w:rsid w:val="00C04E27"/>
    <w:rsid w:val="00C06015"/>
    <w:rsid w:val="00C06335"/>
    <w:rsid w:val="00C065C8"/>
    <w:rsid w:val="00C07D04"/>
    <w:rsid w:val="00C10994"/>
    <w:rsid w:val="00C12B72"/>
    <w:rsid w:val="00C12F7A"/>
    <w:rsid w:val="00C13912"/>
    <w:rsid w:val="00C13D83"/>
    <w:rsid w:val="00C14012"/>
    <w:rsid w:val="00C14809"/>
    <w:rsid w:val="00C14CFA"/>
    <w:rsid w:val="00C15845"/>
    <w:rsid w:val="00C205DA"/>
    <w:rsid w:val="00C2070A"/>
    <w:rsid w:val="00C21214"/>
    <w:rsid w:val="00C221C5"/>
    <w:rsid w:val="00C23036"/>
    <w:rsid w:val="00C23304"/>
    <w:rsid w:val="00C242AF"/>
    <w:rsid w:val="00C25120"/>
    <w:rsid w:val="00C25BB7"/>
    <w:rsid w:val="00C26253"/>
    <w:rsid w:val="00C26559"/>
    <w:rsid w:val="00C27317"/>
    <w:rsid w:val="00C308B4"/>
    <w:rsid w:val="00C3090A"/>
    <w:rsid w:val="00C31DBF"/>
    <w:rsid w:val="00C34546"/>
    <w:rsid w:val="00C3511E"/>
    <w:rsid w:val="00C3513E"/>
    <w:rsid w:val="00C35B71"/>
    <w:rsid w:val="00C35F05"/>
    <w:rsid w:val="00C36060"/>
    <w:rsid w:val="00C36BEE"/>
    <w:rsid w:val="00C3723F"/>
    <w:rsid w:val="00C37491"/>
    <w:rsid w:val="00C37951"/>
    <w:rsid w:val="00C37B6B"/>
    <w:rsid w:val="00C37F51"/>
    <w:rsid w:val="00C40284"/>
    <w:rsid w:val="00C407EE"/>
    <w:rsid w:val="00C4092A"/>
    <w:rsid w:val="00C41190"/>
    <w:rsid w:val="00C4128B"/>
    <w:rsid w:val="00C41B54"/>
    <w:rsid w:val="00C43182"/>
    <w:rsid w:val="00C43898"/>
    <w:rsid w:val="00C43AF9"/>
    <w:rsid w:val="00C453F2"/>
    <w:rsid w:val="00C45B83"/>
    <w:rsid w:val="00C46309"/>
    <w:rsid w:val="00C4639F"/>
    <w:rsid w:val="00C46558"/>
    <w:rsid w:val="00C467CE"/>
    <w:rsid w:val="00C478C6"/>
    <w:rsid w:val="00C5161C"/>
    <w:rsid w:val="00C52316"/>
    <w:rsid w:val="00C52B19"/>
    <w:rsid w:val="00C52CD6"/>
    <w:rsid w:val="00C52F2D"/>
    <w:rsid w:val="00C53604"/>
    <w:rsid w:val="00C53713"/>
    <w:rsid w:val="00C545D0"/>
    <w:rsid w:val="00C54C1F"/>
    <w:rsid w:val="00C5575B"/>
    <w:rsid w:val="00C560FD"/>
    <w:rsid w:val="00C564D9"/>
    <w:rsid w:val="00C568E8"/>
    <w:rsid w:val="00C5739E"/>
    <w:rsid w:val="00C573DC"/>
    <w:rsid w:val="00C61166"/>
    <w:rsid w:val="00C62274"/>
    <w:rsid w:val="00C63ACD"/>
    <w:rsid w:val="00C63B69"/>
    <w:rsid w:val="00C63BC7"/>
    <w:rsid w:val="00C63C78"/>
    <w:rsid w:val="00C63CA0"/>
    <w:rsid w:val="00C63D98"/>
    <w:rsid w:val="00C65816"/>
    <w:rsid w:val="00C65D7F"/>
    <w:rsid w:val="00C660C3"/>
    <w:rsid w:val="00C6697C"/>
    <w:rsid w:val="00C674E7"/>
    <w:rsid w:val="00C67BC5"/>
    <w:rsid w:val="00C71681"/>
    <w:rsid w:val="00C72057"/>
    <w:rsid w:val="00C7257D"/>
    <w:rsid w:val="00C7352C"/>
    <w:rsid w:val="00C73D42"/>
    <w:rsid w:val="00C740E9"/>
    <w:rsid w:val="00C74349"/>
    <w:rsid w:val="00C7434F"/>
    <w:rsid w:val="00C75C75"/>
    <w:rsid w:val="00C807B7"/>
    <w:rsid w:val="00C80AEE"/>
    <w:rsid w:val="00C819CB"/>
    <w:rsid w:val="00C81AC4"/>
    <w:rsid w:val="00C81EB1"/>
    <w:rsid w:val="00C81F0C"/>
    <w:rsid w:val="00C82172"/>
    <w:rsid w:val="00C8302B"/>
    <w:rsid w:val="00C832FC"/>
    <w:rsid w:val="00C8667E"/>
    <w:rsid w:val="00C866C8"/>
    <w:rsid w:val="00C87047"/>
    <w:rsid w:val="00C91438"/>
    <w:rsid w:val="00C915ED"/>
    <w:rsid w:val="00C9175E"/>
    <w:rsid w:val="00C919C9"/>
    <w:rsid w:val="00C91E84"/>
    <w:rsid w:val="00C9397F"/>
    <w:rsid w:val="00C97A66"/>
    <w:rsid w:val="00C97D15"/>
    <w:rsid w:val="00CA098E"/>
    <w:rsid w:val="00CA09A5"/>
    <w:rsid w:val="00CA1175"/>
    <w:rsid w:val="00CA3170"/>
    <w:rsid w:val="00CA3FDB"/>
    <w:rsid w:val="00CA4258"/>
    <w:rsid w:val="00CA4F6B"/>
    <w:rsid w:val="00CA655F"/>
    <w:rsid w:val="00CA6E71"/>
    <w:rsid w:val="00CA6FCA"/>
    <w:rsid w:val="00CA75B2"/>
    <w:rsid w:val="00CA776D"/>
    <w:rsid w:val="00CB0BCF"/>
    <w:rsid w:val="00CB22FC"/>
    <w:rsid w:val="00CB2376"/>
    <w:rsid w:val="00CB2ACE"/>
    <w:rsid w:val="00CB2B42"/>
    <w:rsid w:val="00CB2D37"/>
    <w:rsid w:val="00CB315C"/>
    <w:rsid w:val="00CB3209"/>
    <w:rsid w:val="00CB45E3"/>
    <w:rsid w:val="00CB471C"/>
    <w:rsid w:val="00CB558D"/>
    <w:rsid w:val="00CB5B48"/>
    <w:rsid w:val="00CB65C5"/>
    <w:rsid w:val="00CB675A"/>
    <w:rsid w:val="00CB6D6B"/>
    <w:rsid w:val="00CB7359"/>
    <w:rsid w:val="00CC0060"/>
    <w:rsid w:val="00CC1665"/>
    <w:rsid w:val="00CC21FD"/>
    <w:rsid w:val="00CC3B92"/>
    <w:rsid w:val="00CC49E0"/>
    <w:rsid w:val="00CC5860"/>
    <w:rsid w:val="00CC6A45"/>
    <w:rsid w:val="00CC6ADD"/>
    <w:rsid w:val="00CC718D"/>
    <w:rsid w:val="00CD0011"/>
    <w:rsid w:val="00CD055D"/>
    <w:rsid w:val="00CD0ADE"/>
    <w:rsid w:val="00CD0F55"/>
    <w:rsid w:val="00CD2083"/>
    <w:rsid w:val="00CD2AD5"/>
    <w:rsid w:val="00CD2F3C"/>
    <w:rsid w:val="00CD350B"/>
    <w:rsid w:val="00CD3C21"/>
    <w:rsid w:val="00CD5652"/>
    <w:rsid w:val="00CD5DAB"/>
    <w:rsid w:val="00CD615B"/>
    <w:rsid w:val="00CD62CF"/>
    <w:rsid w:val="00CD6DF0"/>
    <w:rsid w:val="00CE0E6B"/>
    <w:rsid w:val="00CE124D"/>
    <w:rsid w:val="00CE17BE"/>
    <w:rsid w:val="00CE1C2D"/>
    <w:rsid w:val="00CE1FA8"/>
    <w:rsid w:val="00CE2004"/>
    <w:rsid w:val="00CE5F09"/>
    <w:rsid w:val="00CE6714"/>
    <w:rsid w:val="00CE6CB0"/>
    <w:rsid w:val="00CE6E22"/>
    <w:rsid w:val="00CE7C77"/>
    <w:rsid w:val="00CE7EDB"/>
    <w:rsid w:val="00CF1548"/>
    <w:rsid w:val="00CF1A4F"/>
    <w:rsid w:val="00CF21E7"/>
    <w:rsid w:val="00CF32F7"/>
    <w:rsid w:val="00CF392F"/>
    <w:rsid w:val="00CF5DCA"/>
    <w:rsid w:val="00CF5E1A"/>
    <w:rsid w:val="00CF6C91"/>
    <w:rsid w:val="00CF799E"/>
    <w:rsid w:val="00D018C9"/>
    <w:rsid w:val="00D03E53"/>
    <w:rsid w:val="00D0411E"/>
    <w:rsid w:val="00D043FC"/>
    <w:rsid w:val="00D04EB9"/>
    <w:rsid w:val="00D05216"/>
    <w:rsid w:val="00D06517"/>
    <w:rsid w:val="00D06C5C"/>
    <w:rsid w:val="00D07BEF"/>
    <w:rsid w:val="00D10123"/>
    <w:rsid w:val="00D1081D"/>
    <w:rsid w:val="00D11267"/>
    <w:rsid w:val="00D11BFB"/>
    <w:rsid w:val="00D11FD6"/>
    <w:rsid w:val="00D12716"/>
    <w:rsid w:val="00D12D76"/>
    <w:rsid w:val="00D13130"/>
    <w:rsid w:val="00D131D2"/>
    <w:rsid w:val="00D137DB"/>
    <w:rsid w:val="00D14117"/>
    <w:rsid w:val="00D1436B"/>
    <w:rsid w:val="00D14515"/>
    <w:rsid w:val="00D14AB5"/>
    <w:rsid w:val="00D1542A"/>
    <w:rsid w:val="00D15DCD"/>
    <w:rsid w:val="00D17B81"/>
    <w:rsid w:val="00D201B0"/>
    <w:rsid w:val="00D20233"/>
    <w:rsid w:val="00D208B8"/>
    <w:rsid w:val="00D20C99"/>
    <w:rsid w:val="00D21E6C"/>
    <w:rsid w:val="00D2262E"/>
    <w:rsid w:val="00D22C67"/>
    <w:rsid w:val="00D23CEE"/>
    <w:rsid w:val="00D24AAD"/>
    <w:rsid w:val="00D2569E"/>
    <w:rsid w:val="00D2570E"/>
    <w:rsid w:val="00D258F5"/>
    <w:rsid w:val="00D25C53"/>
    <w:rsid w:val="00D25EF4"/>
    <w:rsid w:val="00D2621A"/>
    <w:rsid w:val="00D270FB"/>
    <w:rsid w:val="00D27A0D"/>
    <w:rsid w:val="00D3016E"/>
    <w:rsid w:val="00D30A6A"/>
    <w:rsid w:val="00D30BAF"/>
    <w:rsid w:val="00D32628"/>
    <w:rsid w:val="00D3502B"/>
    <w:rsid w:val="00D3526C"/>
    <w:rsid w:val="00D3611E"/>
    <w:rsid w:val="00D37D54"/>
    <w:rsid w:val="00D4046B"/>
    <w:rsid w:val="00D41197"/>
    <w:rsid w:val="00D417AE"/>
    <w:rsid w:val="00D43538"/>
    <w:rsid w:val="00D439CA"/>
    <w:rsid w:val="00D44026"/>
    <w:rsid w:val="00D44075"/>
    <w:rsid w:val="00D442BA"/>
    <w:rsid w:val="00D4470B"/>
    <w:rsid w:val="00D45422"/>
    <w:rsid w:val="00D464CD"/>
    <w:rsid w:val="00D466C9"/>
    <w:rsid w:val="00D50017"/>
    <w:rsid w:val="00D512E3"/>
    <w:rsid w:val="00D52200"/>
    <w:rsid w:val="00D55022"/>
    <w:rsid w:val="00D55853"/>
    <w:rsid w:val="00D563B0"/>
    <w:rsid w:val="00D60026"/>
    <w:rsid w:val="00D61A44"/>
    <w:rsid w:val="00D62AB0"/>
    <w:rsid w:val="00D64E9D"/>
    <w:rsid w:val="00D66130"/>
    <w:rsid w:val="00D66176"/>
    <w:rsid w:val="00D66752"/>
    <w:rsid w:val="00D66AD2"/>
    <w:rsid w:val="00D66E74"/>
    <w:rsid w:val="00D673BA"/>
    <w:rsid w:val="00D673D9"/>
    <w:rsid w:val="00D67C6E"/>
    <w:rsid w:val="00D67E47"/>
    <w:rsid w:val="00D67E5B"/>
    <w:rsid w:val="00D70E16"/>
    <w:rsid w:val="00D70F50"/>
    <w:rsid w:val="00D71744"/>
    <w:rsid w:val="00D73462"/>
    <w:rsid w:val="00D73971"/>
    <w:rsid w:val="00D73DFC"/>
    <w:rsid w:val="00D73EF6"/>
    <w:rsid w:val="00D73F56"/>
    <w:rsid w:val="00D740DD"/>
    <w:rsid w:val="00D74645"/>
    <w:rsid w:val="00D74AC7"/>
    <w:rsid w:val="00D74C6F"/>
    <w:rsid w:val="00D76254"/>
    <w:rsid w:val="00D76457"/>
    <w:rsid w:val="00D77870"/>
    <w:rsid w:val="00D77CD2"/>
    <w:rsid w:val="00D81668"/>
    <w:rsid w:val="00D8190E"/>
    <w:rsid w:val="00D8374C"/>
    <w:rsid w:val="00D83BBC"/>
    <w:rsid w:val="00D8488F"/>
    <w:rsid w:val="00D85A2B"/>
    <w:rsid w:val="00D85B47"/>
    <w:rsid w:val="00D86760"/>
    <w:rsid w:val="00D91B57"/>
    <w:rsid w:val="00D937F7"/>
    <w:rsid w:val="00D93DEF"/>
    <w:rsid w:val="00D946E0"/>
    <w:rsid w:val="00D94B72"/>
    <w:rsid w:val="00D94BC2"/>
    <w:rsid w:val="00DA0258"/>
    <w:rsid w:val="00DA2214"/>
    <w:rsid w:val="00DA252C"/>
    <w:rsid w:val="00DA26E7"/>
    <w:rsid w:val="00DA423C"/>
    <w:rsid w:val="00DA4CBC"/>
    <w:rsid w:val="00DA579B"/>
    <w:rsid w:val="00DB1482"/>
    <w:rsid w:val="00DB3991"/>
    <w:rsid w:val="00DB58D8"/>
    <w:rsid w:val="00DB5EE5"/>
    <w:rsid w:val="00DB7D29"/>
    <w:rsid w:val="00DC154B"/>
    <w:rsid w:val="00DC1944"/>
    <w:rsid w:val="00DC1E18"/>
    <w:rsid w:val="00DC219B"/>
    <w:rsid w:val="00DC33DE"/>
    <w:rsid w:val="00DC3AB1"/>
    <w:rsid w:val="00DC3FDB"/>
    <w:rsid w:val="00DC4769"/>
    <w:rsid w:val="00DC4AAB"/>
    <w:rsid w:val="00DC58AC"/>
    <w:rsid w:val="00DC5ECD"/>
    <w:rsid w:val="00DC6E37"/>
    <w:rsid w:val="00DC738E"/>
    <w:rsid w:val="00DC7D38"/>
    <w:rsid w:val="00DC7D83"/>
    <w:rsid w:val="00DD1978"/>
    <w:rsid w:val="00DD1D96"/>
    <w:rsid w:val="00DD20FF"/>
    <w:rsid w:val="00DD754F"/>
    <w:rsid w:val="00DE0915"/>
    <w:rsid w:val="00DE0D26"/>
    <w:rsid w:val="00DE0F97"/>
    <w:rsid w:val="00DE3C8E"/>
    <w:rsid w:val="00DE4B88"/>
    <w:rsid w:val="00DE4E58"/>
    <w:rsid w:val="00DE515E"/>
    <w:rsid w:val="00DE67F8"/>
    <w:rsid w:val="00DE76AD"/>
    <w:rsid w:val="00DF1154"/>
    <w:rsid w:val="00DF1D71"/>
    <w:rsid w:val="00DF26EB"/>
    <w:rsid w:val="00DF3489"/>
    <w:rsid w:val="00DF35B0"/>
    <w:rsid w:val="00DF3892"/>
    <w:rsid w:val="00DF659C"/>
    <w:rsid w:val="00DF6C25"/>
    <w:rsid w:val="00E02644"/>
    <w:rsid w:val="00E02799"/>
    <w:rsid w:val="00E02891"/>
    <w:rsid w:val="00E02DE5"/>
    <w:rsid w:val="00E030DA"/>
    <w:rsid w:val="00E04625"/>
    <w:rsid w:val="00E05C9F"/>
    <w:rsid w:val="00E05CE5"/>
    <w:rsid w:val="00E103BC"/>
    <w:rsid w:val="00E10475"/>
    <w:rsid w:val="00E1081B"/>
    <w:rsid w:val="00E10B1A"/>
    <w:rsid w:val="00E1136C"/>
    <w:rsid w:val="00E113E7"/>
    <w:rsid w:val="00E11AC2"/>
    <w:rsid w:val="00E129BB"/>
    <w:rsid w:val="00E12B9C"/>
    <w:rsid w:val="00E12E14"/>
    <w:rsid w:val="00E13D9F"/>
    <w:rsid w:val="00E13DB5"/>
    <w:rsid w:val="00E14DAD"/>
    <w:rsid w:val="00E15250"/>
    <w:rsid w:val="00E15F87"/>
    <w:rsid w:val="00E16046"/>
    <w:rsid w:val="00E1752A"/>
    <w:rsid w:val="00E17C36"/>
    <w:rsid w:val="00E17CD5"/>
    <w:rsid w:val="00E17D00"/>
    <w:rsid w:val="00E21CE6"/>
    <w:rsid w:val="00E2252E"/>
    <w:rsid w:val="00E22A76"/>
    <w:rsid w:val="00E22C50"/>
    <w:rsid w:val="00E234E9"/>
    <w:rsid w:val="00E24855"/>
    <w:rsid w:val="00E248A9"/>
    <w:rsid w:val="00E273E1"/>
    <w:rsid w:val="00E30F16"/>
    <w:rsid w:val="00E333C6"/>
    <w:rsid w:val="00E33547"/>
    <w:rsid w:val="00E34D33"/>
    <w:rsid w:val="00E35AD7"/>
    <w:rsid w:val="00E36BD9"/>
    <w:rsid w:val="00E37356"/>
    <w:rsid w:val="00E406EF"/>
    <w:rsid w:val="00E40AB1"/>
    <w:rsid w:val="00E412D1"/>
    <w:rsid w:val="00E42794"/>
    <w:rsid w:val="00E47037"/>
    <w:rsid w:val="00E5007A"/>
    <w:rsid w:val="00E5127F"/>
    <w:rsid w:val="00E518CE"/>
    <w:rsid w:val="00E51BD0"/>
    <w:rsid w:val="00E52073"/>
    <w:rsid w:val="00E52B57"/>
    <w:rsid w:val="00E5381E"/>
    <w:rsid w:val="00E53B3D"/>
    <w:rsid w:val="00E55DB0"/>
    <w:rsid w:val="00E55E86"/>
    <w:rsid w:val="00E57A3B"/>
    <w:rsid w:val="00E57D65"/>
    <w:rsid w:val="00E617A4"/>
    <w:rsid w:val="00E62A6C"/>
    <w:rsid w:val="00E63D75"/>
    <w:rsid w:val="00E654BA"/>
    <w:rsid w:val="00E65B95"/>
    <w:rsid w:val="00E65E84"/>
    <w:rsid w:val="00E65F1C"/>
    <w:rsid w:val="00E66342"/>
    <w:rsid w:val="00E6663C"/>
    <w:rsid w:val="00E6729E"/>
    <w:rsid w:val="00E67603"/>
    <w:rsid w:val="00E67D59"/>
    <w:rsid w:val="00E71DCD"/>
    <w:rsid w:val="00E72D15"/>
    <w:rsid w:val="00E73B03"/>
    <w:rsid w:val="00E7449C"/>
    <w:rsid w:val="00E75790"/>
    <w:rsid w:val="00E75AE2"/>
    <w:rsid w:val="00E76C0C"/>
    <w:rsid w:val="00E76D0B"/>
    <w:rsid w:val="00E76D16"/>
    <w:rsid w:val="00E8038A"/>
    <w:rsid w:val="00E81AA1"/>
    <w:rsid w:val="00E824E9"/>
    <w:rsid w:val="00E82655"/>
    <w:rsid w:val="00E83CBE"/>
    <w:rsid w:val="00E84EFE"/>
    <w:rsid w:val="00E84FB7"/>
    <w:rsid w:val="00E84FE9"/>
    <w:rsid w:val="00E874CE"/>
    <w:rsid w:val="00E876EF"/>
    <w:rsid w:val="00E87C69"/>
    <w:rsid w:val="00E907FB"/>
    <w:rsid w:val="00E9100E"/>
    <w:rsid w:val="00E911A1"/>
    <w:rsid w:val="00E917B8"/>
    <w:rsid w:val="00E929AA"/>
    <w:rsid w:val="00E946AF"/>
    <w:rsid w:val="00E94BBA"/>
    <w:rsid w:val="00E95EF9"/>
    <w:rsid w:val="00E96465"/>
    <w:rsid w:val="00E9657A"/>
    <w:rsid w:val="00E96BEE"/>
    <w:rsid w:val="00E977F9"/>
    <w:rsid w:val="00E97FE7"/>
    <w:rsid w:val="00EA05C4"/>
    <w:rsid w:val="00EA0A4D"/>
    <w:rsid w:val="00EA121E"/>
    <w:rsid w:val="00EA2923"/>
    <w:rsid w:val="00EA3089"/>
    <w:rsid w:val="00EA3190"/>
    <w:rsid w:val="00EA4079"/>
    <w:rsid w:val="00EA4B70"/>
    <w:rsid w:val="00EA4C7D"/>
    <w:rsid w:val="00EA4EAE"/>
    <w:rsid w:val="00EA65AA"/>
    <w:rsid w:val="00EA76E6"/>
    <w:rsid w:val="00EB07D3"/>
    <w:rsid w:val="00EB123F"/>
    <w:rsid w:val="00EB1416"/>
    <w:rsid w:val="00EB28C8"/>
    <w:rsid w:val="00EB2F37"/>
    <w:rsid w:val="00EB35E1"/>
    <w:rsid w:val="00EB3851"/>
    <w:rsid w:val="00EB39F4"/>
    <w:rsid w:val="00EB3B58"/>
    <w:rsid w:val="00EB3D59"/>
    <w:rsid w:val="00EB446B"/>
    <w:rsid w:val="00EB513B"/>
    <w:rsid w:val="00EB541B"/>
    <w:rsid w:val="00EB5CFC"/>
    <w:rsid w:val="00EB67D0"/>
    <w:rsid w:val="00EB7F65"/>
    <w:rsid w:val="00EC094C"/>
    <w:rsid w:val="00EC258C"/>
    <w:rsid w:val="00EC26B7"/>
    <w:rsid w:val="00EC2AC2"/>
    <w:rsid w:val="00EC2D28"/>
    <w:rsid w:val="00EC33FA"/>
    <w:rsid w:val="00EC38C4"/>
    <w:rsid w:val="00EC3D21"/>
    <w:rsid w:val="00EC4EAF"/>
    <w:rsid w:val="00EC547F"/>
    <w:rsid w:val="00EC5CD6"/>
    <w:rsid w:val="00ED0715"/>
    <w:rsid w:val="00ED1128"/>
    <w:rsid w:val="00ED1319"/>
    <w:rsid w:val="00ED2BD5"/>
    <w:rsid w:val="00ED3208"/>
    <w:rsid w:val="00ED61B5"/>
    <w:rsid w:val="00ED6323"/>
    <w:rsid w:val="00EE0DF8"/>
    <w:rsid w:val="00EE160B"/>
    <w:rsid w:val="00EE20C7"/>
    <w:rsid w:val="00EE22FA"/>
    <w:rsid w:val="00EE274A"/>
    <w:rsid w:val="00EE2EF8"/>
    <w:rsid w:val="00EE307F"/>
    <w:rsid w:val="00EE3AFF"/>
    <w:rsid w:val="00EE6575"/>
    <w:rsid w:val="00EE67CC"/>
    <w:rsid w:val="00EE7612"/>
    <w:rsid w:val="00EF0BD5"/>
    <w:rsid w:val="00EF0E76"/>
    <w:rsid w:val="00EF1574"/>
    <w:rsid w:val="00EF1F93"/>
    <w:rsid w:val="00EF2884"/>
    <w:rsid w:val="00EF3608"/>
    <w:rsid w:val="00EF5078"/>
    <w:rsid w:val="00EF5A76"/>
    <w:rsid w:val="00F01CA1"/>
    <w:rsid w:val="00F0202D"/>
    <w:rsid w:val="00F02DE6"/>
    <w:rsid w:val="00F037C0"/>
    <w:rsid w:val="00F0414B"/>
    <w:rsid w:val="00F04730"/>
    <w:rsid w:val="00F04893"/>
    <w:rsid w:val="00F0512C"/>
    <w:rsid w:val="00F05D49"/>
    <w:rsid w:val="00F06703"/>
    <w:rsid w:val="00F068DC"/>
    <w:rsid w:val="00F07B7F"/>
    <w:rsid w:val="00F07D70"/>
    <w:rsid w:val="00F10136"/>
    <w:rsid w:val="00F10CDD"/>
    <w:rsid w:val="00F11566"/>
    <w:rsid w:val="00F12A79"/>
    <w:rsid w:val="00F12C15"/>
    <w:rsid w:val="00F12C5B"/>
    <w:rsid w:val="00F12C7F"/>
    <w:rsid w:val="00F13041"/>
    <w:rsid w:val="00F13D36"/>
    <w:rsid w:val="00F147B7"/>
    <w:rsid w:val="00F16050"/>
    <w:rsid w:val="00F163E3"/>
    <w:rsid w:val="00F16A28"/>
    <w:rsid w:val="00F17D21"/>
    <w:rsid w:val="00F208C4"/>
    <w:rsid w:val="00F21B57"/>
    <w:rsid w:val="00F21D90"/>
    <w:rsid w:val="00F2763B"/>
    <w:rsid w:val="00F279AF"/>
    <w:rsid w:val="00F30872"/>
    <w:rsid w:val="00F31071"/>
    <w:rsid w:val="00F31331"/>
    <w:rsid w:val="00F31EAD"/>
    <w:rsid w:val="00F321E9"/>
    <w:rsid w:val="00F3232A"/>
    <w:rsid w:val="00F3425A"/>
    <w:rsid w:val="00F34815"/>
    <w:rsid w:val="00F34B89"/>
    <w:rsid w:val="00F34D1D"/>
    <w:rsid w:val="00F34EFE"/>
    <w:rsid w:val="00F3697B"/>
    <w:rsid w:val="00F3700F"/>
    <w:rsid w:val="00F3717D"/>
    <w:rsid w:val="00F378B8"/>
    <w:rsid w:val="00F40769"/>
    <w:rsid w:val="00F40784"/>
    <w:rsid w:val="00F407F3"/>
    <w:rsid w:val="00F40E31"/>
    <w:rsid w:val="00F413F5"/>
    <w:rsid w:val="00F421F1"/>
    <w:rsid w:val="00F42B85"/>
    <w:rsid w:val="00F44DD5"/>
    <w:rsid w:val="00F45D87"/>
    <w:rsid w:val="00F46A8F"/>
    <w:rsid w:val="00F525AD"/>
    <w:rsid w:val="00F536AD"/>
    <w:rsid w:val="00F544F8"/>
    <w:rsid w:val="00F54EC8"/>
    <w:rsid w:val="00F56823"/>
    <w:rsid w:val="00F56A21"/>
    <w:rsid w:val="00F612C4"/>
    <w:rsid w:val="00F62210"/>
    <w:rsid w:val="00F6271A"/>
    <w:rsid w:val="00F62D91"/>
    <w:rsid w:val="00F6485F"/>
    <w:rsid w:val="00F67055"/>
    <w:rsid w:val="00F70453"/>
    <w:rsid w:val="00F71366"/>
    <w:rsid w:val="00F713AD"/>
    <w:rsid w:val="00F71DE6"/>
    <w:rsid w:val="00F7300D"/>
    <w:rsid w:val="00F73C40"/>
    <w:rsid w:val="00F74DBC"/>
    <w:rsid w:val="00F74DD5"/>
    <w:rsid w:val="00F75CFC"/>
    <w:rsid w:val="00F761C6"/>
    <w:rsid w:val="00F7649E"/>
    <w:rsid w:val="00F775C0"/>
    <w:rsid w:val="00F80AE7"/>
    <w:rsid w:val="00F81632"/>
    <w:rsid w:val="00F829AB"/>
    <w:rsid w:val="00F82E9C"/>
    <w:rsid w:val="00F83763"/>
    <w:rsid w:val="00F86DE9"/>
    <w:rsid w:val="00F87FF6"/>
    <w:rsid w:val="00F91680"/>
    <w:rsid w:val="00F91B2A"/>
    <w:rsid w:val="00F92ABF"/>
    <w:rsid w:val="00F93359"/>
    <w:rsid w:val="00F9380C"/>
    <w:rsid w:val="00F94A6F"/>
    <w:rsid w:val="00F94C88"/>
    <w:rsid w:val="00F953E9"/>
    <w:rsid w:val="00F956DC"/>
    <w:rsid w:val="00F95A27"/>
    <w:rsid w:val="00F97F0C"/>
    <w:rsid w:val="00FA0088"/>
    <w:rsid w:val="00FA1355"/>
    <w:rsid w:val="00FA1B5F"/>
    <w:rsid w:val="00FA261F"/>
    <w:rsid w:val="00FA3401"/>
    <w:rsid w:val="00FA4635"/>
    <w:rsid w:val="00FA4F0A"/>
    <w:rsid w:val="00FA5114"/>
    <w:rsid w:val="00FA70EB"/>
    <w:rsid w:val="00FA77E2"/>
    <w:rsid w:val="00FB1BC0"/>
    <w:rsid w:val="00FB384E"/>
    <w:rsid w:val="00FB3ACF"/>
    <w:rsid w:val="00FB4865"/>
    <w:rsid w:val="00FB5D84"/>
    <w:rsid w:val="00FB6018"/>
    <w:rsid w:val="00FB704C"/>
    <w:rsid w:val="00FB7560"/>
    <w:rsid w:val="00FC0D08"/>
    <w:rsid w:val="00FC20E3"/>
    <w:rsid w:val="00FC2143"/>
    <w:rsid w:val="00FC243D"/>
    <w:rsid w:val="00FC26D7"/>
    <w:rsid w:val="00FC284D"/>
    <w:rsid w:val="00FC315C"/>
    <w:rsid w:val="00FC3997"/>
    <w:rsid w:val="00FC3EF5"/>
    <w:rsid w:val="00FC40C1"/>
    <w:rsid w:val="00FC675C"/>
    <w:rsid w:val="00FC6B9E"/>
    <w:rsid w:val="00FC7B3F"/>
    <w:rsid w:val="00FD1C22"/>
    <w:rsid w:val="00FD2745"/>
    <w:rsid w:val="00FD4858"/>
    <w:rsid w:val="00FD678A"/>
    <w:rsid w:val="00FD7203"/>
    <w:rsid w:val="00FE0447"/>
    <w:rsid w:val="00FE40CE"/>
    <w:rsid w:val="00FE46AD"/>
    <w:rsid w:val="00FE4714"/>
    <w:rsid w:val="00FE4853"/>
    <w:rsid w:val="00FE498F"/>
    <w:rsid w:val="00FE5D8F"/>
    <w:rsid w:val="00FE636C"/>
    <w:rsid w:val="00FE731F"/>
    <w:rsid w:val="00FE7FD3"/>
    <w:rsid w:val="00FF1C6D"/>
    <w:rsid w:val="00FF1D34"/>
    <w:rsid w:val="00FF232A"/>
    <w:rsid w:val="00FF29AA"/>
    <w:rsid w:val="00FF2CBE"/>
    <w:rsid w:val="00FF2E8B"/>
    <w:rsid w:val="00FF2ECE"/>
    <w:rsid w:val="00FF3072"/>
    <w:rsid w:val="00FF3566"/>
    <w:rsid w:val="00FF40FA"/>
    <w:rsid w:val="00FF5130"/>
    <w:rsid w:val="00FF54FB"/>
    <w:rsid w:val="00FF6048"/>
    <w:rsid w:val="00FF67FF"/>
    <w:rsid w:val="00FF7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2A01F"/>
  <w15:chartTrackingRefBased/>
  <w15:docId w15:val="{6EA6FC82-7776-4D95-A872-034E61BFF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044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044F"/>
    <w:pPr>
      <w:spacing w:after="0" w:line="240" w:lineRule="auto"/>
    </w:pPr>
  </w:style>
  <w:style w:type="paragraph" w:styleId="ListParagraph">
    <w:name w:val="List Paragraph"/>
    <w:basedOn w:val="Normal"/>
    <w:uiPriority w:val="34"/>
    <w:qFormat/>
    <w:rsid w:val="00B4044F"/>
    <w:pPr>
      <w:ind w:left="720"/>
      <w:contextualSpacing/>
    </w:pPr>
  </w:style>
  <w:style w:type="paragraph" w:styleId="Quote">
    <w:name w:val="Quote"/>
    <w:basedOn w:val="Normal"/>
    <w:next w:val="Normal"/>
    <w:link w:val="QuoteChar"/>
    <w:uiPriority w:val="99"/>
    <w:qFormat/>
    <w:rsid w:val="0074084F"/>
    <w:pPr>
      <w:spacing w:after="240" w:line="240" w:lineRule="auto"/>
      <w:ind w:left="1440" w:right="1440"/>
      <w:jc w:val="both"/>
    </w:pPr>
    <w:rPr>
      <w:rFonts w:ascii="Times New Roman" w:eastAsia="Times New Roman" w:hAnsi="Times New Roman" w:cs="Times New Roman"/>
      <w:sz w:val="24"/>
      <w:szCs w:val="20"/>
      <w:lang w:val="en-GB"/>
    </w:rPr>
  </w:style>
  <w:style w:type="character" w:customStyle="1" w:styleId="QuoteChar">
    <w:name w:val="Quote Char"/>
    <w:basedOn w:val="DefaultParagraphFont"/>
    <w:link w:val="Quote"/>
    <w:uiPriority w:val="99"/>
    <w:rsid w:val="0074084F"/>
    <w:rPr>
      <w:rFonts w:ascii="Times New Roman" w:eastAsia="Times New Roman" w:hAnsi="Times New Roman" w:cs="Times New Roman"/>
      <w:sz w:val="24"/>
      <w:szCs w:val="20"/>
      <w:lang w:val="en-GB"/>
    </w:rPr>
  </w:style>
  <w:style w:type="paragraph" w:customStyle="1" w:styleId="ParaLevel1">
    <w:name w:val="ParaLevel1"/>
    <w:basedOn w:val="Normal"/>
    <w:uiPriority w:val="99"/>
    <w:rsid w:val="002B6E13"/>
    <w:pPr>
      <w:numPr>
        <w:numId w:val="5"/>
      </w:numPr>
      <w:suppressAutoHyphens/>
      <w:spacing w:before="240" w:after="240" w:line="240" w:lineRule="auto"/>
      <w:jc w:val="both"/>
      <w:outlineLvl w:val="0"/>
    </w:pPr>
    <w:rPr>
      <w:rFonts w:ascii="Times New Roman" w:eastAsia="Times New Roman" w:hAnsi="Times New Roman" w:cs="Times New Roman"/>
      <w:sz w:val="24"/>
      <w:szCs w:val="20"/>
      <w:lang w:val="en-GB"/>
    </w:rPr>
  </w:style>
  <w:style w:type="paragraph" w:customStyle="1" w:styleId="ParaLevel2">
    <w:name w:val="ParaLevel2"/>
    <w:basedOn w:val="Normal"/>
    <w:uiPriority w:val="99"/>
    <w:rsid w:val="002B6E13"/>
    <w:pPr>
      <w:numPr>
        <w:ilvl w:val="1"/>
        <w:numId w:val="5"/>
      </w:numPr>
      <w:suppressAutoHyphens/>
      <w:spacing w:before="240" w:after="240" w:line="240" w:lineRule="auto"/>
      <w:jc w:val="both"/>
      <w:outlineLvl w:val="1"/>
    </w:pPr>
    <w:rPr>
      <w:rFonts w:ascii="Times New Roman" w:eastAsia="Times New Roman" w:hAnsi="Times New Roman" w:cs="Times New Roman"/>
      <w:sz w:val="24"/>
      <w:szCs w:val="20"/>
      <w:lang w:val="en-GB"/>
    </w:rPr>
  </w:style>
  <w:style w:type="paragraph" w:customStyle="1" w:styleId="ParaLevel3">
    <w:name w:val="ParaLevel3"/>
    <w:basedOn w:val="Normal"/>
    <w:uiPriority w:val="99"/>
    <w:rsid w:val="002B6E13"/>
    <w:pPr>
      <w:numPr>
        <w:ilvl w:val="2"/>
        <w:numId w:val="5"/>
      </w:numPr>
      <w:suppressAutoHyphens/>
      <w:spacing w:before="240" w:after="240" w:line="240" w:lineRule="auto"/>
      <w:jc w:val="both"/>
      <w:outlineLvl w:val="2"/>
    </w:pPr>
    <w:rPr>
      <w:rFonts w:ascii="Times New Roman" w:eastAsia="Times New Roman" w:hAnsi="Times New Roman" w:cs="Times New Roman"/>
      <w:sz w:val="24"/>
      <w:szCs w:val="20"/>
      <w:lang w:val="en-GB"/>
    </w:rPr>
  </w:style>
  <w:style w:type="paragraph" w:customStyle="1" w:styleId="ParaLevel4">
    <w:name w:val="ParaLevel4"/>
    <w:basedOn w:val="Normal"/>
    <w:uiPriority w:val="99"/>
    <w:rsid w:val="002B6E13"/>
    <w:pPr>
      <w:numPr>
        <w:ilvl w:val="3"/>
        <w:numId w:val="5"/>
      </w:numPr>
      <w:suppressAutoHyphens/>
      <w:spacing w:before="240" w:after="240" w:line="240" w:lineRule="auto"/>
      <w:jc w:val="both"/>
      <w:outlineLvl w:val="3"/>
    </w:pPr>
    <w:rPr>
      <w:rFonts w:ascii="Times New Roman" w:eastAsia="Times New Roman" w:hAnsi="Times New Roman" w:cs="Times New Roman"/>
      <w:sz w:val="24"/>
      <w:szCs w:val="20"/>
      <w:lang w:val="en-GB"/>
    </w:rPr>
  </w:style>
  <w:style w:type="paragraph" w:customStyle="1" w:styleId="ParaLevel5">
    <w:name w:val="ParaLevel5"/>
    <w:basedOn w:val="Normal"/>
    <w:uiPriority w:val="99"/>
    <w:rsid w:val="002B6E13"/>
    <w:pPr>
      <w:numPr>
        <w:ilvl w:val="4"/>
        <w:numId w:val="5"/>
      </w:numPr>
      <w:suppressAutoHyphens/>
      <w:spacing w:before="240" w:after="240" w:line="240" w:lineRule="auto"/>
      <w:jc w:val="both"/>
      <w:outlineLvl w:val="4"/>
    </w:pPr>
    <w:rPr>
      <w:rFonts w:ascii="Times New Roman" w:eastAsia="Times New Roman" w:hAnsi="Times New Roman" w:cs="Times New Roman"/>
      <w:sz w:val="24"/>
      <w:szCs w:val="20"/>
      <w:lang w:val="en-GB"/>
    </w:rPr>
  </w:style>
  <w:style w:type="paragraph" w:customStyle="1" w:styleId="ParaLevel6">
    <w:name w:val="ParaLevel6"/>
    <w:basedOn w:val="Normal"/>
    <w:uiPriority w:val="99"/>
    <w:rsid w:val="002B6E13"/>
    <w:pPr>
      <w:numPr>
        <w:ilvl w:val="5"/>
        <w:numId w:val="5"/>
      </w:numPr>
      <w:suppressAutoHyphens/>
      <w:spacing w:before="240" w:after="240" w:line="240" w:lineRule="auto"/>
      <w:jc w:val="both"/>
      <w:outlineLvl w:val="5"/>
    </w:pPr>
    <w:rPr>
      <w:rFonts w:ascii="Times New Roman" w:eastAsia="Times New Roman" w:hAnsi="Times New Roman" w:cs="Times New Roman"/>
      <w:sz w:val="24"/>
      <w:szCs w:val="20"/>
      <w:lang w:val="en-GB"/>
    </w:rPr>
  </w:style>
  <w:style w:type="paragraph" w:customStyle="1" w:styleId="ParaLevel7">
    <w:name w:val="ParaLevel7"/>
    <w:basedOn w:val="Normal"/>
    <w:uiPriority w:val="99"/>
    <w:rsid w:val="002B6E13"/>
    <w:pPr>
      <w:numPr>
        <w:ilvl w:val="6"/>
        <w:numId w:val="5"/>
      </w:numPr>
      <w:suppressAutoHyphens/>
      <w:spacing w:before="240" w:after="240" w:line="240" w:lineRule="auto"/>
      <w:jc w:val="both"/>
      <w:outlineLvl w:val="6"/>
    </w:pPr>
    <w:rPr>
      <w:rFonts w:ascii="Times New Roman" w:eastAsia="Times New Roman" w:hAnsi="Times New Roman" w:cs="Times New Roman"/>
      <w:sz w:val="24"/>
      <w:szCs w:val="20"/>
      <w:lang w:val="en-GB"/>
    </w:rPr>
  </w:style>
  <w:style w:type="paragraph" w:customStyle="1" w:styleId="ParaLevel8">
    <w:name w:val="ParaLevel8"/>
    <w:basedOn w:val="Normal"/>
    <w:uiPriority w:val="99"/>
    <w:rsid w:val="002B6E13"/>
    <w:pPr>
      <w:numPr>
        <w:ilvl w:val="7"/>
        <w:numId w:val="5"/>
      </w:numPr>
      <w:suppressAutoHyphens/>
      <w:spacing w:before="240" w:after="240" w:line="240" w:lineRule="auto"/>
      <w:jc w:val="both"/>
      <w:outlineLvl w:val="7"/>
    </w:pPr>
    <w:rPr>
      <w:rFonts w:ascii="Times New Roman" w:eastAsia="Times New Roman" w:hAnsi="Times New Roman" w:cs="Times New Roman"/>
      <w:sz w:val="24"/>
      <w:szCs w:val="20"/>
      <w:lang w:val="en-GB"/>
    </w:rPr>
  </w:style>
  <w:style w:type="paragraph" w:customStyle="1" w:styleId="ParaLevel9">
    <w:name w:val="ParaLevel9"/>
    <w:basedOn w:val="Normal"/>
    <w:uiPriority w:val="99"/>
    <w:rsid w:val="002B6E13"/>
    <w:pPr>
      <w:numPr>
        <w:ilvl w:val="8"/>
        <w:numId w:val="5"/>
      </w:numPr>
      <w:suppressAutoHyphens/>
      <w:spacing w:before="240" w:after="240" w:line="240" w:lineRule="auto"/>
      <w:jc w:val="both"/>
      <w:outlineLvl w:val="8"/>
    </w:pPr>
    <w:rPr>
      <w:rFonts w:ascii="Times New Roman" w:eastAsia="Times New Roman" w:hAnsi="Times New Roman" w:cs="Times New Roman"/>
      <w:sz w:val="24"/>
      <w:szCs w:val="20"/>
      <w:lang w:val="en-GB"/>
    </w:rPr>
  </w:style>
  <w:style w:type="paragraph" w:styleId="FootnoteText">
    <w:name w:val="footnote text"/>
    <w:basedOn w:val="Normal"/>
    <w:link w:val="FootnoteTextChar"/>
    <w:uiPriority w:val="99"/>
    <w:semiHidden/>
    <w:unhideWhenUsed/>
    <w:rsid w:val="001477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7700"/>
    <w:rPr>
      <w:sz w:val="20"/>
      <w:szCs w:val="20"/>
    </w:rPr>
  </w:style>
  <w:style w:type="character" w:styleId="FootnoteReference">
    <w:name w:val="footnote reference"/>
    <w:basedOn w:val="DefaultParagraphFont"/>
    <w:uiPriority w:val="99"/>
    <w:semiHidden/>
    <w:unhideWhenUsed/>
    <w:rsid w:val="00147700"/>
    <w:rPr>
      <w:vertAlign w:val="superscript"/>
    </w:rPr>
  </w:style>
  <w:style w:type="paragraph" w:styleId="Revision">
    <w:name w:val="Revision"/>
    <w:hidden/>
    <w:uiPriority w:val="99"/>
    <w:semiHidden/>
    <w:rsid w:val="005E19F7"/>
    <w:pPr>
      <w:spacing w:after="0" w:line="240" w:lineRule="auto"/>
    </w:pPr>
  </w:style>
  <w:style w:type="paragraph" w:styleId="NormalWeb">
    <w:name w:val="Normal (Web)"/>
    <w:basedOn w:val="Normal"/>
    <w:uiPriority w:val="99"/>
    <w:unhideWhenUsed/>
    <w:rsid w:val="0096392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63929"/>
    <w:rPr>
      <w:i/>
      <w:iCs/>
    </w:rPr>
  </w:style>
  <w:style w:type="paragraph" w:styleId="Header">
    <w:name w:val="header"/>
    <w:basedOn w:val="Normal"/>
    <w:link w:val="HeaderChar"/>
    <w:uiPriority w:val="99"/>
    <w:unhideWhenUsed/>
    <w:rsid w:val="009F58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8A1"/>
  </w:style>
  <w:style w:type="paragraph" w:styleId="Footer">
    <w:name w:val="footer"/>
    <w:basedOn w:val="Normal"/>
    <w:link w:val="FooterChar"/>
    <w:uiPriority w:val="99"/>
    <w:unhideWhenUsed/>
    <w:rsid w:val="009F58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14717">
      <w:bodyDiv w:val="1"/>
      <w:marLeft w:val="0"/>
      <w:marRight w:val="0"/>
      <w:marTop w:val="0"/>
      <w:marBottom w:val="0"/>
      <w:divBdr>
        <w:top w:val="none" w:sz="0" w:space="0" w:color="auto"/>
        <w:left w:val="none" w:sz="0" w:space="0" w:color="auto"/>
        <w:bottom w:val="none" w:sz="0" w:space="0" w:color="auto"/>
        <w:right w:val="none" w:sz="0" w:space="0" w:color="auto"/>
      </w:divBdr>
      <w:divsChild>
        <w:div w:id="1493059906">
          <w:blockQuote w:val="1"/>
          <w:marLeft w:val="450"/>
          <w:marRight w:val="450"/>
          <w:marTop w:val="0"/>
          <w:marBottom w:val="0"/>
          <w:divBdr>
            <w:top w:val="none" w:sz="0" w:space="0" w:color="auto"/>
            <w:left w:val="none" w:sz="0" w:space="0" w:color="auto"/>
            <w:bottom w:val="none" w:sz="0" w:space="0" w:color="auto"/>
            <w:right w:val="none" w:sz="0" w:space="0" w:color="auto"/>
          </w:divBdr>
        </w:div>
      </w:divsChild>
    </w:div>
    <w:div w:id="311953301">
      <w:bodyDiv w:val="1"/>
      <w:marLeft w:val="0"/>
      <w:marRight w:val="0"/>
      <w:marTop w:val="0"/>
      <w:marBottom w:val="0"/>
      <w:divBdr>
        <w:top w:val="none" w:sz="0" w:space="0" w:color="auto"/>
        <w:left w:val="none" w:sz="0" w:space="0" w:color="auto"/>
        <w:bottom w:val="none" w:sz="0" w:space="0" w:color="auto"/>
        <w:right w:val="none" w:sz="0" w:space="0" w:color="auto"/>
      </w:divBdr>
    </w:div>
    <w:div w:id="663511046">
      <w:bodyDiv w:val="1"/>
      <w:marLeft w:val="0"/>
      <w:marRight w:val="0"/>
      <w:marTop w:val="0"/>
      <w:marBottom w:val="0"/>
      <w:divBdr>
        <w:top w:val="none" w:sz="0" w:space="0" w:color="auto"/>
        <w:left w:val="none" w:sz="0" w:space="0" w:color="auto"/>
        <w:bottom w:val="none" w:sz="0" w:space="0" w:color="auto"/>
        <w:right w:val="none" w:sz="0" w:space="0" w:color="auto"/>
      </w:divBdr>
    </w:div>
    <w:div w:id="1779134503">
      <w:bodyDiv w:val="1"/>
      <w:marLeft w:val="0"/>
      <w:marRight w:val="0"/>
      <w:marTop w:val="0"/>
      <w:marBottom w:val="0"/>
      <w:divBdr>
        <w:top w:val="none" w:sz="0" w:space="0" w:color="auto"/>
        <w:left w:val="none" w:sz="0" w:space="0" w:color="auto"/>
        <w:bottom w:val="none" w:sz="0" w:space="0" w:color="auto"/>
        <w:right w:val="none" w:sz="0" w:space="0" w:color="auto"/>
      </w:divBdr>
    </w:div>
    <w:div w:id="1784611121">
      <w:bodyDiv w:val="1"/>
      <w:marLeft w:val="0"/>
      <w:marRight w:val="0"/>
      <w:marTop w:val="0"/>
      <w:marBottom w:val="0"/>
      <w:divBdr>
        <w:top w:val="none" w:sz="0" w:space="0" w:color="auto"/>
        <w:left w:val="none" w:sz="0" w:space="0" w:color="auto"/>
        <w:bottom w:val="none" w:sz="0" w:space="0" w:color="auto"/>
        <w:right w:val="none" w:sz="0" w:space="0" w:color="auto"/>
      </w:divBdr>
    </w:div>
    <w:div w:id="206814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4</Pages>
  <Words>28600</Words>
  <Characters>145577</Characters>
  <DocSecurity>0</DocSecurity>
  <Lines>2467</Lines>
  <Paragraphs>532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173645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cp:coreProperties>
</file>