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080" w:rsidRPr="005F7E1B" w:rsidRDefault="00124080" w:rsidP="00124080">
      <w:pPr>
        <w:jc w:val="center"/>
        <w:rPr>
          <w:rFonts w:ascii="Minion Pro" w:hAnsi="Minion Pro" w:cs="Arial"/>
          <w:b/>
          <w:bCs/>
          <w:sz w:val="28"/>
          <w:szCs w:val="28"/>
        </w:rPr>
      </w:pPr>
    </w:p>
    <w:p w:rsidR="00124080" w:rsidRPr="005F7E1B" w:rsidRDefault="00124080" w:rsidP="00124080">
      <w:pPr>
        <w:jc w:val="center"/>
        <w:rPr>
          <w:rFonts w:ascii="Minion Pro" w:hAnsi="Minion Pro" w:cs="Arial"/>
          <w:b/>
          <w:bCs/>
          <w:iCs/>
          <w:sz w:val="32"/>
          <w:szCs w:val="32"/>
        </w:rPr>
      </w:pPr>
      <w:r w:rsidRPr="005F7E1B">
        <w:rPr>
          <w:rFonts w:ascii="Minion Pro" w:hAnsi="Minion Pro" w:cs="Arial"/>
          <w:b/>
          <w:bCs/>
          <w:iCs/>
          <w:sz w:val="32"/>
          <w:szCs w:val="32"/>
        </w:rPr>
        <w:t xml:space="preserve">FOUNDING AND CONFOUNDING JURISDICTION -  </w:t>
      </w:r>
    </w:p>
    <w:p w:rsidR="00124080" w:rsidRPr="005F7E1B" w:rsidRDefault="00124080" w:rsidP="00124080">
      <w:pPr>
        <w:jc w:val="center"/>
        <w:rPr>
          <w:rFonts w:ascii="Minion Pro" w:hAnsi="Minion Pro" w:cs="Arial"/>
          <w:b/>
          <w:bCs/>
          <w:iCs/>
          <w:sz w:val="32"/>
          <w:szCs w:val="32"/>
        </w:rPr>
      </w:pPr>
    </w:p>
    <w:p w:rsidR="00124080" w:rsidRPr="005F7E1B" w:rsidRDefault="00124080" w:rsidP="00124080">
      <w:pPr>
        <w:jc w:val="center"/>
        <w:rPr>
          <w:rFonts w:ascii="Minion Pro" w:hAnsi="Minion Pro" w:cs="Arial"/>
          <w:sz w:val="32"/>
          <w:szCs w:val="32"/>
        </w:rPr>
      </w:pPr>
      <w:r w:rsidRPr="005F7E1B">
        <w:rPr>
          <w:rFonts w:ascii="Minion Pro" w:hAnsi="Minion Pro" w:cs="Arial"/>
          <w:b/>
          <w:bCs/>
          <w:iCs/>
          <w:sz w:val="32"/>
          <w:szCs w:val="32"/>
        </w:rPr>
        <w:t>FORUM AND JURISDICTION ISSUES IN MARITIME DISPUTES</w:t>
      </w:r>
    </w:p>
    <w:p w:rsidR="00124080" w:rsidRPr="005F7E1B" w:rsidRDefault="00124080" w:rsidP="00124080">
      <w:pPr>
        <w:jc w:val="center"/>
        <w:rPr>
          <w:rFonts w:ascii="Minion Pro" w:hAnsi="Minion Pro" w:cs="Arial"/>
          <w:b/>
          <w:bCs/>
          <w:sz w:val="28"/>
          <w:szCs w:val="28"/>
        </w:rPr>
      </w:pPr>
    </w:p>
    <w:p w:rsidR="00124080" w:rsidRPr="005F7E1B" w:rsidRDefault="00124080" w:rsidP="00124080">
      <w:pPr>
        <w:pBdr>
          <w:bottom w:val="single" w:sz="12" w:space="1" w:color="auto"/>
        </w:pBdr>
        <w:jc w:val="center"/>
        <w:rPr>
          <w:rFonts w:ascii="Minion Pro" w:hAnsi="Minion Pro" w:cs="Arial"/>
          <w:b/>
          <w:bCs/>
          <w:sz w:val="28"/>
          <w:szCs w:val="28"/>
        </w:rPr>
      </w:pPr>
    </w:p>
    <w:p w:rsidR="00124080" w:rsidRPr="005F7E1B" w:rsidRDefault="00124080" w:rsidP="00124080">
      <w:pPr>
        <w:pBdr>
          <w:bottom w:val="single" w:sz="12" w:space="1" w:color="auto"/>
        </w:pBdr>
        <w:jc w:val="center"/>
        <w:rPr>
          <w:rFonts w:ascii="Minion Pro" w:hAnsi="Minion Pro" w:cs="Arial"/>
          <w:bCs/>
        </w:rPr>
      </w:pPr>
    </w:p>
    <w:p w:rsidR="00124080" w:rsidRPr="005F7E1B" w:rsidRDefault="00124080" w:rsidP="00124080">
      <w:pPr>
        <w:jc w:val="center"/>
        <w:rPr>
          <w:rFonts w:ascii="Minion Pro" w:hAnsi="Minion Pro" w:cs="Arial"/>
          <w:bCs/>
        </w:rPr>
      </w:pPr>
    </w:p>
    <w:p w:rsidR="00124080" w:rsidRPr="005F7E1B" w:rsidRDefault="00124080" w:rsidP="00124080">
      <w:pPr>
        <w:jc w:val="center"/>
        <w:rPr>
          <w:rFonts w:ascii="Minion Pro" w:hAnsi="Minion Pro" w:cs="Arial"/>
          <w:bCs/>
        </w:rPr>
      </w:pPr>
      <w:r w:rsidRPr="005F7E1B">
        <w:rPr>
          <w:rFonts w:ascii="Minion Pro" w:hAnsi="Minion Pro" w:cs="Arial"/>
          <w:bCs/>
        </w:rPr>
        <w:t xml:space="preserve"> </w:t>
      </w:r>
    </w:p>
    <w:p w:rsidR="00124080" w:rsidRPr="005F7E1B" w:rsidRDefault="00124080" w:rsidP="00124080">
      <w:pPr>
        <w:jc w:val="center"/>
        <w:rPr>
          <w:rFonts w:ascii="Minion Pro" w:hAnsi="Minion Pro" w:cs="Arial"/>
          <w:bCs/>
        </w:rPr>
      </w:pPr>
      <w:proofErr w:type="gramStart"/>
      <w:r w:rsidRPr="005F7E1B">
        <w:rPr>
          <w:rFonts w:ascii="Minion Pro" w:hAnsi="Minion Pro" w:cs="Arial"/>
          <w:bCs/>
        </w:rPr>
        <w:t>by</w:t>
      </w:r>
      <w:proofErr w:type="gramEnd"/>
      <w:r w:rsidRPr="005F7E1B">
        <w:rPr>
          <w:rFonts w:ascii="Minion Pro" w:hAnsi="Minion Pro" w:cs="Arial"/>
          <w:bCs/>
        </w:rPr>
        <w:t xml:space="preserve"> Richard Lord QC, Michael Bolding and Emily MacKenzie </w:t>
      </w:r>
    </w:p>
    <w:p w:rsidR="00124080" w:rsidRPr="005F7E1B" w:rsidRDefault="00124080" w:rsidP="00124080">
      <w:pPr>
        <w:jc w:val="center"/>
        <w:rPr>
          <w:rFonts w:ascii="Minion Pro" w:hAnsi="Minion Pro" w:cs="Arial"/>
          <w:bCs/>
        </w:rPr>
      </w:pPr>
      <w:proofErr w:type="gramStart"/>
      <w:r w:rsidRPr="005F7E1B">
        <w:rPr>
          <w:rFonts w:ascii="Minion Pro" w:hAnsi="Minion Pro" w:cs="Arial"/>
          <w:bCs/>
        </w:rPr>
        <w:t>of</w:t>
      </w:r>
      <w:proofErr w:type="gramEnd"/>
      <w:r w:rsidRPr="005F7E1B">
        <w:rPr>
          <w:rFonts w:ascii="Minion Pro" w:hAnsi="Minion Pro" w:cs="Arial"/>
          <w:bCs/>
        </w:rPr>
        <w:t xml:space="preserve"> Brick Court Chambers</w:t>
      </w:r>
    </w:p>
    <w:p w:rsidR="00124080" w:rsidRPr="005F7E1B" w:rsidRDefault="00124080" w:rsidP="00124080">
      <w:pPr>
        <w:jc w:val="center"/>
        <w:rPr>
          <w:rFonts w:ascii="Minion Pro" w:hAnsi="Minion Pro" w:cs="Arial"/>
          <w:bCs/>
        </w:rPr>
      </w:pPr>
      <w:r w:rsidRPr="005F7E1B">
        <w:rPr>
          <w:rFonts w:ascii="Minion Pro" w:hAnsi="Minion Pro" w:cs="Arial"/>
          <w:bCs/>
        </w:rPr>
        <w:t>10 June 2015</w:t>
      </w:r>
    </w:p>
    <w:p w:rsidR="00124080" w:rsidRPr="005F7E1B" w:rsidRDefault="00124080" w:rsidP="00124080">
      <w:pPr>
        <w:jc w:val="center"/>
        <w:rPr>
          <w:rFonts w:ascii="Minion Pro" w:hAnsi="Minion Pro" w:cs="Arial"/>
          <w:bCs/>
        </w:rPr>
      </w:pPr>
    </w:p>
    <w:p w:rsidR="00124080" w:rsidRPr="005F7E1B" w:rsidRDefault="00124080" w:rsidP="00124080">
      <w:pPr>
        <w:pStyle w:val="Heading1"/>
        <w:spacing w:after="240"/>
        <w:ind w:left="709" w:hanging="709"/>
        <w:rPr>
          <w:rFonts w:ascii="Minion Pro" w:hAnsi="Minion Pro"/>
          <w:szCs w:val="24"/>
        </w:rPr>
      </w:pPr>
      <w:bookmarkStart w:id="0" w:name="_Toc297283172"/>
      <w:r w:rsidRPr="005F7E1B">
        <w:rPr>
          <w:rFonts w:ascii="Minion Pro" w:hAnsi="Minion Pro"/>
          <w:szCs w:val="24"/>
        </w:rPr>
        <w:t>INTRODUCTION</w:t>
      </w:r>
      <w:bookmarkEnd w:id="0"/>
    </w:p>
    <w:p w:rsidR="00124080" w:rsidRPr="005F7E1B" w:rsidRDefault="00124080" w:rsidP="00124080">
      <w:pPr>
        <w:pStyle w:val="BodyText"/>
        <w:spacing w:after="240"/>
        <w:rPr>
          <w:rFonts w:ascii="Minion Pro" w:hAnsi="Minion Pro" w:cs="Arial"/>
          <w:b/>
        </w:rPr>
      </w:pPr>
      <w:r w:rsidRPr="005F7E1B">
        <w:rPr>
          <w:rFonts w:ascii="Minion Pro" w:hAnsi="Minion Pro" w:cs="Arial"/>
          <w:b/>
        </w:rPr>
        <w:t>Why does this matter ?</w:t>
      </w:r>
    </w:p>
    <w:p w:rsidR="00124080" w:rsidRPr="005F7E1B" w:rsidRDefault="00124080" w:rsidP="00124080">
      <w:pPr>
        <w:numPr>
          <w:ilvl w:val="0"/>
          <w:numId w:val="1"/>
        </w:numPr>
        <w:spacing w:after="240" w:line="360" w:lineRule="auto"/>
        <w:jc w:val="both"/>
        <w:rPr>
          <w:rFonts w:ascii="Minion Pro" w:hAnsi="Minion Pro" w:cs="Arial"/>
        </w:rPr>
      </w:pPr>
      <w:r w:rsidRPr="005F7E1B">
        <w:rPr>
          <w:rFonts w:ascii="Minion Pro" w:hAnsi="Minion Pro" w:cs="Arial"/>
          <w:bCs/>
        </w:rPr>
        <w:t>The subject matter of this talk may be dry in many senses, but it is of great importance to the shipping litigator. Before one gets near a hearing on the merits of a dispute, there may be serious and prolonged battles over whether it should take place at all. This handout to accompany our talk addresses some of the issues which arise for consideration by arbitral tribunals and courts alike, and examines some of the weapons at the disposal of those who seek either to attack or uphold arbitration and jurisdiction clauses.</w:t>
      </w:r>
    </w:p>
    <w:p w:rsidR="00124080" w:rsidRPr="005F7E1B" w:rsidRDefault="00124080" w:rsidP="00124080">
      <w:pPr>
        <w:numPr>
          <w:ilvl w:val="0"/>
          <w:numId w:val="1"/>
        </w:numPr>
        <w:spacing w:after="240" w:line="360" w:lineRule="auto"/>
        <w:jc w:val="both"/>
        <w:rPr>
          <w:rFonts w:ascii="Minion Pro" w:hAnsi="Minion Pro" w:cs="Arial"/>
        </w:rPr>
      </w:pPr>
      <w:r w:rsidRPr="005F7E1B">
        <w:rPr>
          <w:rFonts w:ascii="Minion Pro" w:hAnsi="Minion Pro" w:cs="Arial"/>
          <w:bCs/>
        </w:rPr>
        <w:t xml:space="preserve">Many of the points made apply to jurisdiction and forum battles generally and not just maritime ones. However shipping cases have certain particular </w:t>
      </w:r>
      <w:proofErr w:type="spellStart"/>
      <w:r w:rsidRPr="005F7E1B">
        <w:rPr>
          <w:rFonts w:ascii="Minion Pro" w:hAnsi="Minion Pro" w:cs="Arial"/>
          <w:bCs/>
        </w:rPr>
        <w:t>idiosyncracies</w:t>
      </w:r>
      <w:proofErr w:type="spellEnd"/>
      <w:r w:rsidRPr="005F7E1B">
        <w:rPr>
          <w:rFonts w:ascii="Minion Pro" w:hAnsi="Minion Pro" w:cs="Arial"/>
          <w:bCs/>
        </w:rPr>
        <w:t xml:space="preserve"> which make forum issues both common and potentially complex. These include:</w:t>
      </w:r>
    </w:p>
    <w:p w:rsidR="00124080" w:rsidRPr="005F7E1B" w:rsidRDefault="00124080" w:rsidP="00124080">
      <w:pPr>
        <w:numPr>
          <w:ilvl w:val="1"/>
          <w:numId w:val="1"/>
        </w:numPr>
        <w:spacing w:after="240" w:line="360" w:lineRule="auto"/>
        <w:jc w:val="both"/>
        <w:rPr>
          <w:rFonts w:ascii="Minion Pro" w:hAnsi="Minion Pro" w:cs="Arial"/>
        </w:rPr>
      </w:pPr>
      <w:r w:rsidRPr="005F7E1B">
        <w:rPr>
          <w:rFonts w:ascii="Minion Pro" w:hAnsi="Minion Pro" w:cs="Arial"/>
          <w:bCs/>
        </w:rPr>
        <w:t>The international nature of shipping, whereby a typical voyage or “adventure” and the contracts involved may have connections with numerous jurisdictions, including those inside and outside the EU;</w:t>
      </w:r>
    </w:p>
    <w:p w:rsidR="00124080" w:rsidRPr="005F7E1B" w:rsidRDefault="00124080" w:rsidP="00124080">
      <w:pPr>
        <w:numPr>
          <w:ilvl w:val="1"/>
          <w:numId w:val="1"/>
        </w:numPr>
        <w:spacing w:after="240" w:line="360" w:lineRule="auto"/>
        <w:jc w:val="both"/>
        <w:rPr>
          <w:rFonts w:ascii="Minion Pro" w:hAnsi="Minion Pro" w:cs="Arial"/>
        </w:rPr>
      </w:pPr>
      <w:r w:rsidRPr="005F7E1B">
        <w:rPr>
          <w:rFonts w:ascii="Minion Pro" w:hAnsi="Minion Pro" w:cs="Arial"/>
          <w:bCs/>
        </w:rPr>
        <w:t xml:space="preserve">Frequent use of arbitration or jurisdiction clauses which are unclear in scope </w:t>
      </w:r>
      <w:r w:rsidRPr="005F7E1B">
        <w:rPr>
          <w:rFonts w:ascii="Minion Pro" w:hAnsi="Minion Pro" w:cs="Arial"/>
          <w:bCs/>
        </w:rPr>
        <w:lastRenderedPageBreak/>
        <w:t>and or inconsistent internally or with other contract provisions;</w:t>
      </w:r>
    </w:p>
    <w:p w:rsidR="00124080" w:rsidRPr="005F7E1B" w:rsidRDefault="00124080" w:rsidP="00124080">
      <w:pPr>
        <w:numPr>
          <w:ilvl w:val="1"/>
          <w:numId w:val="1"/>
        </w:numPr>
        <w:spacing w:after="240" w:line="360" w:lineRule="auto"/>
        <w:jc w:val="both"/>
        <w:rPr>
          <w:rFonts w:ascii="Minion Pro" w:hAnsi="Minion Pro" w:cs="Arial"/>
        </w:rPr>
      </w:pPr>
      <w:r w:rsidRPr="005F7E1B">
        <w:rPr>
          <w:rFonts w:ascii="Minion Pro" w:hAnsi="Minion Pro" w:cs="Arial"/>
          <w:bCs/>
        </w:rPr>
        <w:t xml:space="preserve">The difficulties arising from incorporation/attempted incorporation of </w:t>
      </w:r>
      <w:proofErr w:type="spellStart"/>
      <w:r w:rsidRPr="005F7E1B">
        <w:rPr>
          <w:rFonts w:ascii="Minion Pro" w:hAnsi="Minion Pro" w:cs="Arial"/>
          <w:bCs/>
        </w:rPr>
        <w:t>charterparty</w:t>
      </w:r>
      <w:proofErr w:type="spellEnd"/>
      <w:r w:rsidRPr="005F7E1B">
        <w:rPr>
          <w:rFonts w:ascii="Minion Pro" w:hAnsi="Minion Pro" w:cs="Arial"/>
          <w:bCs/>
        </w:rPr>
        <w:t xml:space="preserve"> arbitration clauses into bills of lading. </w:t>
      </w:r>
    </w:p>
    <w:p w:rsidR="00124080" w:rsidRPr="005F7E1B" w:rsidRDefault="00124080" w:rsidP="00124080">
      <w:pPr>
        <w:pStyle w:val="Heading1"/>
        <w:numPr>
          <w:ilvl w:val="0"/>
          <w:numId w:val="0"/>
        </w:numPr>
        <w:spacing w:after="240"/>
        <w:ind w:left="357" w:hanging="357"/>
        <w:rPr>
          <w:rFonts w:ascii="Minion Pro" w:hAnsi="Minion Pro"/>
          <w:u w:val="none"/>
        </w:rPr>
      </w:pPr>
      <w:r w:rsidRPr="005F7E1B">
        <w:rPr>
          <w:rFonts w:ascii="Minion Pro" w:hAnsi="Minion Pro"/>
          <w:caps w:val="0"/>
          <w:u w:val="none"/>
        </w:rPr>
        <w:t>Validity – No Contract</w:t>
      </w:r>
    </w:p>
    <w:p w:rsidR="00124080" w:rsidRPr="005F7E1B" w:rsidRDefault="00124080" w:rsidP="00124080">
      <w:pPr>
        <w:numPr>
          <w:ilvl w:val="0"/>
          <w:numId w:val="1"/>
        </w:numPr>
        <w:spacing w:after="240" w:line="360" w:lineRule="auto"/>
        <w:jc w:val="both"/>
        <w:rPr>
          <w:rFonts w:ascii="Minion Pro" w:hAnsi="Minion Pro" w:cs="Arial"/>
        </w:rPr>
      </w:pPr>
      <w:r w:rsidRPr="005F7E1B">
        <w:rPr>
          <w:rFonts w:ascii="Minion Pro" w:hAnsi="Minion Pro" w:cs="Arial"/>
          <w:bCs/>
        </w:rPr>
        <w:t>One of the commonest disputes involving a challenge to jurisdiction as well as merits is whether there is a contract at all, or whether there is a contract between the parties to the arbitration. All the familiar issues of (a) no consent (b) uncertainty</w:t>
      </w:r>
      <w:r w:rsidRPr="005F7E1B">
        <w:rPr>
          <w:rStyle w:val="FootnoteReference"/>
          <w:rFonts w:ascii="Minion Pro" w:hAnsi="Minion Pro" w:cs="Arial"/>
          <w:bCs/>
        </w:rPr>
        <w:footnoteReference w:id="1"/>
      </w:r>
      <w:r w:rsidRPr="005F7E1B">
        <w:rPr>
          <w:rFonts w:ascii="Minion Pro" w:hAnsi="Minion Pro" w:cs="Arial"/>
          <w:bCs/>
        </w:rPr>
        <w:t xml:space="preserve"> (c) lack of authority</w:t>
      </w:r>
      <w:r w:rsidRPr="005F7E1B">
        <w:rPr>
          <w:rStyle w:val="FootnoteReference"/>
          <w:rFonts w:ascii="Minion Pro" w:hAnsi="Minion Pro" w:cs="Arial"/>
          <w:bCs/>
        </w:rPr>
        <w:footnoteReference w:id="2"/>
      </w:r>
      <w:r w:rsidRPr="005F7E1B">
        <w:rPr>
          <w:rFonts w:ascii="Minion Pro" w:hAnsi="Minion Pro" w:cs="Arial"/>
          <w:bCs/>
        </w:rPr>
        <w:t xml:space="preserve">  </w:t>
      </w:r>
      <w:proofErr w:type="spellStart"/>
      <w:r w:rsidRPr="005F7E1B">
        <w:rPr>
          <w:rFonts w:ascii="Minion Pro" w:hAnsi="Minion Pro" w:cs="Arial"/>
          <w:bCs/>
        </w:rPr>
        <w:t>etc</w:t>
      </w:r>
      <w:proofErr w:type="spellEnd"/>
      <w:r w:rsidRPr="005F7E1B">
        <w:rPr>
          <w:rFonts w:ascii="Minion Pro" w:hAnsi="Minion Pro" w:cs="Arial"/>
          <w:bCs/>
        </w:rPr>
        <w:t xml:space="preserve"> </w:t>
      </w:r>
      <w:proofErr w:type="spellStart"/>
      <w:r w:rsidRPr="005F7E1B">
        <w:rPr>
          <w:rFonts w:ascii="Minion Pro" w:hAnsi="Minion Pro" w:cs="Arial"/>
          <w:bCs/>
        </w:rPr>
        <w:t>etc</w:t>
      </w:r>
      <w:proofErr w:type="spellEnd"/>
      <w:r w:rsidRPr="005F7E1B">
        <w:rPr>
          <w:rFonts w:ascii="Minion Pro" w:hAnsi="Minion Pro" w:cs="Arial"/>
          <w:bCs/>
        </w:rPr>
        <w:t xml:space="preserve"> may be invoked.</w:t>
      </w:r>
    </w:p>
    <w:p w:rsidR="00124080" w:rsidRPr="005F7E1B" w:rsidRDefault="00124080" w:rsidP="00124080">
      <w:pPr>
        <w:numPr>
          <w:ilvl w:val="0"/>
          <w:numId w:val="1"/>
        </w:numPr>
        <w:spacing w:after="240" w:line="360" w:lineRule="auto"/>
        <w:jc w:val="both"/>
        <w:rPr>
          <w:rFonts w:ascii="Minion Pro" w:hAnsi="Minion Pro" w:cs="Arial"/>
        </w:rPr>
      </w:pPr>
      <w:r w:rsidRPr="005F7E1B">
        <w:rPr>
          <w:rFonts w:ascii="Minion Pro" w:hAnsi="Minion Pro" w:cs="Arial"/>
          <w:bCs/>
        </w:rPr>
        <w:t xml:space="preserve">The first conundrum is who should determine this initially where an arbitration clause is concerned. </w:t>
      </w:r>
    </w:p>
    <w:p w:rsidR="00124080" w:rsidRPr="005F7E1B" w:rsidRDefault="00124080" w:rsidP="00124080">
      <w:pPr>
        <w:numPr>
          <w:ilvl w:val="1"/>
          <w:numId w:val="1"/>
        </w:numPr>
        <w:spacing w:after="240" w:line="360" w:lineRule="auto"/>
        <w:jc w:val="both"/>
        <w:rPr>
          <w:rFonts w:ascii="Minion Pro" w:hAnsi="Minion Pro" w:cs="Arial"/>
        </w:rPr>
      </w:pPr>
      <w:r w:rsidRPr="005F7E1B">
        <w:rPr>
          <w:rFonts w:ascii="Minion Pro" w:hAnsi="Minion Pro" w:cs="Arial"/>
          <w:bCs/>
        </w:rPr>
        <w:t>The Tribunal, whose jurisdiction is challenged?</w:t>
      </w:r>
    </w:p>
    <w:p w:rsidR="00124080" w:rsidRPr="005F7E1B" w:rsidRDefault="00124080" w:rsidP="00124080">
      <w:pPr>
        <w:numPr>
          <w:ilvl w:val="1"/>
          <w:numId w:val="1"/>
        </w:numPr>
        <w:spacing w:after="240" w:line="360" w:lineRule="auto"/>
        <w:jc w:val="both"/>
        <w:rPr>
          <w:rFonts w:ascii="Minion Pro" w:hAnsi="Minion Pro" w:cs="Arial"/>
        </w:rPr>
      </w:pPr>
      <w:r w:rsidRPr="005F7E1B">
        <w:rPr>
          <w:rFonts w:ascii="Minion Pro" w:hAnsi="Minion Pro" w:cs="Arial"/>
          <w:bCs/>
        </w:rPr>
        <w:t>Or a court, and if so which court?</w:t>
      </w:r>
    </w:p>
    <w:p w:rsidR="00124080" w:rsidRPr="005F7E1B" w:rsidRDefault="00124080" w:rsidP="00124080">
      <w:pPr>
        <w:numPr>
          <w:ilvl w:val="0"/>
          <w:numId w:val="1"/>
        </w:numPr>
        <w:spacing w:after="240" w:line="360" w:lineRule="auto"/>
        <w:jc w:val="both"/>
        <w:rPr>
          <w:rFonts w:ascii="Minion Pro" w:hAnsi="Minion Pro" w:cs="Arial"/>
        </w:rPr>
      </w:pPr>
      <w:r w:rsidRPr="005F7E1B">
        <w:rPr>
          <w:rFonts w:ascii="Minion Pro" w:hAnsi="Minion Pro" w:cs="Arial"/>
          <w:bCs/>
        </w:rPr>
        <w:t>The second is what system of law decides the issue:</w:t>
      </w:r>
    </w:p>
    <w:p w:rsidR="00124080" w:rsidRPr="005F7E1B" w:rsidRDefault="00124080" w:rsidP="00124080">
      <w:pPr>
        <w:numPr>
          <w:ilvl w:val="1"/>
          <w:numId w:val="1"/>
        </w:numPr>
        <w:spacing w:after="240" w:line="360" w:lineRule="auto"/>
        <w:jc w:val="both"/>
        <w:rPr>
          <w:rFonts w:ascii="Minion Pro" w:hAnsi="Minion Pro" w:cs="Arial"/>
        </w:rPr>
      </w:pPr>
      <w:r w:rsidRPr="005F7E1B">
        <w:rPr>
          <w:rFonts w:ascii="Minion Pro" w:hAnsi="Minion Pro" w:cs="Arial"/>
          <w:bCs/>
        </w:rPr>
        <w:t>The system of national law dictated by the conflicts rules of the relevant court (or of the seat of the arbitration)?</w:t>
      </w:r>
    </w:p>
    <w:p w:rsidR="00124080" w:rsidRPr="005F7E1B" w:rsidRDefault="00124080" w:rsidP="00124080">
      <w:pPr>
        <w:numPr>
          <w:ilvl w:val="1"/>
          <w:numId w:val="1"/>
        </w:numPr>
        <w:spacing w:after="240" w:line="360" w:lineRule="auto"/>
        <w:jc w:val="both"/>
        <w:rPr>
          <w:rFonts w:ascii="Minion Pro" w:hAnsi="Minion Pro" w:cs="Arial"/>
        </w:rPr>
      </w:pPr>
      <w:r w:rsidRPr="005F7E1B">
        <w:rPr>
          <w:rFonts w:ascii="Minion Pro" w:hAnsi="Minion Pro" w:cs="Arial"/>
          <w:bCs/>
        </w:rPr>
        <w:t>Some other system of national law?</w:t>
      </w:r>
    </w:p>
    <w:p w:rsidR="00124080" w:rsidRPr="005F7E1B" w:rsidRDefault="00124080" w:rsidP="00124080">
      <w:pPr>
        <w:numPr>
          <w:ilvl w:val="1"/>
          <w:numId w:val="1"/>
        </w:numPr>
        <w:spacing w:after="240" w:line="360" w:lineRule="auto"/>
        <w:jc w:val="both"/>
        <w:rPr>
          <w:rFonts w:ascii="Minion Pro" w:hAnsi="Minion Pro" w:cs="Arial"/>
        </w:rPr>
      </w:pPr>
      <w:r w:rsidRPr="005F7E1B">
        <w:rPr>
          <w:rFonts w:ascii="Minion Pro" w:hAnsi="Minion Pro" w:cs="Arial"/>
          <w:bCs/>
        </w:rPr>
        <w:t>Some supra national principles of law?</w:t>
      </w:r>
    </w:p>
    <w:p w:rsidR="00124080" w:rsidRPr="005F7E1B" w:rsidRDefault="00124080" w:rsidP="00124080">
      <w:pPr>
        <w:numPr>
          <w:ilvl w:val="0"/>
          <w:numId w:val="1"/>
        </w:numPr>
        <w:spacing w:after="240" w:line="360" w:lineRule="auto"/>
        <w:jc w:val="both"/>
        <w:rPr>
          <w:rFonts w:ascii="Minion Pro" w:hAnsi="Minion Pro" w:cs="Arial"/>
        </w:rPr>
      </w:pPr>
      <w:r w:rsidRPr="005F7E1B">
        <w:rPr>
          <w:rFonts w:ascii="Minion Pro" w:hAnsi="Minion Pro" w:cs="Arial"/>
        </w:rPr>
        <w:t>An important starting point in NYC states may be Art II.3 of the Convention, but this will not in itself resolve the problems which arise.</w:t>
      </w:r>
    </w:p>
    <w:p w:rsidR="00124080" w:rsidRPr="005F7E1B" w:rsidRDefault="00124080" w:rsidP="00124080">
      <w:pPr>
        <w:spacing w:after="240" w:line="360" w:lineRule="auto"/>
        <w:jc w:val="both"/>
        <w:rPr>
          <w:rFonts w:ascii="Minion Pro" w:hAnsi="Minion Pro" w:cs="Arial"/>
          <w:b/>
          <w:i/>
        </w:rPr>
      </w:pPr>
      <w:r w:rsidRPr="005F7E1B">
        <w:rPr>
          <w:rFonts w:ascii="Minion Pro" w:hAnsi="Minion Pro" w:cs="Arial"/>
          <w:b/>
          <w:bCs/>
          <w:i/>
        </w:rPr>
        <w:t>Consent generally</w:t>
      </w:r>
    </w:p>
    <w:p w:rsidR="00124080" w:rsidRPr="005F7E1B" w:rsidRDefault="00124080" w:rsidP="00124080">
      <w:pPr>
        <w:numPr>
          <w:ilvl w:val="0"/>
          <w:numId w:val="1"/>
        </w:numPr>
        <w:spacing w:after="240" w:line="360" w:lineRule="auto"/>
        <w:jc w:val="both"/>
        <w:rPr>
          <w:rFonts w:ascii="Minion Pro" w:hAnsi="Minion Pro" w:cs="Arial"/>
        </w:rPr>
      </w:pPr>
      <w:proofErr w:type="spellStart"/>
      <w:r w:rsidRPr="005F7E1B">
        <w:rPr>
          <w:rFonts w:ascii="Minion Pro" w:hAnsi="Minion Pro" w:cs="Arial"/>
          <w:bCs/>
          <w:i/>
        </w:rPr>
        <w:t>Dallah</w:t>
      </w:r>
      <w:proofErr w:type="spellEnd"/>
      <w:r w:rsidRPr="005F7E1B">
        <w:rPr>
          <w:rStyle w:val="FootnoteReference"/>
          <w:rFonts w:ascii="Minion Pro" w:hAnsi="Minion Pro" w:cs="Arial"/>
          <w:bCs/>
        </w:rPr>
        <w:footnoteReference w:id="3"/>
      </w:r>
      <w:r w:rsidRPr="005F7E1B">
        <w:rPr>
          <w:rFonts w:ascii="Minion Pro" w:hAnsi="Minion Pro" w:cs="Arial"/>
          <w:bCs/>
        </w:rPr>
        <w:t xml:space="preserve"> is an enforcement case, and not a shipping case,  but an important decision for present purposes, as it:</w:t>
      </w:r>
    </w:p>
    <w:p w:rsidR="00124080" w:rsidRPr="005F7E1B" w:rsidRDefault="00124080" w:rsidP="00124080">
      <w:pPr>
        <w:numPr>
          <w:ilvl w:val="1"/>
          <w:numId w:val="1"/>
        </w:numPr>
        <w:spacing w:after="240" w:line="360" w:lineRule="auto"/>
        <w:jc w:val="both"/>
        <w:rPr>
          <w:rFonts w:ascii="Minion Pro" w:hAnsi="Minion Pro" w:cs="Arial"/>
        </w:rPr>
      </w:pPr>
      <w:r w:rsidRPr="005F7E1B">
        <w:rPr>
          <w:rFonts w:ascii="Minion Pro" w:hAnsi="Minion Pro" w:cs="Arial"/>
          <w:bCs/>
        </w:rPr>
        <w:t xml:space="preserve">Exposes the divide on arbitration, sometimes seen as an Anglo-French divergence, and sometimes a wider one between common law and civil law systems, including the different approaches to: </w:t>
      </w:r>
    </w:p>
    <w:p w:rsidR="00124080" w:rsidRPr="005F7E1B" w:rsidRDefault="00124080" w:rsidP="00124080">
      <w:pPr>
        <w:numPr>
          <w:ilvl w:val="2"/>
          <w:numId w:val="1"/>
        </w:numPr>
        <w:spacing w:after="240" w:line="360" w:lineRule="auto"/>
        <w:ind w:left="2880" w:hanging="900"/>
        <w:jc w:val="both"/>
        <w:rPr>
          <w:rFonts w:ascii="Minion Pro" w:hAnsi="Minion Pro" w:cs="Arial"/>
        </w:rPr>
      </w:pPr>
      <w:r w:rsidRPr="005F7E1B">
        <w:rPr>
          <w:rFonts w:ascii="Minion Pro" w:hAnsi="Minion Pro" w:cs="Arial"/>
          <w:bCs/>
        </w:rPr>
        <w:t xml:space="preserve">the validity of applying “transnational law”; and </w:t>
      </w:r>
    </w:p>
    <w:p w:rsidR="00124080" w:rsidRPr="005F7E1B" w:rsidRDefault="00124080" w:rsidP="00124080">
      <w:pPr>
        <w:numPr>
          <w:ilvl w:val="2"/>
          <w:numId w:val="1"/>
        </w:numPr>
        <w:spacing w:after="240" w:line="360" w:lineRule="auto"/>
        <w:ind w:left="2880" w:hanging="900"/>
        <w:jc w:val="both"/>
        <w:rPr>
          <w:rFonts w:ascii="Minion Pro" w:hAnsi="Minion Pro" w:cs="Arial"/>
        </w:rPr>
      </w:pPr>
      <w:r w:rsidRPr="005F7E1B">
        <w:rPr>
          <w:rFonts w:ascii="Minion Pro" w:hAnsi="Minion Pro" w:cs="Arial"/>
          <w:bCs/>
        </w:rPr>
        <w:t>the effect of arbitration clauses on non-parties such as associated companies or state signatories (note that  the French court of appeal also subsequently reached a different conclusion of French law to Aikens J.’s decision on French law</w:t>
      </w:r>
      <w:r w:rsidRPr="005F7E1B">
        <w:rPr>
          <w:rStyle w:val="FootnoteReference"/>
          <w:rFonts w:ascii="Minion Pro" w:hAnsi="Minion Pro" w:cs="Arial"/>
          <w:bCs/>
        </w:rPr>
        <w:footnoteReference w:id="4"/>
      </w:r>
      <w:r w:rsidRPr="005F7E1B">
        <w:rPr>
          <w:rFonts w:ascii="Minion Pro" w:hAnsi="Minion Pro" w:cs="Arial"/>
          <w:bCs/>
        </w:rPr>
        <w:t>);</w:t>
      </w:r>
    </w:p>
    <w:p w:rsidR="00124080" w:rsidRPr="0073030D" w:rsidRDefault="00124080" w:rsidP="00124080">
      <w:pPr>
        <w:numPr>
          <w:ilvl w:val="1"/>
          <w:numId w:val="1"/>
        </w:numPr>
        <w:spacing w:after="240" w:line="360" w:lineRule="auto"/>
        <w:jc w:val="both"/>
        <w:rPr>
          <w:rFonts w:ascii="Minion Pro" w:hAnsi="Minion Pro" w:cs="Arial"/>
        </w:rPr>
      </w:pPr>
      <w:r w:rsidRPr="005F7E1B">
        <w:rPr>
          <w:rFonts w:ascii="Minion Pro" w:hAnsi="Minion Pro" w:cs="Arial"/>
          <w:bCs/>
        </w:rPr>
        <w:t>Demonstrates that simply by invoking an ICC clause, and passing the ICC court filter, one party ended with an award in France. France recognises the concept of transnational law. English law does not generally</w:t>
      </w:r>
      <w:r w:rsidRPr="005F7E1B">
        <w:rPr>
          <w:rStyle w:val="FootnoteReference"/>
          <w:rFonts w:ascii="Minion Pro" w:hAnsi="Minion Pro" w:cs="Arial"/>
          <w:bCs/>
        </w:rPr>
        <w:footnoteReference w:id="5"/>
      </w:r>
      <w:r w:rsidRPr="005F7E1B">
        <w:rPr>
          <w:rFonts w:ascii="Minion Pro" w:hAnsi="Minion Pro" w:cs="Arial"/>
          <w:bCs/>
        </w:rPr>
        <w:t xml:space="preserve">, but will recognise: </w:t>
      </w:r>
    </w:p>
    <w:p w:rsidR="00124080" w:rsidRPr="005F7E1B" w:rsidRDefault="00124080" w:rsidP="00124080">
      <w:pPr>
        <w:numPr>
          <w:ilvl w:val="2"/>
          <w:numId w:val="1"/>
        </w:numPr>
        <w:spacing w:after="240" w:line="360" w:lineRule="auto"/>
        <w:ind w:left="2880" w:hanging="900"/>
        <w:jc w:val="both"/>
        <w:rPr>
          <w:rFonts w:ascii="Minion Pro" w:hAnsi="Minion Pro" w:cs="Arial"/>
        </w:rPr>
      </w:pPr>
      <w:r w:rsidRPr="005F7E1B">
        <w:rPr>
          <w:rFonts w:ascii="Minion Pro" w:hAnsi="Minion Pro" w:cs="Arial"/>
          <w:bCs/>
        </w:rPr>
        <w:t>Arbitration Rules giving the tribunal a discretion in choosing what system of law applies (</w:t>
      </w:r>
      <w:proofErr w:type="spellStart"/>
      <w:r w:rsidRPr="005F7E1B">
        <w:rPr>
          <w:rFonts w:ascii="Minion Pro" w:hAnsi="Minion Pro" w:cs="Arial"/>
          <w:bCs/>
        </w:rPr>
        <w:t>eg</w:t>
      </w:r>
      <w:proofErr w:type="spellEnd"/>
      <w:r w:rsidRPr="005F7E1B">
        <w:rPr>
          <w:rFonts w:ascii="Minion Pro" w:hAnsi="Minion Pro" w:cs="Arial"/>
          <w:bCs/>
        </w:rPr>
        <w:t xml:space="preserve"> ICC/LCIA);</w:t>
      </w:r>
    </w:p>
    <w:p w:rsidR="00124080" w:rsidRPr="005F7E1B" w:rsidRDefault="00124080" w:rsidP="00124080">
      <w:pPr>
        <w:numPr>
          <w:ilvl w:val="2"/>
          <w:numId w:val="1"/>
        </w:numPr>
        <w:spacing w:after="240" w:line="360" w:lineRule="auto"/>
        <w:ind w:left="2880" w:hanging="900"/>
        <w:jc w:val="both"/>
        <w:rPr>
          <w:rFonts w:ascii="Minion Pro" w:hAnsi="Minion Pro" w:cs="Arial"/>
        </w:rPr>
      </w:pPr>
      <w:r w:rsidRPr="005F7E1B">
        <w:rPr>
          <w:rFonts w:ascii="Minion Pro" w:hAnsi="Minion Pro" w:cs="Arial"/>
          <w:bCs/>
        </w:rPr>
        <w:t>A system of law (</w:t>
      </w:r>
      <w:proofErr w:type="spellStart"/>
      <w:r w:rsidRPr="005F7E1B">
        <w:rPr>
          <w:rFonts w:ascii="Minion Pro" w:hAnsi="Minion Pro" w:cs="Arial"/>
          <w:bCs/>
        </w:rPr>
        <w:t>eg</w:t>
      </w:r>
      <w:proofErr w:type="spellEnd"/>
      <w:r w:rsidRPr="005F7E1B">
        <w:rPr>
          <w:rFonts w:ascii="Minion Pro" w:hAnsi="Minion Pro" w:cs="Arial"/>
          <w:bCs/>
        </w:rPr>
        <w:t xml:space="preserve"> </w:t>
      </w:r>
      <w:proofErr w:type="spellStart"/>
      <w:r w:rsidRPr="005F7E1B">
        <w:rPr>
          <w:rFonts w:ascii="Minion Pro" w:hAnsi="Minion Pro" w:cs="Arial"/>
          <w:bCs/>
        </w:rPr>
        <w:t>Shariah</w:t>
      </w:r>
      <w:proofErr w:type="spellEnd"/>
      <w:r w:rsidRPr="005F7E1B">
        <w:rPr>
          <w:rFonts w:ascii="Minion Pro" w:hAnsi="Minion Pro" w:cs="Arial"/>
          <w:bCs/>
        </w:rPr>
        <w:t xml:space="preserve"> or Jewish law/Beth Din) chosen by the parties even if not a national law - (</w:t>
      </w:r>
      <w:r w:rsidRPr="005F7E1B">
        <w:rPr>
          <w:rFonts w:ascii="Minion Pro" w:hAnsi="Minion Pro" w:cs="Arial"/>
          <w:bCs/>
          <w:i/>
        </w:rPr>
        <w:t>Halpern v Halpern</w:t>
      </w:r>
      <w:r w:rsidRPr="005F7E1B">
        <w:rPr>
          <w:rStyle w:val="FootnoteReference"/>
          <w:rFonts w:ascii="Minion Pro" w:hAnsi="Minion Pro" w:cs="Arial"/>
          <w:bCs/>
          <w:i/>
        </w:rPr>
        <w:footnoteReference w:id="6"/>
      </w:r>
      <w:r w:rsidRPr="005F7E1B">
        <w:rPr>
          <w:rFonts w:ascii="Minion Pro" w:hAnsi="Minion Pro" w:cs="Arial"/>
          <w:bCs/>
        </w:rPr>
        <w:t>) and/or provisions supplanting a system of law even if not legal in nature (</w:t>
      </w:r>
      <w:proofErr w:type="spellStart"/>
      <w:r w:rsidRPr="005F7E1B">
        <w:rPr>
          <w:rFonts w:ascii="Minion Pro" w:hAnsi="Minion Pro" w:cs="Arial"/>
          <w:bCs/>
          <w:i/>
        </w:rPr>
        <w:t>Svenska</w:t>
      </w:r>
      <w:proofErr w:type="spellEnd"/>
      <w:r w:rsidRPr="005F7E1B">
        <w:rPr>
          <w:rFonts w:ascii="Minion Pro" w:hAnsi="Minion Pro" w:cs="Arial"/>
          <w:i/>
        </w:rPr>
        <w:t xml:space="preserve"> v Lithuania</w:t>
      </w:r>
      <w:r w:rsidRPr="005F7E1B">
        <w:rPr>
          <w:rStyle w:val="FootnoteReference"/>
          <w:rFonts w:ascii="Minion Pro" w:hAnsi="Minion Pro" w:cs="Arial"/>
          <w:i/>
        </w:rPr>
        <w:footnoteReference w:id="7"/>
      </w:r>
      <w:r w:rsidRPr="005F7E1B">
        <w:rPr>
          <w:rFonts w:ascii="Minion Pro" w:hAnsi="Minion Pro" w:cs="Arial"/>
          <w:i/>
        </w:rPr>
        <w:t xml:space="preserve"> </w:t>
      </w:r>
      <w:r w:rsidRPr="005F7E1B">
        <w:rPr>
          <w:rFonts w:ascii="Minion Pro" w:hAnsi="Minion Pro" w:cs="Arial"/>
        </w:rPr>
        <w:t>where the provision was for Lithuanian law “</w:t>
      </w:r>
      <w:r w:rsidRPr="005F7E1B">
        <w:rPr>
          <w:rFonts w:ascii="Minion Pro" w:hAnsi="Minion Pro" w:cs="Arial"/>
          <w:i/>
        </w:rPr>
        <w:t>supplemented... by rules of international business activities generally accepted in the petroleum industry</w:t>
      </w:r>
      <w:r w:rsidRPr="005F7E1B">
        <w:rPr>
          <w:rFonts w:ascii="Minion Pro" w:hAnsi="Minion Pro" w:cs="Arial"/>
        </w:rPr>
        <w:t>”</w:t>
      </w:r>
      <w:r w:rsidRPr="005F7E1B">
        <w:rPr>
          <w:rFonts w:ascii="Minion Pro" w:hAnsi="Minion Pro" w:cs="Arial"/>
          <w:bCs/>
        </w:rPr>
        <w:t>)</w:t>
      </w:r>
    </w:p>
    <w:p w:rsidR="00124080" w:rsidRPr="005F7E1B" w:rsidRDefault="00124080" w:rsidP="00124080">
      <w:pPr>
        <w:numPr>
          <w:ilvl w:val="1"/>
          <w:numId w:val="1"/>
        </w:numPr>
        <w:spacing w:after="240" w:line="360" w:lineRule="auto"/>
        <w:jc w:val="both"/>
        <w:rPr>
          <w:rFonts w:ascii="Minion Pro" w:hAnsi="Minion Pro" w:cs="Arial"/>
        </w:rPr>
      </w:pPr>
      <w:r w:rsidRPr="005F7E1B">
        <w:rPr>
          <w:rFonts w:ascii="Minion Pro" w:hAnsi="Minion Pro" w:cs="Arial"/>
          <w:bCs/>
        </w:rPr>
        <w:t>Airs the theory of delocalised international arbitration, a concept with which the English courts have yet to engage fully.</w:t>
      </w:r>
    </w:p>
    <w:p w:rsidR="00124080" w:rsidRPr="005F7E1B" w:rsidRDefault="00124080" w:rsidP="00124080">
      <w:pPr>
        <w:numPr>
          <w:ilvl w:val="1"/>
          <w:numId w:val="1"/>
        </w:numPr>
        <w:spacing w:after="240" w:line="360" w:lineRule="auto"/>
        <w:jc w:val="both"/>
        <w:rPr>
          <w:rFonts w:ascii="Minion Pro" w:hAnsi="Minion Pro" w:cs="Arial"/>
        </w:rPr>
      </w:pPr>
      <w:r w:rsidRPr="005F7E1B">
        <w:rPr>
          <w:rFonts w:ascii="Minion Pro" w:hAnsi="Minion Pro" w:cs="Arial"/>
          <w:bCs/>
        </w:rPr>
        <w:t>Contains the Supreme Court recognition that NYC provisions (</w:t>
      </w:r>
      <w:proofErr w:type="spellStart"/>
      <w:r w:rsidRPr="005F7E1B">
        <w:rPr>
          <w:rFonts w:ascii="Minion Pro" w:hAnsi="Minion Pro" w:cs="Arial"/>
          <w:bCs/>
        </w:rPr>
        <w:t>eg</w:t>
      </w:r>
      <w:proofErr w:type="spellEnd"/>
      <w:r w:rsidRPr="005F7E1B">
        <w:rPr>
          <w:rFonts w:ascii="Minion Pro" w:hAnsi="Minion Pro" w:cs="Arial"/>
          <w:bCs/>
        </w:rPr>
        <w:t xml:space="preserve"> </w:t>
      </w:r>
      <w:proofErr w:type="gramStart"/>
      <w:r w:rsidRPr="005F7E1B">
        <w:rPr>
          <w:rFonts w:ascii="Minion Pro" w:hAnsi="Minion Pro" w:cs="Arial"/>
          <w:bCs/>
        </w:rPr>
        <w:t>VI(</w:t>
      </w:r>
      <w:proofErr w:type="gramEnd"/>
      <w:r w:rsidRPr="005F7E1B">
        <w:rPr>
          <w:rFonts w:ascii="Minion Pro" w:hAnsi="Minion Pro" w:cs="Arial"/>
          <w:bCs/>
        </w:rPr>
        <w:t>1)(a)) which did not specifically refer to consent issues nevertheless were applicable to such issues.</w:t>
      </w:r>
    </w:p>
    <w:p w:rsidR="00124080" w:rsidRPr="005F7E1B" w:rsidRDefault="00124080" w:rsidP="00124080">
      <w:pPr>
        <w:spacing w:after="240" w:line="360" w:lineRule="auto"/>
        <w:jc w:val="both"/>
        <w:rPr>
          <w:rFonts w:ascii="Minion Pro" w:hAnsi="Minion Pro" w:cs="Arial"/>
          <w:b/>
          <w:i/>
        </w:rPr>
      </w:pPr>
      <w:proofErr w:type="spellStart"/>
      <w:r w:rsidRPr="005F7E1B">
        <w:rPr>
          <w:rFonts w:ascii="Minion Pro" w:hAnsi="Minion Pro" w:cs="Arial"/>
          <w:b/>
          <w:i/>
        </w:rPr>
        <w:t>Kompetenz-Kompetenz</w:t>
      </w:r>
      <w:proofErr w:type="spellEnd"/>
    </w:p>
    <w:p w:rsidR="00124080" w:rsidRPr="005F7E1B" w:rsidRDefault="00124080" w:rsidP="00124080">
      <w:pPr>
        <w:numPr>
          <w:ilvl w:val="0"/>
          <w:numId w:val="1"/>
        </w:numPr>
        <w:spacing w:after="240" w:line="360" w:lineRule="auto"/>
        <w:jc w:val="both"/>
        <w:rPr>
          <w:rFonts w:ascii="Minion Pro" w:hAnsi="Minion Pro" w:cs="Arial"/>
        </w:rPr>
      </w:pPr>
      <w:r w:rsidRPr="005F7E1B">
        <w:rPr>
          <w:rFonts w:ascii="Minion Pro" w:hAnsi="Minion Pro" w:cs="Arial"/>
        </w:rPr>
        <w:t>The English approach to “</w:t>
      </w:r>
      <w:proofErr w:type="spellStart"/>
      <w:r w:rsidRPr="005F7E1B">
        <w:rPr>
          <w:rFonts w:ascii="Minion Pro" w:hAnsi="Minion Pro" w:cs="Arial"/>
        </w:rPr>
        <w:t>Kompetenz-Kompetenz</w:t>
      </w:r>
      <w:proofErr w:type="spellEnd"/>
      <w:r w:rsidRPr="005F7E1B">
        <w:rPr>
          <w:rFonts w:ascii="Minion Pro" w:hAnsi="Minion Pro" w:cs="Arial"/>
        </w:rPr>
        <w:t xml:space="preserve">”, not a traditional common law doctrine, but enshrined in the Arbitration Act, has been problematic. At common law the idea that one could oust the court jurisdiction to decide whether there was an agreement or not was seen as heretical, and notions of </w:t>
      </w:r>
      <w:proofErr w:type="spellStart"/>
      <w:r w:rsidRPr="005F7E1B">
        <w:rPr>
          <w:rFonts w:ascii="Minion Pro" w:hAnsi="Minion Pro" w:cs="Arial"/>
        </w:rPr>
        <w:t>Kompetenz-Kompetenz</w:t>
      </w:r>
      <w:proofErr w:type="spellEnd"/>
      <w:r w:rsidRPr="005F7E1B">
        <w:rPr>
          <w:rFonts w:ascii="Minion Pro" w:hAnsi="Minion Pro" w:cs="Arial"/>
        </w:rPr>
        <w:t xml:space="preserve"> were described as “bootstraps”. But ss. 30</w:t>
      </w:r>
      <w:r w:rsidRPr="005F7E1B">
        <w:rPr>
          <w:rStyle w:val="FootnoteReference"/>
          <w:rFonts w:ascii="Minion Pro" w:hAnsi="Minion Pro" w:cs="Arial"/>
        </w:rPr>
        <w:footnoteReference w:id="8"/>
      </w:r>
      <w:r w:rsidRPr="005F7E1B">
        <w:rPr>
          <w:rFonts w:ascii="Minion Pro" w:hAnsi="Minion Pro" w:cs="Arial"/>
        </w:rPr>
        <w:t xml:space="preserve"> and 32</w:t>
      </w:r>
      <w:r w:rsidRPr="005F7E1B">
        <w:rPr>
          <w:rStyle w:val="FootnoteReference"/>
          <w:rFonts w:ascii="Minion Pro" w:hAnsi="Minion Pro" w:cs="Arial"/>
        </w:rPr>
        <w:footnoteReference w:id="9"/>
      </w:r>
      <w:r w:rsidRPr="005F7E1B">
        <w:rPr>
          <w:rFonts w:ascii="Minion Pro" w:hAnsi="Minion Pro" w:cs="Arial"/>
        </w:rPr>
        <w:t xml:space="preserve"> came in on a wave of opinion that courts should keep out of arbitrations as far as possible (perhaps striking the wrong balance and causing real problems for example with  s. 44 on the Court power in support of arbitrations). S. 32 was  interpreted as meaning that a party had to challenge </w:t>
      </w:r>
      <w:proofErr w:type="spellStart"/>
      <w:r w:rsidRPr="005F7E1B">
        <w:rPr>
          <w:rFonts w:ascii="Minion Pro" w:hAnsi="Minion Pro" w:cs="Arial"/>
        </w:rPr>
        <w:t>arbitrability</w:t>
      </w:r>
      <w:proofErr w:type="spellEnd"/>
      <w:r w:rsidRPr="005F7E1B">
        <w:rPr>
          <w:rFonts w:ascii="Minion Pro" w:hAnsi="Minion Pro" w:cs="Arial"/>
        </w:rPr>
        <w:t xml:space="preserve"> before arbitrators first and could not as a first step invoke the court jurisdiction to decide the “contract or no contract” issue  (</w:t>
      </w:r>
      <w:r w:rsidRPr="005F7E1B">
        <w:rPr>
          <w:rFonts w:ascii="Minion Pro" w:hAnsi="Minion Pro" w:cs="Arial"/>
          <w:i/>
        </w:rPr>
        <w:t xml:space="preserve">Vale </w:t>
      </w:r>
      <w:proofErr w:type="spellStart"/>
      <w:r w:rsidRPr="005F7E1B">
        <w:rPr>
          <w:rFonts w:ascii="Minion Pro" w:hAnsi="Minion Pro" w:cs="Arial"/>
          <w:i/>
        </w:rPr>
        <w:t>Doce</w:t>
      </w:r>
      <w:proofErr w:type="spellEnd"/>
      <w:r w:rsidRPr="005F7E1B">
        <w:rPr>
          <w:rFonts w:ascii="Minion Pro" w:hAnsi="Minion Pro" w:cs="Arial"/>
        </w:rPr>
        <w:t>)</w:t>
      </w:r>
      <w:r w:rsidRPr="005F7E1B">
        <w:rPr>
          <w:rStyle w:val="FootnoteReference"/>
          <w:rFonts w:ascii="Minion Pro" w:hAnsi="Minion Pro" w:cs="Arial"/>
        </w:rPr>
        <w:footnoteReference w:id="10"/>
      </w:r>
      <w:r w:rsidRPr="005F7E1B">
        <w:rPr>
          <w:rFonts w:ascii="Minion Pro" w:hAnsi="Minion Pro" w:cs="Arial"/>
        </w:rPr>
        <w:t xml:space="preserve">. A more traditional situation only prevailed in the court of appeal </w:t>
      </w:r>
      <w:r w:rsidRPr="005F7E1B">
        <w:rPr>
          <w:rFonts w:ascii="Minion Pro" w:hAnsi="Minion Pro" w:cs="Arial"/>
          <w:i/>
        </w:rPr>
        <w:t>AES v JSC</w:t>
      </w:r>
      <w:r w:rsidRPr="005F7E1B">
        <w:rPr>
          <w:rStyle w:val="FootnoteReference"/>
          <w:rFonts w:ascii="Minion Pro" w:hAnsi="Minion Pro" w:cs="Arial"/>
        </w:rPr>
        <w:footnoteReference w:id="11"/>
      </w:r>
      <w:r w:rsidRPr="005F7E1B">
        <w:rPr>
          <w:rFonts w:ascii="Minion Pro" w:hAnsi="Minion Pro" w:cs="Arial"/>
        </w:rPr>
        <w:t>. The Supreme Court has upheld the court of appeal</w:t>
      </w:r>
      <w:r w:rsidRPr="005F7E1B">
        <w:rPr>
          <w:rStyle w:val="FootnoteReference"/>
          <w:rFonts w:ascii="Minion Pro" w:hAnsi="Minion Pro" w:cs="Arial"/>
        </w:rPr>
        <w:footnoteReference w:id="12"/>
      </w:r>
      <w:r w:rsidRPr="005F7E1B">
        <w:rPr>
          <w:rFonts w:ascii="Minion Pro" w:hAnsi="Minion Pro" w:cs="Arial"/>
        </w:rPr>
        <w:t xml:space="preserve"> without specific reference to this jurisdiction issue.</w:t>
      </w:r>
    </w:p>
    <w:p w:rsidR="00124080" w:rsidRPr="005F7E1B" w:rsidRDefault="00124080" w:rsidP="00124080">
      <w:pPr>
        <w:numPr>
          <w:ilvl w:val="0"/>
          <w:numId w:val="1"/>
        </w:numPr>
        <w:spacing w:after="240" w:line="360" w:lineRule="auto"/>
        <w:jc w:val="both"/>
        <w:rPr>
          <w:rFonts w:ascii="Minion Pro" w:hAnsi="Minion Pro" w:cs="Arial"/>
        </w:rPr>
      </w:pPr>
      <w:r w:rsidRPr="005F7E1B">
        <w:rPr>
          <w:rFonts w:ascii="Minion Pro" w:hAnsi="Minion Pro" w:cs="Arial"/>
        </w:rPr>
        <w:t xml:space="preserve">In practice decisions need to be made as to: </w:t>
      </w:r>
    </w:p>
    <w:p w:rsidR="00124080" w:rsidRPr="005F7E1B" w:rsidRDefault="00124080" w:rsidP="00124080">
      <w:pPr>
        <w:numPr>
          <w:ilvl w:val="1"/>
          <w:numId w:val="1"/>
        </w:numPr>
        <w:spacing w:after="240" w:line="360" w:lineRule="auto"/>
        <w:jc w:val="both"/>
        <w:rPr>
          <w:rFonts w:ascii="Minion Pro" w:hAnsi="Minion Pro" w:cs="Arial"/>
        </w:rPr>
      </w:pPr>
      <w:r w:rsidRPr="005F7E1B">
        <w:rPr>
          <w:rFonts w:ascii="Minion Pro" w:hAnsi="Minion Pro" w:cs="Arial"/>
        </w:rPr>
        <w:t>Whether to propose/oppose an initial finding by the Tribunal.</w:t>
      </w:r>
    </w:p>
    <w:p w:rsidR="00124080" w:rsidRPr="005F7E1B" w:rsidRDefault="00124080" w:rsidP="00124080">
      <w:pPr>
        <w:numPr>
          <w:ilvl w:val="1"/>
          <w:numId w:val="1"/>
        </w:numPr>
        <w:spacing w:after="240" w:line="360" w:lineRule="auto"/>
        <w:jc w:val="both"/>
        <w:rPr>
          <w:rFonts w:ascii="Minion Pro" w:hAnsi="Minion Pro" w:cs="Arial"/>
        </w:rPr>
      </w:pPr>
      <w:r w:rsidRPr="005F7E1B">
        <w:rPr>
          <w:rFonts w:ascii="Minion Pro" w:hAnsi="Minion Pro" w:cs="Arial"/>
        </w:rPr>
        <w:t>Whether to seek a declaration in court as to the existence/non-existence of an arbitration agreement.</w:t>
      </w:r>
    </w:p>
    <w:p w:rsidR="00124080" w:rsidRPr="005F7E1B" w:rsidRDefault="00124080" w:rsidP="00124080">
      <w:pPr>
        <w:numPr>
          <w:ilvl w:val="1"/>
          <w:numId w:val="1"/>
        </w:numPr>
        <w:spacing w:after="240" w:line="360" w:lineRule="auto"/>
        <w:jc w:val="both"/>
        <w:rPr>
          <w:rFonts w:ascii="Minion Pro" w:hAnsi="Minion Pro" w:cs="Arial"/>
        </w:rPr>
      </w:pPr>
      <w:r w:rsidRPr="005F7E1B">
        <w:rPr>
          <w:rFonts w:ascii="Minion Pro" w:hAnsi="Minion Pro" w:cs="Arial"/>
        </w:rPr>
        <w:t xml:space="preserve">Where to seek a stay of any court action under s. 9 of the AA or the inherent jurisdiction (see </w:t>
      </w:r>
      <w:r w:rsidRPr="005F7E1B">
        <w:rPr>
          <w:rFonts w:ascii="Minion Pro" w:hAnsi="Minion Pro" w:cs="Arial"/>
          <w:i/>
        </w:rPr>
        <w:t xml:space="preserve">Golden Ocean </w:t>
      </w:r>
      <w:proofErr w:type="gramStart"/>
      <w:r w:rsidRPr="005F7E1B">
        <w:rPr>
          <w:rFonts w:ascii="Minion Pro" w:hAnsi="Minion Pro" w:cs="Arial"/>
          <w:i/>
        </w:rPr>
        <w:t xml:space="preserve">v  </w:t>
      </w:r>
      <w:proofErr w:type="spellStart"/>
      <w:r w:rsidRPr="005F7E1B">
        <w:rPr>
          <w:rFonts w:ascii="Minion Pro" w:hAnsi="Minion Pro" w:cs="Arial"/>
          <w:i/>
        </w:rPr>
        <w:t>Humpuss</w:t>
      </w:r>
      <w:proofErr w:type="spellEnd"/>
      <w:proofErr w:type="gramEnd"/>
      <w:r w:rsidRPr="005F7E1B">
        <w:rPr>
          <w:rFonts w:ascii="Minion Pro" w:hAnsi="Minion Pro" w:cs="Arial"/>
        </w:rPr>
        <w:t>, referred to below).</w:t>
      </w:r>
    </w:p>
    <w:p w:rsidR="00124080" w:rsidRPr="005F7E1B" w:rsidRDefault="00124080" w:rsidP="00124080">
      <w:pPr>
        <w:pStyle w:val="Heading1"/>
        <w:spacing w:after="240"/>
        <w:ind w:left="357" w:hanging="357"/>
        <w:rPr>
          <w:rFonts w:ascii="Minion Pro" w:hAnsi="Minion Pro"/>
        </w:rPr>
      </w:pPr>
      <w:r w:rsidRPr="005F7E1B">
        <w:rPr>
          <w:rFonts w:ascii="Minion Pro" w:hAnsi="Minion Pro"/>
        </w:rPr>
        <w:t>CONFLICTS ISSUES</w:t>
      </w:r>
    </w:p>
    <w:p w:rsidR="00124080" w:rsidRPr="005F7E1B" w:rsidRDefault="00124080" w:rsidP="00124080">
      <w:pPr>
        <w:spacing w:after="240" w:line="360" w:lineRule="auto"/>
        <w:jc w:val="both"/>
        <w:rPr>
          <w:rFonts w:ascii="Minion Pro" w:hAnsi="Minion Pro" w:cs="Arial"/>
          <w:b/>
          <w:i/>
        </w:rPr>
      </w:pPr>
      <w:r w:rsidRPr="005F7E1B">
        <w:rPr>
          <w:rFonts w:ascii="Minion Pro" w:hAnsi="Minion Pro" w:cs="Arial"/>
          <w:b/>
          <w:i/>
        </w:rPr>
        <w:t>Whic</w:t>
      </w:r>
      <w:r>
        <w:rPr>
          <w:rFonts w:ascii="Minion Pro" w:hAnsi="Minion Pro" w:cs="Arial"/>
          <w:b/>
          <w:i/>
        </w:rPr>
        <w:t>h system of law</w:t>
      </w:r>
      <w:r w:rsidRPr="005F7E1B">
        <w:rPr>
          <w:rFonts w:ascii="Minion Pro" w:hAnsi="Minion Pro" w:cs="Arial"/>
          <w:b/>
          <w:i/>
        </w:rPr>
        <w:t>?</w:t>
      </w:r>
    </w:p>
    <w:p w:rsidR="00124080" w:rsidRPr="005F7E1B" w:rsidRDefault="00124080" w:rsidP="00124080">
      <w:pPr>
        <w:numPr>
          <w:ilvl w:val="0"/>
          <w:numId w:val="1"/>
        </w:numPr>
        <w:spacing w:after="240" w:line="360" w:lineRule="auto"/>
        <w:jc w:val="both"/>
        <w:rPr>
          <w:rFonts w:ascii="Minion Pro" w:hAnsi="Minion Pro" w:cs="Arial"/>
        </w:rPr>
      </w:pPr>
      <w:r w:rsidRPr="005F7E1B">
        <w:rPr>
          <w:rFonts w:ascii="Minion Pro" w:hAnsi="Minion Pro" w:cs="Arial"/>
        </w:rPr>
        <w:t>With s. 30 and the doctrine of “</w:t>
      </w:r>
      <w:proofErr w:type="spellStart"/>
      <w:r w:rsidRPr="005F7E1B">
        <w:rPr>
          <w:rFonts w:ascii="Minion Pro" w:hAnsi="Minion Pro" w:cs="Arial"/>
        </w:rPr>
        <w:t>kompetenz-kompetenz</w:t>
      </w:r>
      <w:proofErr w:type="spellEnd"/>
      <w:r w:rsidRPr="005F7E1B">
        <w:rPr>
          <w:rFonts w:ascii="Minion Pro" w:hAnsi="Minion Pro" w:cs="Arial"/>
        </w:rPr>
        <w:t xml:space="preserve">” the logical difficulty of a tribunal deciding it has no jurisdiction as there is no contract, thus apparently negating jurisdiction to decide jurisdiction, is gone. How does a Tribunal go about deciding the issue? </w:t>
      </w:r>
    </w:p>
    <w:p w:rsidR="00124080" w:rsidRPr="005F7E1B" w:rsidRDefault="00124080" w:rsidP="00124080">
      <w:pPr>
        <w:numPr>
          <w:ilvl w:val="0"/>
          <w:numId w:val="1"/>
        </w:numPr>
        <w:spacing w:after="240" w:line="360" w:lineRule="auto"/>
        <w:jc w:val="both"/>
        <w:rPr>
          <w:rFonts w:ascii="Minion Pro" w:hAnsi="Minion Pro" w:cs="Arial"/>
        </w:rPr>
      </w:pPr>
      <w:r w:rsidRPr="005F7E1B">
        <w:rPr>
          <w:rFonts w:ascii="Minion Pro" w:hAnsi="Minion Pro" w:cs="Arial"/>
        </w:rPr>
        <w:t xml:space="preserve">The English court in the same position will generally apply putative applicable law to determine whether an agreement exists, as mandated under English conflict principles. </w:t>
      </w:r>
    </w:p>
    <w:p w:rsidR="00124080" w:rsidRPr="005F7E1B" w:rsidRDefault="00124080" w:rsidP="00124080">
      <w:pPr>
        <w:numPr>
          <w:ilvl w:val="0"/>
          <w:numId w:val="1"/>
        </w:numPr>
        <w:spacing w:after="240" w:line="360" w:lineRule="auto"/>
        <w:jc w:val="both"/>
        <w:rPr>
          <w:rFonts w:ascii="Minion Pro" w:hAnsi="Minion Pro" w:cs="Arial"/>
        </w:rPr>
      </w:pPr>
      <w:r w:rsidRPr="005F7E1B">
        <w:rPr>
          <w:rFonts w:ascii="Minion Pro" w:hAnsi="Minion Pro" w:cs="Arial"/>
        </w:rPr>
        <w:t>A Tribunal seated in England will almost always do the same.</w:t>
      </w:r>
      <w:r w:rsidRPr="005F7E1B">
        <w:rPr>
          <w:rStyle w:val="FootnoteReference"/>
          <w:rFonts w:ascii="Minion Pro" w:hAnsi="Minion Pro" w:cs="Arial"/>
        </w:rPr>
        <w:footnoteReference w:id="13"/>
      </w:r>
      <w:r w:rsidRPr="005F7E1B">
        <w:rPr>
          <w:rFonts w:ascii="Minion Pro" w:hAnsi="Minion Pro" w:cs="Arial"/>
        </w:rPr>
        <w:t xml:space="preserve"> However “curial law” and “conflicts law” are not the same thing and a Tribunal is not necessarily bound to apply the conflicts law of the place of the seat. In some arbitral Rules the Tribunal is given discretion as to what laws to apply, at least on merits (see </w:t>
      </w:r>
      <w:proofErr w:type="spellStart"/>
      <w:r w:rsidRPr="005F7E1B">
        <w:rPr>
          <w:rFonts w:ascii="Minion Pro" w:hAnsi="Minion Pro" w:cs="Arial"/>
        </w:rPr>
        <w:t>eg</w:t>
      </w:r>
      <w:proofErr w:type="spellEnd"/>
      <w:r w:rsidRPr="005F7E1B">
        <w:rPr>
          <w:rFonts w:ascii="Minion Pro" w:hAnsi="Minion Pro" w:cs="Arial"/>
        </w:rPr>
        <w:t xml:space="preserve"> ICC Art 21 and </w:t>
      </w:r>
      <w:proofErr w:type="gramStart"/>
      <w:r w:rsidRPr="005F7E1B">
        <w:rPr>
          <w:rFonts w:ascii="Minion Pro" w:hAnsi="Minion Pro" w:cs="Arial"/>
        </w:rPr>
        <w:t>LCIA  Arts</w:t>
      </w:r>
      <w:proofErr w:type="gramEnd"/>
      <w:r w:rsidRPr="005F7E1B">
        <w:rPr>
          <w:rFonts w:ascii="Minion Pro" w:hAnsi="Minion Pro" w:cs="Arial"/>
        </w:rPr>
        <w:t xml:space="preserve"> 14.2 and 22.3-4). The English Arbitration Act provides in s. 46 that the Tribunal may in the absence of choice of law by the parties it should apply the law that it “consider applicable” Questions arise such as: </w:t>
      </w:r>
    </w:p>
    <w:p w:rsidR="00124080" w:rsidRPr="005F7E1B" w:rsidRDefault="00124080" w:rsidP="00124080">
      <w:pPr>
        <w:numPr>
          <w:ilvl w:val="1"/>
          <w:numId w:val="1"/>
        </w:numPr>
        <w:spacing w:after="240" w:line="360" w:lineRule="auto"/>
        <w:jc w:val="both"/>
        <w:rPr>
          <w:rFonts w:ascii="Minion Pro" w:hAnsi="Minion Pro" w:cs="Arial"/>
        </w:rPr>
      </w:pPr>
      <w:r w:rsidRPr="005F7E1B">
        <w:rPr>
          <w:rFonts w:ascii="Minion Pro" w:hAnsi="Minion Pro" w:cs="Arial"/>
        </w:rPr>
        <w:t>Where the Rules do not give a discretion does the Tribunal have it anyway?</w:t>
      </w:r>
    </w:p>
    <w:p w:rsidR="00124080" w:rsidRPr="005F7E1B" w:rsidRDefault="00124080" w:rsidP="00124080">
      <w:pPr>
        <w:numPr>
          <w:ilvl w:val="1"/>
          <w:numId w:val="1"/>
        </w:numPr>
        <w:spacing w:after="240" w:line="360" w:lineRule="auto"/>
        <w:jc w:val="both"/>
        <w:rPr>
          <w:rFonts w:ascii="Minion Pro" w:hAnsi="Minion Pro" w:cs="Arial"/>
        </w:rPr>
      </w:pPr>
      <w:r w:rsidRPr="005F7E1B">
        <w:rPr>
          <w:rFonts w:ascii="Minion Pro" w:hAnsi="Minion Pro" w:cs="Arial"/>
        </w:rPr>
        <w:t>How wide are the boundaries of discretion in the choice or purported application of a system of conflicts law, before transgressing them becomes an error of law?</w:t>
      </w:r>
    </w:p>
    <w:p w:rsidR="00124080" w:rsidRPr="005F7E1B" w:rsidRDefault="00124080" w:rsidP="00124080">
      <w:pPr>
        <w:numPr>
          <w:ilvl w:val="0"/>
          <w:numId w:val="1"/>
        </w:numPr>
        <w:spacing w:after="240" w:line="360" w:lineRule="auto"/>
        <w:jc w:val="both"/>
        <w:rPr>
          <w:rFonts w:ascii="Minion Pro" w:hAnsi="Minion Pro" w:cs="Arial"/>
        </w:rPr>
      </w:pPr>
      <w:r w:rsidRPr="005F7E1B">
        <w:rPr>
          <w:rFonts w:ascii="Minion Pro" w:hAnsi="Minion Pro" w:cs="Arial"/>
        </w:rPr>
        <w:t xml:space="preserve">The recent case of </w:t>
      </w:r>
      <w:proofErr w:type="spellStart"/>
      <w:r>
        <w:rPr>
          <w:rFonts w:ascii="Minion Pro" w:hAnsi="Minion Pro" w:cs="Arial"/>
          <w:i/>
        </w:rPr>
        <w:t>Shangang</w:t>
      </w:r>
      <w:proofErr w:type="spellEnd"/>
      <w:r>
        <w:rPr>
          <w:rFonts w:ascii="Minion Pro" w:hAnsi="Minion Pro" w:cs="Arial"/>
          <w:i/>
        </w:rPr>
        <w:t xml:space="preserve"> South Asia </w:t>
      </w:r>
      <w:r w:rsidRPr="005F7E1B">
        <w:rPr>
          <w:rFonts w:ascii="Minion Pro" w:hAnsi="Minion Pro" w:cs="Arial"/>
          <w:i/>
        </w:rPr>
        <w:t>(Hong Kong) v Daewoo Logistics</w:t>
      </w:r>
      <w:r w:rsidRPr="005F7E1B">
        <w:rPr>
          <w:rFonts w:ascii="Minion Pro" w:hAnsi="Minion Pro" w:cs="Arial"/>
        </w:rPr>
        <w:t xml:space="preserve"> [2015] EWHC 194 illustrated the potential for confusion between substantive law and curial law. The fixture note in question was based on a </w:t>
      </w:r>
      <w:proofErr w:type="spellStart"/>
      <w:r w:rsidRPr="005F7E1B">
        <w:rPr>
          <w:rFonts w:ascii="Minion Pro" w:hAnsi="Minion Pro" w:cs="Arial"/>
        </w:rPr>
        <w:t>Gencon</w:t>
      </w:r>
      <w:proofErr w:type="spellEnd"/>
      <w:r w:rsidRPr="005F7E1B">
        <w:rPr>
          <w:rFonts w:ascii="Minion Pro" w:hAnsi="Minion Pro" w:cs="Arial"/>
        </w:rPr>
        <w:t xml:space="preserve"> form but stated “Arbitration to be held in Hong Kong. English law to apply”. A dispute arose as to jurisdiction of the Tribunal which depended on whether English or Hong Kong procedural law was to apply. </w:t>
      </w:r>
      <w:proofErr w:type="spellStart"/>
      <w:r w:rsidRPr="005F7E1B">
        <w:rPr>
          <w:rFonts w:ascii="Minion Pro" w:hAnsi="Minion Pro" w:cs="Arial"/>
        </w:rPr>
        <w:t>Hamblen</w:t>
      </w:r>
      <w:proofErr w:type="spellEnd"/>
      <w:r w:rsidRPr="005F7E1B">
        <w:rPr>
          <w:rFonts w:ascii="Minion Pro" w:hAnsi="Minion Pro" w:cs="Arial"/>
        </w:rPr>
        <w:t xml:space="preserve"> J. had to grapple with the meaning of the clause and its effect in the context of the standard </w:t>
      </w:r>
      <w:proofErr w:type="spellStart"/>
      <w:r w:rsidRPr="005F7E1B">
        <w:rPr>
          <w:rFonts w:ascii="Minion Pro" w:hAnsi="Minion Pro" w:cs="Arial"/>
        </w:rPr>
        <w:t>Gencon</w:t>
      </w:r>
      <w:proofErr w:type="spellEnd"/>
      <w:r w:rsidRPr="005F7E1B">
        <w:rPr>
          <w:rFonts w:ascii="Minion Pro" w:hAnsi="Minion Pro" w:cs="Arial"/>
        </w:rPr>
        <w:t xml:space="preserve"> clause 19 providing for English law and arbitration. He held that Hong Kong curial law applied and the reference to “English law to apply” was to the substantive law of the fixture. The problems caused by inconsistent clauses in </w:t>
      </w:r>
      <w:proofErr w:type="spellStart"/>
      <w:r w:rsidRPr="005F7E1B">
        <w:rPr>
          <w:rFonts w:ascii="Minion Pro" w:hAnsi="Minion Pro" w:cs="Arial"/>
        </w:rPr>
        <w:t>charterparties</w:t>
      </w:r>
      <w:proofErr w:type="spellEnd"/>
      <w:r w:rsidRPr="005F7E1B">
        <w:rPr>
          <w:rFonts w:ascii="Minion Pro" w:hAnsi="Minion Pro" w:cs="Arial"/>
        </w:rPr>
        <w:t xml:space="preserve"> and other contracts</w:t>
      </w:r>
    </w:p>
    <w:p w:rsidR="00124080" w:rsidRPr="005F7E1B" w:rsidRDefault="00124080" w:rsidP="00124080">
      <w:pPr>
        <w:spacing w:after="240" w:line="360" w:lineRule="auto"/>
        <w:jc w:val="both"/>
        <w:rPr>
          <w:rFonts w:ascii="Minion Pro" w:hAnsi="Minion Pro" w:cs="Arial"/>
          <w:b/>
          <w:i/>
        </w:rPr>
      </w:pPr>
      <w:r>
        <w:rPr>
          <w:rFonts w:ascii="Minion Pro" w:hAnsi="Minion Pro" w:cs="Arial"/>
          <w:b/>
          <w:i/>
        </w:rPr>
        <w:t>Other related i</w:t>
      </w:r>
      <w:r w:rsidRPr="005F7E1B">
        <w:rPr>
          <w:rFonts w:ascii="Minion Pro" w:hAnsi="Minion Pro" w:cs="Arial"/>
          <w:b/>
          <w:i/>
        </w:rPr>
        <w:t>ssues</w:t>
      </w:r>
    </w:p>
    <w:p w:rsidR="00124080" w:rsidRPr="005F7E1B" w:rsidRDefault="00124080" w:rsidP="00124080">
      <w:pPr>
        <w:numPr>
          <w:ilvl w:val="0"/>
          <w:numId w:val="1"/>
        </w:numPr>
        <w:spacing w:after="240" w:line="360" w:lineRule="auto"/>
        <w:jc w:val="both"/>
        <w:rPr>
          <w:rFonts w:ascii="Minion Pro" w:hAnsi="Minion Pro" w:cs="Arial"/>
        </w:rPr>
      </w:pPr>
      <w:r w:rsidRPr="005F7E1B">
        <w:rPr>
          <w:rFonts w:ascii="Minion Pro" w:hAnsi="Minion Pro" w:cs="Arial"/>
          <w:i/>
        </w:rPr>
        <w:t>ACE v CMS</w:t>
      </w:r>
      <w:r w:rsidRPr="005F7E1B">
        <w:rPr>
          <w:rStyle w:val="FootnoteReference"/>
          <w:rFonts w:ascii="Minion Pro" w:hAnsi="Minion Pro" w:cs="Arial"/>
          <w:i/>
        </w:rPr>
        <w:footnoteReference w:id="14"/>
      </w:r>
      <w:r w:rsidRPr="005F7E1B">
        <w:rPr>
          <w:rFonts w:ascii="Minion Pro" w:hAnsi="Minion Pro" w:cs="Arial"/>
        </w:rPr>
        <w:t xml:space="preserve">  illustrates the English court approach that where there are apparently conflicting jurisdiction and arbitration clauses, there is a presumption in favour of arbitration. This was applied in </w:t>
      </w:r>
      <w:proofErr w:type="spellStart"/>
      <w:r w:rsidRPr="005F7E1B">
        <w:rPr>
          <w:rFonts w:ascii="Minion Pro" w:hAnsi="Minion Pro" w:cs="Arial"/>
          <w:i/>
        </w:rPr>
        <w:t>Sul</w:t>
      </w:r>
      <w:proofErr w:type="spellEnd"/>
      <w:r w:rsidRPr="005F7E1B">
        <w:rPr>
          <w:rFonts w:ascii="Minion Pro" w:hAnsi="Minion Pro" w:cs="Arial"/>
          <w:i/>
        </w:rPr>
        <w:t xml:space="preserve"> America.</w:t>
      </w:r>
      <w:r w:rsidRPr="005F7E1B">
        <w:rPr>
          <w:rStyle w:val="FootnoteReference"/>
          <w:rFonts w:ascii="Minion Pro" w:hAnsi="Minion Pro" w:cs="Arial"/>
          <w:i/>
        </w:rPr>
        <w:footnoteReference w:id="15"/>
      </w:r>
    </w:p>
    <w:p w:rsidR="00124080" w:rsidRPr="005F7E1B" w:rsidRDefault="00124080" w:rsidP="00124080">
      <w:pPr>
        <w:numPr>
          <w:ilvl w:val="0"/>
          <w:numId w:val="1"/>
        </w:numPr>
        <w:spacing w:after="240" w:line="360" w:lineRule="auto"/>
        <w:jc w:val="both"/>
        <w:rPr>
          <w:rFonts w:ascii="Minion Pro" w:hAnsi="Minion Pro" w:cs="Arial"/>
        </w:rPr>
      </w:pPr>
      <w:r w:rsidRPr="005F7E1B">
        <w:rPr>
          <w:rFonts w:ascii="Minion Pro" w:hAnsi="Minion Pro" w:cs="Arial"/>
        </w:rPr>
        <w:t xml:space="preserve">The doctrine of </w:t>
      </w:r>
      <w:proofErr w:type="spellStart"/>
      <w:r w:rsidRPr="005F7E1B">
        <w:rPr>
          <w:rFonts w:ascii="Minion Pro" w:hAnsi="Minion Pro" w:cs="Arial"/>
        </w:rPr>
        <w:t>separability</w:t>
      </w:r>
      <w:proofErr w:type="spellEnd"/>
      <w:r w:rsidRPr="005F7E1B">
        <w:rPr>
          <w:rFonts w:ascii="Minion Pro" w:hAnsi="Minion Pro" w:cs="Arial"/>
        </w:rPr>
        <w:t xml:space="preserve"> of arbitration agreements (AA s. 7) will mean that it generally survives factors that might vitiate the contract as a whole such as misrepresentation, duress, </w:t>
      </w:r>
      <w:proofErr w:type="gramStart"/>
      <w:r w:rsidRPr="005F7E1B">
        <w:rPr>
          <w:rFonts w:ascii="Minion Pro" w:hAnsi="Minion Pro" w:cs="Arial"/>
          <w:bCs/>
        </w:rPr>
        <w:t>illegality</w:t>
      </w:r>
      <w:proofErr w:type="gramEnd"/>
      <w:r w:rsidRPr="005F7E1B">
        <w:rPr>
          <w:rFonts w:ascii="Minion Pro" w:hAnsi="Minion Pro" w:cs="Arial"/>
          <w:bCs/>
        </w:rPr>
        <w:t xml:space="preserve">: see </w:t>
      </w:r>
      <w:r w:rsidRPr="005F7E1B">
        <w:rPr>
          <w:rFonts w:ascii="Minion Pro" w:hAnsi="Minion Pro" w:cs="Arial"/>
          <w:bCs/>
          <w:i/>
        </w:rPr>
        <w:t>Fiona Trust</w:t>
      </w:r>
      <w:r w:rsidRPr="005F7E1B">
        <w:rPr>
          <w:rStyle w:val="FootnoteReference"/>
          <w:rFonts w:ascii="Minion Pro" w:hAnsi="Minion Pro" w:cs="Arial"/>
          <w:bCs/>
        </w:rPr>
        <w:footnoteReference w:id="16"/>
      </w:r>
      <w:r w:rsidRPr="005F7E1B">
        <w:rPr>
          <w:rFonts w:ascii="Minion Pro" w:hAnsi="Minion Pro" w:cs="Arial"/>
          <w:bCs/>
        </w:rPr>
        <w:t>.</w:t>
      </w:r>
    </w:p>
    <w:p w:rsidR="00124080" w:rsidRPr="005F7E1B" w:rsidRDefault="00124080" w:rsidP="00124080">
      <w:pPr>
        <w:numPr>
          <w:ilvl w:val="0"/>
          <w:numId w:val="1"/>
        </w:numPr>
        <w:spacing w:after="240" w:line="360" w:lineRule="auto"/>
        <w:jc w:val="both"/>
        <w:rPr>
          <w:rFonts w:ascii="Minion Pro" w:hAnsi="Minion Pro" w:cs="Arial"/>
        </w:rPr>
      </w:pPr>
      <w:r w:rsidRPr="005F7E1B">
        <w:rPr>
          <w:rFonts w:ascii="Minion Pro" w:hAnsi="Minion Pro" w:cs="Arial"/>
        </w:rPr>
        <w:t xml:space="preserve">Further complications arise where the arbitration agreement is said to be in one document incorporated into another contract. A recent example is </w:t>
      </w:r>
      <w:proofErr w:type="spellStart"/>
      <w:r w:rsidRPr="005F7E1B">
        <w:rPr>
          <w:rFonts w:ascii="Minion Pro" w:hAnsi="Minion Pro" w:cs="Arial"/>
          <w:bCs/>
          <w:i/>
          <w:kern w:val="36"/>
        </w:rPr>
        <w:t>Lisnave</w:t>
      </w:r>
      <w:proofErr w:type="spellEnd"/>
      <w:r w:rsidRPr="005F7E1B">
        <w:rPr>
          <w:rFonts w:ascii="Minion Pro" w:hAnsi="Minion Pro" w:cs="Arial"/>
          <w:bCs/>
          <w:i/>
          <w:kern w:val="36"/>
        </w:rPr>
        <w:t xml:space="preserve"> </w:t>
      </w:r>
      <w:proofErr w:type="spellStart"/>
      <w:r w:rsidRPr="005F7E1B">
        <w:rPr>
          <w:rFonts w:ascii="Minion Pro" w:hAnsi="Minion Pro" w:cs="Arial"/>
          <w:bCs/>
          <w:i/>
          <w:kern w:val="36"/>
        </w:rPr>
        <w:t>Estaleiros</w:t>
      </w:r>
      <w:proofErr w:type="spellEnd"/>
      <w:r w:rsidRPr="005F7E1B">
        <w:rPr>
          <w:rFonts w:ascii="Minion Pro" w:hAnsi="Minion Pro" w:cs="Arial"/>
          <w:bCs/>
          <w:i/>
          <w:kern w:val="36"/>
        </w:rPr>
        <w:t xml:space="preserve"> </w:t>
      </w:r>
      <w:proofErr w:type="spellStart"/>
      <w:r w:rsidRPr="005F7E1B">
        <w:rPr>
          <w:rFonts w:ascii="Minion Pro" w:hAnsi="Minion Pro" w:cs="Arial"/>
          <w:bCs/>
          <w:i/>
          <w:kern w:val="36"/>
        </w:rPr>
        <w:t>Navais</w:t>
      </w:r>
      <w:proofErr w:type="spellEnd"/>
      <w:r w:rsidRPr="005F7E1B">
        <w:rPr>
          <w:rFonts w:ascii="Minion Pro" w:hAnsi="Minion Pro" w:cs="Arial"/>
          <w:bCs/>
          <w:i/>
          <w:kern w:val="36"/>
        </w:rPr>
        <w:t xml:space="preserve"> SA v </w:t>
      </w:r>
      <w:proofErr w:type="spellStart"/>
      <w:r w:rsidRPr="005F7E1B">
        <w:rPr>
          <w:rFonts w:ascii="Minion Pro" w:hAnsi="Minion Pro" w:cs="Arial"/>
          <w:bCs/>
          <w:i/>
          <w:kern w:val="36"/>
        </w:rPr>
        <w:t>Chemikalien</w:t>
      </w:r>
      <w:proofErr w:type="spellEnd"/>
      <w:r w:rsidRPr="005F7E1B">
        <w:rPr>
          <w:rFonts w:ascii="Minion Pro" w:hAnsi="Minion Pro" w:cs="Arial"/>
          <w:bCs/>
          <w:i/>
          <w:kern w:val="36"/>
        </w:rPr>
        <w:t xml:space="preserve"> </w:t>
      </w:r>
      <w:proofErr w:type="spellStart"/>
      <w:r w:rsidRPr="005F7E1B">
        <w:rPr>
          <w:rFonts w:ascii="Minion Pro" w:hAnsi="Minion Pro" w:cs="Arial"/>
          <w:bCs/>
          <w:i/>
          <w:kern w:val="36"/>
        </w:rPr>
        <w:t>Seetransport</w:t>
      </w:r>
      <w:proofErr w:type="spellEnd"/>
      <w:r w:rsidRPr="005F7E1B">
        <w:rPr>
          <w:rFonts w:ascii="Minion Pro" w:hAnsi="Minion Pro" w:cs="Arial"/>
          <w:bCs/>
          <w:i/>
          <w:kern w:val="36"/>
        </w:rPr>
        <w:t xml:space="preserve"> GmbH</w:t>
      </w:r>
      <w:r w:rsidRPr="005F7E1B">
        <w:rPr>
          <w:rFonts w:ascii="Minion Pro" w:hAnsi="Minion Pro" w:cs="Arial"/>
          <w:bCs/>
          <w:kern w:val="36"/>
        </w:rPr>
        <w:t xml:space="preserve"> [2013] 2 Lloyd's Rep. 203.</w:t>
      </w:r>
      <w:r w:rsidRPr="005F7E1B">
        <w:rPr>
          <w:rFonts w:ascii="Minion Pro" w:hAnsi="Minion Pro" w:cs="Arial"/>
          <w:b/>
          <w:bCs/>
          <w:kern w:val="36"/>
          <w:sz w:val="23"/>
          <w:szCs w:val="23"/>
        </w:rPr>
        <w:t xml:space="preserve"> </w:t>
      </w:r>
      <w:r w:rsidRPr="005F7E1B">
        <w:rPr>
          <w:rFonts w:ascii="Minion Pro" w:hAnsi="Minion Pro" w:cs="Arial"/>
        </w:rPr>
        <w:t xml:space="preserve">This issue often arises in insurance policies, but the paradigm case is in bills of lading (often containing no law or jurisdiction clause of their own) incorporating </w:t>
      </w:r>
      <w:proofErr w:type="spellStart"/>
      <w:r w:rsidRPr="005F7E1B">
        <w:rPr>
          <w:rFonts w:ascii="Minion Pro" w:hAnsi="Minion Pro" w:cs="Arial"/>
        </w:rPr>
        <w:t>charterparty</w:t>
      </w:r>
      <w:proofErr w:type="spellEnd"/>
      <w:r w:rsidRPr="005F7E1B">
        <w:rPr>
          <w:rFonts w:ascii="Minion Pro" w:hAnsi="Minion Pro" w:cs="Arial"/>
        </w:rPr>
        <w:t xml:space="preserve"> law and arbitration clauses. There is no issue that both contracts are in isolation valid, but should the question of incorporation be judged by putative law as if incorporated, or some other law (i.e. ascertaining the law of the bill </w:t>
      </w:r>
      <w:r w:rsidRPr="005F7E1B">
        <w:rPr>
          <w:rFonts w:ascii="Minion Pro" w:hAnsi="Minion Pro" w:cs="Arial"/>
          <w:u w:val="single"/>
        </w:rPr>
        <w:t>without</w:t>
      </w:r>
      <w:r w:rsidRPr="005F7E1B">
        <w:rPr>
          <w:rFonts w:ascii="Minion Pro" w:hAnsi="Minion Pro" w:cs="Arial"/>
        </w:rPr>
        <w:t xml:space="preserve"> incorporation by another conflicts ru</w:t>
      </w:r>
      <w:r>
        <w:rPr>
          <w:rFonts w:ascii="Minion Pro" w:hAnsi="Minion Pro" w:cs="Arial"/>
        </w:rPr>
        <w:t>le such as “closest connection”</w:t>
      </w:r>
      <w:r w:rsidRPr="005F7E1B">
        <w:rPr>
          <w:rFonts w:ascii="Minion Pro" w:hAnsi="Minion Pro" w:cs="Arial"/>
        </w:rPr>
        <w:t xml:space="preserve"> and then see if under the law so asce</w:t>
      </w:r>
      <w:r>
        <w:rPr>
          <w:rFonts w:ascii="Minion Pro" w:hAnsi="Minion Pro" w:cs="Arial"/>
        </w:rPr>
        <w:t>rtained there is incorporation)</w:t>
      </w:r>
      <w:r w:rsidRPr="005F7E1B">
        <w:rPr>
          <w:rFonts w:ascii="Minion Pro" w:hAnsi="Minion Pro" w:cs="Arial"/>
        </w:rPr>
        <w:t>?</w:t>
      </w:r>
      <w:r w:rsidRPr="005F7E1B">
        <w:rPr>
          <w:rStyle w:val="FootnoteReference"/>
          <w:rFonts w:ascii="Minion Pro" w:hAnsi="Minion Pro" w:cs="Arial"/>
        </w:rPr>
        <w:footnoteReference w:id="17"/>
      </w:r>
      <w:r w:rsidRPr="005F7E1B">
        <w:rPr>
          <w:rFonts w:ascii="Minion Pro" w:hAnsi="Minion Pro" w:cs="Arial"/>
        </w:rPr>
        <w:t xml:space="preserve"> There is the further complication that under English law the Rome Convention/Rome I do not apply to arbitration agreements – so is it a questi</w:t>
      </w:r>
      <w:r>
        <w:rPr>
          <w:rFonts w:ascii="Minion Pro" w:hAnsi="Minion Pro" w:cs="Arial"/>
        </w:rPr>
        <w:t>on of formation or construction</w:t>
      </w:r>
      <w:r w:rsidRPr="005F7E1B">
        <w:rPr>
          <w:rFonts w:ascii="Minion Pro" w:hAnsi="Minion Pro" w:cs="Arial"/>
        </w:rPr>
        <w:t xml:space="preserve">? </w:t>
      </w:r>
      <w:r w:rsidRPr="005F7E1B">
        <w:rPr>
          <w:rFonts w:ascii="Minion Pro" w:hAnsi="Minion Pro" w:cs="Arial"/>
          <w:i/>
        </w:rPr>
        <w:t xml:space="preserve">The </w:t>
      </w:r>
      <w:proofErr w:type="spellStart"/>
      <w:r w:rsidRPr="005F7E1B">
        <w:rPr>
          <w:rFonts w:ascii="Minion Pro" w:hAnsi="Minion Pro" w:cs="Arial"/>
          <w:i/>
        </w:rPr>
        <w:t>Heidberg</w:t>
      </w:r>
      <w:proofErr w:type="spellEnd"/>
      <w:r w:rsidRPr="005F7E1B">
        <w:rPr>
          <w:rStyle w:val="FootnoteReference"/>
          <w:rFonts w:ascii="Minion Pro" w:hAnsi="Minion Pro" w:cs="Arial"/>
        </w:rPr>
        <w:footnoteReference w:id="18"/>
      </w:r>
      <w:r w:rsidRPr="005F7E1B">
        <w:rPr>
          <w:rFonts w:ascii="Minion Pro" w:hAnsi="Minion Pro" w:cs="Arial"/>
        </w:rPr>
        <w:t xml:space="preserve"> and </w:t>
      </w:r>
      <w:proofErr w:type="spellStart"/>
      <w:r w:rsidRPr="005F7E1B">
        <w:rPr>
          <w:rFonts w:ascii="Minion Pro" w:hAnsi="Minion Pro" w:cs="Arial"/>
          <w:i/>
        </w:rPr>
        <w:t>Endesa</w:t>
      </w:r>
      <w:proofErr w:type="spellEnd"/>
      <w:r w:rsidRPr="005F7E1B">
        <w:rPr>
          <w:rStyle w:val="FootnoteReference"/>
          <w:rFonts w:ascii="Minion Pro" w:hAnsi="Minion Pro" w:cs="Arial"/>
        </w:rPr>
        <w:footnoteReference w:id="19"/>
      </w:r>
      <w:r w:rsidRPr="005F7E1B">
        <w:rPr>
          <w:rFonts w:ascii="Minion Pro" w:hAnsi="Minion Pro" w:cs="Arial"/>
        </w:rPr>
        <w:t xml:space="preserve"> say one adopts the putative applicable law approach. </w:t>
      </w:r>
      <w:r w:rsidRPr="005F7E1B">
        <w:rPr>
          <w:rFonts w:ascii="Minion Pro" w:hAnsi="Minion Pro" w:cs="Arial"/>
          <w:i/>
        </w:rPr>
        <w:t>The</w:t>
      </w:r>
      <w:r w:rsidRPr="005F7E1B">
        <w:rPr>
          <w:rFonts w:ascii="Minion Pro" w:hAnsi="Minion Pro" w:cs="Arial"/>
        </w:rPr>
        <w:t xml:space="preserve"> </w:t>
      </w:r>
      <w:proofErr w:type="spellStart"/>
      <w:r w:rsidRPr="005F7E1B">
        <w:rPr>
          <w:rFonts w:ascii="Minion Pro" w:hAnsi="Minion Pro" w:cs="Arial"/>
          <w:i/>
        </w:rPr>
        <w:t>Dolphina</w:t>
      </w:r>
      <w:proofErr w:type="spellEnd"/>
      <w:r w:rsidRPr="005F7E1B">
        <w:rPr>
          <w:rStyle w:val="FootnoteReference"/>
          <w:rFonts w:ascii="Minion Pro" w:hAnsi="Minion Pro" w:cs="Arial"/>
        </w:rPr>
        <w:footnoteReference w:id="20"/>
      </w:r>
      <w:r w:rsidRPr="005F7E1B">
        <w:rPr>
          <w:rFonts w:ascii="Minion Pro" w:hAnsi="Minion Pro" w:cs="Arial"/>
        </w:rPr>
        <w:t xml:space="preserve">  applied this orthodoxy in a non-arbitration context to ascertain the applicable law. This is important as English law is more “pro” incorporation than some other systems of law.</w:t>
      </w:r>
    </w:p>
    <w:p w:rsidR="00124080" w:rsidRPr="005F7E1B" w:rsidRDefault="00124080" w:rsidP="00124080">
      <w:pPr>
        <w:numPr>
          <w:ilvl w:val="0"/>
          <w:numId w:val="1"/>
        </w:numPr>
        <w:spacing w:after="240" w:line="360" w:lineRule="auto"/>
        <w:jc w:val="both"/>
        <w:rPr>
          <w:rFonts w:ascii="Minion Pro" w:hAnsi="Minion Pro" w:cs="Arial"/>
        </w:rPr>
      </w:pPr>
      <w:r w:rsidRPr="005F7E1B">
        <w:rPr>
          <w:rFonts w:ascii="Minion Pro" w:hAnsi="Minion Pro" w:cs="Arial"/>
        </w:rPr>
        <w:t xml:space="preserve">The problem with incorporation is compounded where the consignee becomes a party to the contract by endorsement – “consenting” to a document he has not seen and usually has no way of seeing. English law does not see this as a problem: </w:t>
      </w:r>
      <w:r w:rsidRPr="005F7E1B">
        <w:rPr>
          <w:rFonts w:ascii="Minion Pro" w:hAnsi="Minion Pro" w:cs="Arial"/>
          <w:i/>
        </w:rPr>
        <w:t>The Epsilon Rosa No. 2</w:t>
      </w:r>
      <w:r w:rsidRPr="005F7E1B">
        <w:rPr>
          <w:rFonts w:ascii="Minion Pro" w:hAnsi="Minion Pro" w:cs="Arial"/>
        </w:rPr>
        <w:t>.</w:t>
      </w:r>
      <w:r w:rsidRPr="005F7E1B">
        <w:rPr>
          <w:rStyle w:val="FootnoteReference"/>
          <w:rFonts w:ascii="Minion Pro" w:hAnsi="Minion Pro" w:cs="Arial"/>
        </w:rPr>
        <w:footnoteReference w:id="21"/>
      </w:r>
      <w:r w:rsidRPr="005F7E1B">
        <w:rPr>
          <w:rFonts w:ascii="Minion Pro" w:hAnsi="Minion Pro" w:cs="Arial"/>
        </w:rPr>
        <w:t xml:space="preserve"> (See also on a European perspective </w:t>
      </w:r>
      <w:r w:rsidRPr="005F7E1B">
        <w:rPr>
          <w:rFonts w:ascii="Minion Pro" w:hAnsi="Minion Pro" w:cs="Arial"/>
          <w:i/>
        </w:rPr>
        <w:t>The Tilly Russ</w:t>
      </w:r>
      <w:r w:rsidRPr="005F7E1B">
        <w:rPr>
          <w:rFonts w:ascii="Minion Pro" w:hAnsi="Minion Pro" w:cs="Arial"/>
        </w:rPr>
        <w:t>)</w:t>
      </w:r>
      <w:r w:rsidRPr="005F7E1B">
        <w:rPr>
          <w:rStyle w:val="FootnoteReference"/>
          <w:rFonts w:ascii="Minion Pro" w:hAnsi="Minion Pro" w:cs="Arial"/>
        </w:rPr>
        <w:footnoteReference w:id="22"/>
      </w:r>
      <w:r w:rsidRPr="005F7E1B">
        <w:rPr>
          <w:rFonts w:ascii="Minion Pro" w:hAnsi="Minion Pro" w:cs="Arial"/>
        </w:rPr>
        <w:t>.</w:t>
      </w:r>
    </w:p>
    <w:p w:rsidR="00124080" w:rsidRPr="005F7E1B" w:rsidRDefault="00124080" w:rsidP="00124080">
      <w:pPr>
        <w:numPr>
          <w:ilvl w:val="0"/>
          <w:numId w:val="1"/>
        </w:numPr>
        <w:spacing w:after="240" w:line="360" w:lineRule="auto"/>
        <w:jc w:val="both"/>
        <w:rPr>
          <w:rFonts w:ascii="Minion Pro" w:hAnsi="Minion Pro" w:cs="Arial"/>
        </w:rPr>
      </w:pPr>
      <w:r w:rsidRPr="005F7E1B">
        <w:rPr>
          <w:rFonts w:ascii="Minion Pro" w:hAnsi="Minion Pro" w:cs="Arial"/>
        </w:rPr>
        <w:t>The issue of incorporation of arbitration and jurisdiction clauses into bills of lading generally is a large one beyond the scope of this talk. Its importance and topicality may be judged from the continuing stream of cases and other legal commentaries</w:t>
      </w:r>
      <w:r w:rsidRPr="005F7E1B">
        <w:rPr>
          <w:rStyle w:val="FootnoteReference"/>
          <w:rFonts w:ascii="Minion Pro" w:hAnsi="Minion Pro" w:cs="Arial"/>
        </w:rPr>
        <w:footnoteReference w:id="23"/>
      </w:r>
      <w:r w:rsidRPr="005F7E1B">
        <w:rPr>
          <w:rFonts w:ascii="Minion Pro" w:hAnsi="Minion Pro" w:cs="Arial"/>
        </w:rPr>
        <w:t xml:space="preserve"> on the subject</w:t>
      </w:r>
    </w:p>
    <w:p w:rsidR="00124080" w:rsidRPr="005F7E1B" w:rsidRDefault="00124080" w:rsidP="00124080">
      <w:pPr>
        <w:numPr>
          <w:ilvl w:val="0"/>
          <w:numId w:val="1"/>
        </w:numPr>
        <w:spacing w:after="240" w:line="360" w:lineRule="auto"/>
        <w:jc w:val="both"/>
        <w:rPr>
          <w:rFonts w:ascii="Minion Pro" w:hAnsi="Minion Pro" w:cs="Arial"/>
        </w:rPr>
      </w:pPr>
      <w:r w:rsidRPr="005F7E1B">
        <w:rPr>
          <w:rFonts w:ascii="Minion Pro" w:hAnsi="Minion Pro" w:cs="Arial"/>
        </w:rPr>
        <w:t xml:space="preserve">Issue estoppel is important in the context of multiple proceedings. In </w:t>
      </w:r>
      <w:r w:rsidRPr="005F7E1B">
        <w:rPr>
          <w:rFonts w:ascii="Minion Pro" w:hAnsi="Minion Pro" w:cs="Arial"/>
          <w:i/>
        </w:rPr>
        <w:t xml:space="preserve">The </w:t>
      </w:r>
      <w:proofErr w:type="spellStart"/>
      <w:r w:rsidRPr="005F7E1B">
        <w:rPr>
          <w:rFonts w:ascii="Minion Pro" w:hAnsi="Minion Pro" w:cs="Arial"/>
          <w:i/>
        </w:rPr>
        <w:t>Wadi</w:t>
      </w:r>
      <w:proofErr w:type="spellEnd"/>
      <w:r w:rsidRPr="005F7E1B">
        <w:rPr>
          <w:rFonts w:ascii="Minion Pro" w:hAnsi="Minion Pro" w:cs="Arial"/>
          <w:i/>
        </w:rPr>
        <w:t xml:space="preserve"> </w:t>
      </w:r>
      <w:proofErr w:type="spellStart"/>
      <w:r w:rsidRPr="005F7E1B">
        <w:rPr>
          <w:rFonts w:ascii="Minion Pro" w:hAnsi="Minion Pro" w:cs="Arial"/>
          <w:i/>
        </w:rPr>
        <w:t>Sudr</w:t>
      </w:r>
      <w:proofErr w:type="spellEnd"/>
      <w:r w:rsidRPr="005F7E1B">
        <w:rPr>
          <w:rStyle w:val="FootnoteReference"/>
          <w:rFonts w:ascii="Minion Pro" w:hAnsi="Minion Pro" w:cs="Arial"/>
        </w:rPr>
        <w:footnoteReference w:id="24"/>
      </w:r>
      <w:r w:rsidRPr="005F7E1B">
        <w:rPr>
          <w:rFonts w:ascii="Minion Pro" w:hAnsi="Minion Pro" w:cs="Arial"/>
          <w:i/>
        </w:rPr>
        <w:t xml:space="preserve"> </w:t>
      </w:r>
      <w:r w:rsidRPr="005F7E1B">
        <w:rPr>
          <w:rFonts w:ascii="Minion Pro" w:hAnsi="Minion Pro" w:cs="Arial"/>
        </w:rPr>
        <w:t xml:space="preserve">a cargo claimant in Spain commenced Spanish proceedings against </w:t>
      </w:r>
      <w:proofErr w:type="spellStart"/>
      <w:r w:rsidRPr="005F7E1B">
        <w:rPr>
          <w:rFonts w:ascii="Minion Pro" w:hAnsi="Minion Pro" w:cs="Arial"/>
        </w:rPr>
        <w:t>shipowners</w:t>
      </w:r>
      <w:proofErr w:type="spellEnd"/>
      <w:r w:rsidRPr="005F7E1B">
        <w:rPr>
          <w:rFonts w:ascii="Minion Pro" w:hAnsi="Minion Pro" w:cs="Arial"/>
        </w:rPr>
        <w:t xml:space="preserve"> whose application for a stay on the basis of an arbitration clause was dismissed with the court holding that the clause was not incorporated. This created an issue estoppel, as the three basic requirements for this ((1) a final and conclusive determination on the merits (2) between the same parties (3) of the same issue) were met. See also for a successful plea of “res judicata” </w:t>
      </w:r>
      <w:r w:rsidRPr="005F7E1B">
        <w:rPr>
          <w:rFonts w:ascii="Minion Pro" w:hAnsi="Minion Pro" w:cs="Arial"/>
          <w:i/>
        </w:rPr>
        <w:t xml:space="preserve">Kazakhstan v </w:t>
      </w:r>
      <w:proofErr w:type="spellStart"/>
      <w:r w:rsidRPr="005F7E1B">
        <w:rPr>
          <w:rFonts w:ascii="Minion Pro" w:hAnsi="Minion Pro" w:cs="Arial"/>
          <w:i/>
        </w:rPr>
        <w:t>Istil</w:t>
      </w:r>
      <w:proofErr w:type="spellEnd"/>
      <w:r w:rsidRPr="005F7E1B">
        <w:rPr>
          <w:rFonts w:ascii="Minion Pro" w:hAnsi="Minion Pro" w:cs="Arial"/>
        </w:rPr>
        <w:t xml:space="preserve"> [2006] 2 Lloyd's Rep. 370, [2007] 2 Lloyd's Rep. 548 where the issue estoppel arose from a Paris court judgment.</w:t>
      </w:r>
    </w:p>
    <w:p w:rsidR="00124080" w:rsidRPr="005F7E1B" w:rsidRDefault="00124080" w:rsidP="00124080">
      <w:pPr>
        <w:numPr>
          <w:ilvl w:val="0"/>
          <w:numId w:val="1"/>
        </w:numPr>
        <w:spacing w:after="240" w:line="360" w:lineRule="auto"/>
        <w:jc w:val="both"/>
        <w:rPr>
          <w:rFonts w:ascii="Minion Pro" w:hAnsi="Minion Pro" w:cs="Arial"/>
        </w:rPr>
      </w:pPr>
      <w:r w:rsidRPr="005F7E1B">
        <w:rPr>
          <w:rFonts w:ascii="Minion Pro" w:hAnsi="Minion Pro" w:cs="Arial"/>
        </w:rPr>
        <w:t xml:space="preserve">This raises questions about the rationale and scope of issue estoppel by foreign judgments. Is it based on public policy in favour of finality or comity (or both)? In </w:t>
      </w:r>
      <w:r w:rsidRPr="005F7E1B">
        <w:rPr>
          <w:rFonts w:ascii="Minion Pro" w:hAnsi="Minion Pro" w:cs="Arial"/>
          <w:i/>
        </w:rPr>
        <w:t xml:space="preserve">Yukos v </w:t>
      </w:r>
      <w:proofErr w:type="spellStart"/>
      <w:r w:rsidRPr="005F7E1B">
        <w:rPr>
          <w:rFonts w:ascii="Minion Pro" w:hAnsi="Minion Pro" w:cs="Arial"/>
          <w:i/>
        </w:rPr>
        <w:t>Rosneft</w:t>
      </w:r>
      <w:proofErr w:type="spellEnd"/>
      <w:r w:rsidRPr="005F7E1B">
        <w:rPr>
          <w:rStyle w:val="FootnoteReference"/>
          <w:rFonts w:ascii="Minion Pro" w:hAnsi="Minion Pro" w:cs="Arial"/>
          <w:i/>
        </w:rPr>
        <w:footnoteReference w:id="25"/>
      </w:r>
      <w:r w:rsidRPr="005F7E1B">
        <w:rPr>
          <w:rFonts w:ascii="Minion Pro" w:hAnsi="Minion Pro" w:cs="Arial"/>
        </w:rPr>
        <w:t xml:space="preserve"> the main issue was</w:t>
      </w:r>
      <w:r>
        <w:rPr>
          <w:rFonts w:ascii="Minion Pro" w:hAnsi="Minion Pro" w:cs="Arial"/>
        </w:rPr>
        <w:t xml:space="preserve"> on acts of state, but an issue</w:t>
      </w:r>
      <w:r w:rsidRPr="005F7E1B">
        <w:rPr>
          <w:rFonts w:ascii="Minion Pro" w:hAnsi="Minion Pro" w:cs="Arial"/>
        </w:rPr>
        <w:t xml:space="preserve"> was whether a Dutch court’s decision not to enforce an award, on public policy grounds, estopped the English court from considering this question afresh. It was held not, as Dutch and English public policy were different. Sometimes having two conflicting judgments is a lesser evil than precluding a party from pursuing a claim where he can found jurisdiction. Query whether there is scope to argue that a decision of court X on whether there is a contract made/incorporated, reached by applying “conflicts” law X1, creates no estoppel in relation to  court Y which has to decide it by law Y1.</w:t>
      </w:r>
    </w:p>
    <w:p w:rsidR="00124080" w:rsidRPr="005F7E1B" w:rsidRDefault="00124080" w:rsidP="00124080">
      <w:pPr>
        <w:numPr>
          <w:ilvl w:val="0"/>
          <w:numId w:val="1"/>
        </w:numPr>
        <w:spacing w:after="240" w:line="360" w:lineRule="auto"/>
        <w:jc w:val="both"/>
        <w:rPr>
          <w:rFonts w:ascii="Minion Pro" w:hAnsi="Minion Pro" w:cs="Arial"/>
        </w:rPr>
      </w:pPr>
      <w:r w:rsidRPr="005F7E1B">
        <w:rPr>
          <w:rFonts w:ascii="Minion Pro" w:hAnsi="Minion Pro" w:cs="Arial"/>
        </w:rPr>
        <w:t xml:space="preserve">In </w:t>
      </w:r>
      <w:proofErr w:type="spellStart"/>
      <w:r w:rsidRPr="005F7E1B">
        <w:rPr>
          <w:rFonts w:ascii="Minion Pro" w:hAnsi="Minion Pro" w:cs="Arial"/>
          <w:i/>
        </w:rPr>
        <w:t>Sovarex</w:t>
      </w:r>
      <w:proofErr w:type="spellEnd"/>
      <w:r w:rsidRPr="005F7E1B">
        <w:rPr>
          <w:rFonts w:ascii="Minion Pro" w:hAnsi="Minion Pro" w:cs="Arial"/>
          <w:i/>
        </w:rPr>
        <w:t xml:space="preserve"> v Alvarez</w:t>
      </w:r>
      <w:r w:rsidRPr="005F7E1B">
        <w:rPr>
          <w:rStyle w:val="FootnoteReference"/>
          <w:rFonts w:ascii="Minion Pro" w:hAnsi="Minion Pro" w:cs="Arial"/>
        </w:rPr>
        <w:footnoteReference w:id="26"/>
      </w:r>
      <w:r w:rsidRPr="005F7E1B">
        <w:rPr>
          <w:rFonts w:ascii="Minion Pro" w:hAnsi="Minion Pro" w:cs="Arial"/>
        </w:rPr>
        <w:t xml:space="preserve"> the English court held that it was not bound by a procedural order issued by a Spanish court which refused a stay in favour of arbitration, because the Spanish court had not finally determined the issue of whether there was an arbitration agreement. A similar conclusion was reached in </w:t>
      </w:r>
      <w:proofErr w:type="spellStart"/>
      <w:r w:rsidRPr="005F7E1B">
        <w:rPr>
          <w:rFonts w:ascii="Minion Pro" w:hAnsi="Minion Pro" w:cs="Arial"/>
          <w:bCs/>
          <w:i/>
        </w:rPr>
        <w:t>Enercon</w:t>
      </w:r>
      <w:proofErr w:type="spellEnd"/>
      <w:r w:rsidRPr="005F7E1B">
        <w:rPr>
          <w:rFonts w:ascii="Minion Pro" w:hAnsi="Minion Pro" w:cs="Arial"/>
          <w:bCs/>
          <w:i/>
        </w:rPr>
        <w:t xml:space="preserve"> v </w:t>
      </w:r>
      <w:proofErr w:type="spellStart"/>
      <w:r w:rsidRPr="005F7E1B">
        <w:rPr>
          <w:rFonts w:ascii="Minion Pro" w:hAnsi="Minion Pro" w:cs="Arial"/>
          <w:bCs/>
          <w:i/>
        </w:rPr>
        <w:t>Enercon</w:t>
      </w:r>
      <w:proofErr w:type="spellEnd"/>
      <w:r w:rsidRPr="005F7E1B">
        <w:rPr>
          <w:rStyle w:val="FootnoteReference"/>
          <w:rFonts w:ascii="Minion Pro" w:hAnsi="Minion Pro" w:cs="Arial"/>
          <w:bCs/>
          <w:i/>
        </w:rPr>
        <w:footnoteReference w:id="27"/>
      </w:r>
      <w:r w:rsidRPr="005F7E1B">
        <w:rPr>
          <w:rFonts w:ascii="Minion Pro" w:hAnsi="Minion Pro" w:cs="Arial"/>
          <w:bCs/>
        </w:rPr>
        <w:t>.</w:t>
      </w:r>
      <w:r w:rsidRPr="005F7E1B">
        <w:rPr>
          <w:rFonts w:ascii="Minion Pro" w:hAnsi="Minion Pro" w:cs="Arial"/>
        </w:rPr>
        <w:t xml:space="preserve"> </w:t>
      </w:r>
    </w:p>
    <w:p w:rsidR="00124080" w:rsidRPr="005F7E1B" w:rsidRDefault="00124080" w:rsidP="00124080">
      <w:pPr>
        <w:numPr>
          <w:ilvl w:val="0"/>
          <w:numId w:val="1"/>
        </w:numPr>
        <w:spacing w:after="240" w:line="360" w:lineRule="auto"/>
        <w:jc w:val="both"/>
        <w:rPr>
          <w:rFonts w:ascii="Minion Pro" w:hAnsi="Minion Pro" w:cs="Arial"/>
        </w:rPr>
      </w:pPr>
      <w:r w:rsidRPr="005F7E1B">
        <w:rPr>
          <w:rFonts w:ascii="Minion Pro" w:hAnsi="Minion Pro" w:cs="Arial"/>
        </w:rPr>
        <w:t xml:space="preserve">In a State context </w:t>
      </w:r>
      <w:proofErr w:type="spellStart"/>
      <w:r w:rsidRPr="005F7E1B">
        <w:rPr>
          <w:rFonts w:ascii="Minion Pro" w:hAnsi="Minion Pro" w:cs="Arial"/>
          <w:i/>
        </w:rPr>
        <w:t>Svenska</w:t>
      </w:r>
      <w:proofErr w:type="spellEnd"/>
      <w:r w:rsidRPr="005F7E1B">
        <w:rPr>
          <w:rFonts w:ascii="Minion Pro" w:hAnsi="Minion Pro" w:cs="Arial"/>
          <w:i/>
        </w:rPr>
        <w:t xml:space="preserve"> v Lithuania</w:t>
      </w:r>
      <w:r w:rsidRPr="005F7E1B">
        <w:rPr>
          <w:rFonts w:ascii="Minion Pro" w:hAnsi="Minion Pro" w:cs="Arial"/>
        </w:rPr>
        <w:t xml:space="preserve"> [2007] 1 Lloyd's Rep. 193 is instructive as holding that at an enforcement level an estoppel may arise from an award precluding a party from taking the “not a party to the agreement” issue.</w:t>
      </w:r>
    </w:p>
    <w:p w:rsidR="00124080" w:rsidRPr="005F7E1B" w:rsidRDefault="00124080" w:rsidP="00124080">
      <w:pPr>
        <w:numPr>
          <w:ilvl w:val="0"/>
          <w:numId w:val="1"/>
        </w:numPr>
        <w:spacing w:after="240" w:line="360" w:lineRule="auto"/>
        <w:jc w:val="both"/>
        <w:rPr>
          <w:rFonts w:ascii="Minion Pro" w:hAnsi="Minion Pro" w:cs="Arial"/>
        </w:rPr>
      </w:pPr>
      <w:proofErr w:type="spellStart"/>
      <w:r w:rsidRPr="005F7E1B">
        <w:rPr>
          <w:rFonts w:ascii="Minion Pro" w:hAnsi="Minion Pro" w:cs="Arial"/>
        </w:rPr>
        <w:t>Popplewell</w:t>
      </w:r>
      <w:proofErr w:type="spellEnd"/>
      <w:r w:rsidRPr="005F7E1B">
        <w:rPr>
          <w:rFonts w:ascii="Minion Pro" w:hAnsi="Minion Pro" w:cs="Arial"/>
        </w:rPr>
        <w:t xml:space="preserve"> J. recently confirmed, in </w:t>
      </w:r>
      <w:r w:rsidRPr="005F7E1B">
        <w:rPr>
          <w:rFonts w:ascii="Minion Pro" w:hAnsi="Minion Pro" w:cs="Arial"/>
          <w:i/>
        </w:rPr>
        <w:t xml:space="preserve">Emirates Trading v </w:t>
      </w:r>
      <w:proofErr w:type="spellStart"/>
      <w:r w:rsidRPr="005F7E1B">
        <w:rPr>
          <w:rFonts w:ascii="Minion Pro" w:hAnsi="Minion Pro" w:cs="Arial"/>
          <w:i/>
        </w:rPr>
        <w:t>Sociedade</w:t>
      </w:r>
      <w:proofErr w:type="spellEnd"/>
      <w:r w:rsidRPr="005F7E1B">
        <w:rPr>
          <w:rFonts w:ascii="Minion Pro" w:hAnsi="Minion Pro" w:cs="Arial"/>
          <w:i/>
        </w:rPr>
        <w:t xml:space="preserve"> de </w:t>
      </w:r>
      <w:proofErr w:type="spellStart"/>
      <w:r w:rsidRPr="005F7E1B">
        <w:rPr>
          <w:rFonts w:ascii="Minion Pro" w:hAnsi="Minion Pro" w:cs="Arial"/>
          <w:i/>
        </w:rPr>
        <w:t>Fomento</w:t>
      </w:r>
      <w:proofErr w:type="spellEnd"/>
      <w:r w:rsidRPr="005F7E1B">
        <w:rPr>
          <w:rFonts w:ascii="Minion Pro" w:hAnsi="Minion Pro" w:cs="Arial"/>
        </w:rPr>
        <w:t xml:space="preserve"> [2015] EWHC 1452 the correctness of the conventional view that an award on jurisdiction by a Tribunal creates an issue estoppel, subject to the right to challenge the award under s.67 of the AA.</w:t>
      </w:r>
    </w:p>
    <w:p w:rsidR="00124080" w:rsidRPr="005F7E1B" w:rsidRDefault="00124080" w:rsidP="00124080">
      <w:pPr>
        <w:spacing w:after="240" w:line="360" w:lineRule="auto"/>
        <w:jc w:val="both"/>
        <w:rPr>
          <w:rFonts w:ascii="Minion Pro" w:hAnsi="Minion Pro" w:cs="Arial"/>
          <w:b/>
        </w:rPr>
      </w:pPr>
      <w:r w:rsidRPr="005F7E1B">
        <w:rPr>
          <w:rFonts w:ascii="Minion Pro" w:hAnsi="Minion Pro" w:cs="Arial"/>
          <w:b/>
          <w:i/>
        </w:rPr>
        <w:t>Tactical Strike – not Italian torpedo but Chinese missile</w:t>
      </w:r>
      <w:r w:rsidRPr="005F7E1B">
        <w:rPr>
          <w:rFonts w:ascii="Minion Pro" w:hAnsi="Minion Pro" w:cs="Arial"/>
          <w:b/>
        </w:rPr>
        <w:t xml:space="preserve"> </w:t>
      </w:r>
    </w:p>
    <w:p w:rsidR="00124080" w:rsidRPr="005F7E1B" w:rsidRDefault="00124080" w:rsidP="00124080">
      <w:pPr>
        <w:numPr>
          <w:ilvl w:val="0"/>
          <w:numId w:val="1"/>
        </w:numPr>
        <w:spacing w:after="240" w:line="360" w:lineRule="auto"/>
        <w:jc w:val="both"/>
        <w:rPr>
          <w:rFonts w:ascii="Minion Pro" w:hAnsi="Minion Pro" w:cs="Arial"/>
        </w:rPr>
      </w:pPr>
      <w:r w:rsidRPr="005F7E1B">
        <w:rPr>
          <w:rFonts w:ascii="Minion Pro" w:hAnsi="Minion Pro" w:cs="Arial"/>
        </w:rPr>
        <w:t xml:space="preserve">Presented by some commentators as a case of “pre-emptive strike” in a “friendly” court”, in </w:t>
      </w:r>
      <w:r w:rsidRPr="005F7E1B">
        <w:rPr>
          <w:rStyle w:val="Emphasis"/>
          <w:rFonts w:ascii="Minion Pro" w:hAnsi="Minion Pro" w:cs="Arial"/>
          <w:color w:val="000000"/>
        </w:rPr>
        <w:t>Giant Light Metal Technology (</w:t>
      </w:r>
      <w:proofErr w:type="spellStart"/>
      <w:r w:rsidRPr="005F7E1B">
        <w:rPr>
          <w:rStyle w:val="Emphasis"/>
          <w:rFonts w:ascii="Minion Pro" w:hAnsi="Minion Pro" w:cs="Arial"/>
          <w:color w:val="000000"/>
        </w:rPr>
        <w:t>Kunshan</w:t>
      </w:r>
      <w:proofErr w:type="spellEnd"/>
      <w:r w:rsidRPr="005F7E1B">
        <w:rPr>
          <w:rStyle w:val="Emphasis"/>
          <w:rFonts w:ascii="Minion Pro" w:hAnsi="Minion Pro" w:cs="Arial"/>
          <w:color w:val="000000"/>
        </w:rPr>
        <w:t xml:space="preserve">) Co Ltd v </w:t>
      </w:r>
      <w:proofErr w:type="spellStart"/>
      <w:r w:rsidRPr="005F7E1B">
        <w:rPr>
          <w:rStyle w:val="Emphasis"/>
          <w:rFonts w:ascii="Minion Pro" w:hAnsi="Minion Pro" w:cs="Arial"/>
          <w:color w:val="000000"/>
        </w:rPr>
        <w:t>Aksa</w:t>
      </w:r>
      <w:proofErr w:type="spellEnd"/>
      <w:r w:rsidRPr="005F7E1B">
        <w:rPr>
          <w:rStyle w:val="Emphasis"/>
          <w:rFonts w:ascii="Minion Pro" w:hAnsi="Minion Pro" w:cs="Arial"/>
          <w:color w:val="000000"/>
        </w:rPr>
        <w:t xml:space="preserve"> Far East Pte Ltd</w:t>
      </w:r>
      <w:r w:rsidRPr="005F7E1B">
        <w:rPr>
          <w:rStyle w:val="FootnoteReference"/>
          <w:rFonts w:ascii="Minion Pro" w:hAnsi="Minion Pro" w:cs="Arial"/>
          <w:i/>
          <w:iCs/>
          <w:color w:val="000000"/>
        </w:rPr>
        <w:footnoteReference w:id="28"/>
      </w:r>
      <w:r w:rsidRPr="005F7E1B">
        <w:rPr>
          <w:rStyle w:val="Emphasis"/>
          <w:rFonts w:ascii="Minion Pro" w:hAnsi="Minion Pro" w:cs="Arial"/>
          <w:i w:val="0"/>
          <w:color w:val="000000"/>
        </w:rPr>
        <w:t xml:space="preserve"> despite an arbitration agreement between the parties the claimant obtained a judgment in his favour in the PRC which he then sought to enforce, relying on the issue estoppel created by the judgment</w:t>
      </w:r>
      <w:r w:rsidRPr="005F7E1B">
        <w:rPr>
          <w:rFonts w:ascii="Minion Pro" w:hAnsi="Minion Pro" w:cs="Arial"/>
          <w:color w:val="000000"/>
        </w:rPr>
        <w:t xml:space="preserve">. The Defendant’s application in the Singapore courts for a stay of the enforcement proceedings failed, partly because they were enforcement proceedings and not properly the subject matter of arbitration. The defendant had not challenged the PRC court jurisdiction and he was now estopped by it. </w:t>
      </w:r>
    </w:p>
    <w:p w:rsidR="00124080" w:rsidRPr="005F7E1B" w:rsidRDefault="00124080" w:rsidP="00124080">
      <w:pPr>
        <w:numPr>
          <w:ilvl w:val="0"/>
          <w:numId w:val="1"/>
        </w:numPr>
        <w:spacing w:after="240" w:line="360" w:lineRule="auto"/>
        <w:jc w:val="both"/>
        <w:rPr>
          <w:rFonts w:ascii="Minion Pro" w:hAnsi="Minion Pro" w:cs="Arial"/>
        </w:rPr>
      </w:pPr>
      <w:r w:rsidRPr="005F7E1B">
        <w:rPr>
          <w:rFonts w:ascii="Minion Pro" w:hAnsi="Minion Pro" w:cs="Arial"/>
          <w:color w:val="000000"/>
        </w:rPr>
        <w:t>In English law a specific provision of the CJJA (s. 32)</w:t>
      </w:r>
      <w:r w:rsidRPr="005F7E1B">
        <w:rPr>
          <w:rStyle w:val="FootnoteReference"/>
          <w:rFonts w:ascii="Minion Pro" w:hAnsi="Minion Pro" w:cs="Arial"/>
          <w:color w:val="000000"/>
        </w:rPr>
        <w:footnoteReference w:id="29"/>
      </w:r>
      <w:r w:rsidRPr="005F7E1B">
        <w:rPr>
          <w:rFonts w:ascii="Minion Pro" w:hAnsi="Minion Pro" w:cs="Arial"/>
          <w:color w:val="000000"/>
        </w:rPr>
        <w:t xml:space="preserve"> prevents an estoppel arising from foreign court determinations of the validity of arbitration or jurisdiction clauses, except for EU state judgments.</w:t>
      </w:r>
    </w:p>
    <w:p w:rsidR="00124080" w:rsidRPr="005F7E1B" w:rsidRDefault="00124080" w:rsidP="00124080">
      <w:pPr>
        <w:spacing w:after="240" w:line="360" w:lineRule="auto"/>
        <w:jc w:val="both"/>
        <w:rPr>
          <w:rFonts w:ascii="Minion Pro" w:hAnsi="Minion Pro" w:cs="Arial"/>
          <w:i/>
        </w:rPr>
      </w:pPr>
      <w:r w:rsidRPr="005F7E1B">
        <w:rPr>
          <w:rFonts w:ascii="Minion Pro" w:hAnsi="Minion Pro" w:cs="Arial"/>
          <w:i/>
        </w:rPr>
        <w:t>Case Study 1</w:t>
      </w:r>
    </w:p>
    <w:p w:rsidR="00124080" w:rsidRPr="005F7E1B" w:rsidRDefault="00124080" w:rsidP="00124080">
      <w:pPr>
        <w:numPr>
          <w:ilvl w:val="0"/>
          <w:numId w:val="1"/>
        </w:numPr>
        <w:spacing w:after="240" w:line="360" w:lineRule="auto"/>
        <w:jc w:val="both"/>
        <w:rPr>
          <w:rFonts w:ascii="Minion Pro" w:hAnsi="Minion Pro" w:cs="Arial"/>
        </w:rPr>
      </w:pPr>
      <w:r w:rsidRPr="005F7E1B">
        <w:rPr>
          <w:rFonts w:ascii="Minion Pro" w:hAnsi="Minion Pro" w:cs="Arial"/>
        </w:rPr>
        <w:t xml:space="preserve">A good example of the potential complications is given in the recent case of </w:t>
      </w:r>
      <w:r w:rsidRPr="005F7E1B">
        <w:rPr>
          <w:rFonts w:ascii="Minion Pro" w:hAnsi="Minion Pro" w:cs="Arial"/>
          <w:i/>
        </w:rPr>
        <w:t xml:space="preserve">Golden Ocean Group v </w:t>
      </w:r>
      <w:proofErr w:type="spellStart"/>
      <w:r w:rsidRPr="005F7E1B">
        <w:rPr>
          <w:rFonts w:ascii="Minion Pro" w:hAnsi="Minion Pro" w:cs="Arial"/>
          <w:i/>
        </w:rPr>
        <w:t>Humpuss</w:t>
      </w:r>
      <w:proofErr w:type="spellEnd"/>
      <w:r w:rsidRPr="005F7E1B">
        <w:rPr>
          <w:rFonts w:ascii="Minion Pro" w:hAnsi="Minion Pro" w:cs="Arial"/>
          <w:i/>
        </w:rPr>
        <w:t xml:space="preserve"> </w:t>
      </w:r>
      <w:proofErr w:type="spellStart"/>
      <w:r w:rsidRPr="005F7E1B">
        <w:rPr>
          <w:rFonts w:ascii="Minion Pro" w:hAnsi="Minion Pro" w:cs="Arial"/>
          <w:i/>
        </w:rPr>
        <w:t>Intermoda</w:t>
      </w:r>
      <w:proofErr w:type="spellEnd"/>
      <w:r w:rsidRPr="005F7E1B">
        <w:rPr>
          <w:rFonts w:ascii="Minion Pro" w:hAnsi="Minion Pro" w:cs="Arial"/>
          <w:i/>
        </w:rPr>
        <w:t xml:space="preserve"> </w:t>
      </w:r>
      <w:proofErr w:type="spellStart"/>
      <w:r w:rsidRPr="005F7E1B">
        <w:rPr>
          <w:rFonts w:ascii="Minion Pro" w:hAnsi="Minion Pro" w:cs="Arial"/>
          <w:i/>
        </w:rPr>
        <w:t>Transportasi</w:t>
      </w:r>
      <w:proofErr w:type="spellEnd"/>
      <w:r w:rsidRPr="005F7E1B">
        <w:rPr>
          <w:rFonts w:ascii="Minion Pro" w:hAnsi="Minion Pro" w:cs="Arial"/>
          <w:i/>
        </w:rPr>
        <w:t xml:space="preserve"> </w:t>
      </w:r>
      <w:proofErr w:type="spellStart"/>
      <w:r w:rsidRPr="005F7E1B">
        <w:rPr>
          <w:rFonts w:ascii="Minion Pro" w:hAnsi="Minion Pro" w:cs="Arial"/>
          <w:i/>
        </w:rPr>
        <w:t>Tbk</w:t>
      </w:r>
      <w:proofErr w:type="spellEnd"/>
      <w:r w:rsidRPr="005F7E1B">
        <w:rPr>
          <w:rFonts w:ascii="Minion Pro" w:hAnsi="Minion Pro" w:cs="Arial"/>
        </w:rPr>
        <w:t xml:space="preserve"> [2013] EWHC 1240 (</w:t>
      </w:r>
      <w:proofErr w:type="spellStart"/>
      <w:r w:rsidRPr="005F7E1B">
        <w:rPr>
          <w:rFonts w:ascii="Minion Pro" w:hAnsi="Minion Pro" w:cs="Arial"/>
        </w:rPr>
        <w:t>Comm</w:t>
      </w:r>
      <w:proofErr w:type="spellEnd"/>
      <w:r w:rsidRPr="005F7E1B">
        <w:rPr>
          <w:rFonts w:ascii="Minion Pro" w:hAnsi="Minion Pro" w:cs="Arial"/>
        </w:rPr>
        <w:t xml:space="preserve">). The facts were deceptively simply. C contended that it had chartered a vessel, on terms including an English arbitration clause, from D1. D1 and D2 alleged that the charter was actually with D2, D1’s subsidiary. An addendum to the charter, between C and D2, agreed to refer disputes to Singapore arbitration. C argued that the addendum was void for mistake. C obtained an English award to the effect that the charter was with D1 and took various steps in an English court action to enforce the award and enjoin D2 from pursuing Singapore arbitration. </w:t>
      </w:r>
      <w:proofErr w:type="spellStart"/>
      <w:r w:rsidRPr="005F7E1B">
        <w:rPr>
          <w:rFonts w:ascii="Minion Pro" w:hAnsi="Minion Pro" w:cs="Arial"/>
        </w:rPr>
        <w:t>Popplewell</w:t>
      </w:r>
      <w:proofErr w:type="spellEnd"/>
      <w:r w:rsidRPr="005F7E1B">
        <w:rPr>
          <w:rFonts w:ascii="Minion Pro" w:hAnsi="Minion Pro" w:cs="Arial"/>
        </w:rPr>
        <w:t xml:space="preserve"> J. undertook a detailed review of the relationship between section 9 of the AA (concerning the stay of proceedings)</w:t>
      </w:r>
      <w:r w:rsidRPr="005F7E1B">
        <w:rPr>
          <w:rStyle w:val="FootnoteReference"/>
          <w:rFonts w:ascii="Minion Pro" w:hAnsi="Minion Pro" w:cs="Arial"/>
        </w:rPr>
        <w:footnoteReference w:id="30"/>
      </w:r>
      <w:r w:rsidRPr="005F7E1B">
        <w:rPr>
          <w:rFonts w:ascii="Minion Pro" w:hAnsi="Minion Pro" w:cs="Arial"/>
        </w:rPr>
        <w:t xml:space="preserve"> and the doctrine of </w:t>
      </w:r>
      <w:proofErr w:type="spellStart"/>
      <w:r w:rsidRPr="005F7E1B">
        <w:rPr>
          <w:rFonts w:ascii="Minion Pro" w:hAnsi="Minion Pro" w:cs="Arial"/>
        </w:rPr>
        <w:t>Kompetenz-Kompetenz</w:t>
      </w:r>
      <w:proofErr w:type="spellEnd"/>
      <w:r w:rsidRPr="005F7E1B">
        <w:rPr>
          <w:rFonts w:ascii="Minion Pro" w:hAnsi="Minion Pro" w:cs="Arial"/>
        </w:rPr>
        <w:t xml:space="preserve">, and granted an interim anti-arbitration injunction. </w:t>
      </w:r>
    </w:p>
    <w:p w:rsidR="00124080" w:rsidRPr="005F7E1B" w:rsidRDefault="00124080" w:rsidP="00124080">
      <w:pPr>
        <w:spacing w:after="240" w:line="360" w:lineRule="auto"/>
        <w:jc w:val="both"/>
        <w:rPr>
          <w:rFonts w:ascii="Minion Pro" w:hAnsi="Minion Pro" w:cs="Arial"/>
          <w:i/>
        </w:rPr>
      </w:pPr>
      <w:r w:rsidRPr="005F7E1B">
        <w:rPr>
          <w:rFonts w:ascii="Minion Pro" w:hAnsi="Minion Pro" w:cs="Arial"/>
          <w:i/>
        </w:rPr>
        <w:t>Case Study 2</w:t>
      </w:r>
    </w:p>
    <w:p w:rsidR="00124080" w:rsidRPr="005F7E1B" w:rsidRDefault="00124080" w:rsidP="00124080">
      <w:pPr>
        <w:numPr>
          <w:ilvl w:val="0"/>
          <w:numId w:val="1"/>
        </w:numPr>
        <w:spacing w:after="240" w:line="360" w:lineRule="auto"/>
        <w:jc w:val="both"/>
        <w:rPr>
          <w:rFonts w:ascii="Minion Pro" w:hAnsi="Minion Pro" w:cs="Arial"/>
        </w:rPr>
      </w:pPr>
      <w:r w:rsidRPr="005F7E1B">
        <w:rPr>
          <w:rFonts w:ascii="Minion Pro" w:hAnsi="Minion Pro" w:cs="Arial"/>
        </w:rPr>
        <w:t>For similar jurisdictional issues arising between rival English and Singapore arbitrations, see “</w:t>
      </w:r>
      <w:r w:rsidRPr="005F7E1B">
        <w:rPr>
          <w:rFonts w:ascii="Minion Pro" w:hAnsi="Minion Pro" w:cs="Arial"/>
          <w:i/>
        </w:rPr>
        <w:t>Arbitration 1/15</w:t>
      </w:r>
      <w:r w:rsidRPr="005F7E1B">
        <w:rPr>
          <w:rFonts w:ascii="Minion Pro" w:hAnsi="Minion Pro" w:cs="Arial"/>
        </w:rPr>
        <w:t xml:space="preserve">” 23 March 2015 LMLN. </w:t>
      </w:r>
      <w:r w:rsidRPr="005F7E1B">
        <w:rPr>
          <w:rFonts w:ascii="Minion Pro" w:eastAsia="+mn-ea" w:hAnsi="Minion Pro" w:cs="Arial"/>
        </w:rPr>
        <w:t>O fixed the vessel to “C”, a fraudster, on a voyage charter</w:t>
      </w:r>
      <w:r w:rsidRPr="005F7E1B">
        <w:rPr>
          <w:rFonts w:ascii="Minion Pro" w:hAnsi="Minion Pro" w:cs="Arial"/>
        </w:rPr>
        <w:t xml:space="preserve">. C </w:t>
      </w:r>
      <w:r w:rsidRPr="005F7E1B">
        <w:rPr>
          <w:rFonts w:ascii="Minion Pro" w:eastAsia="+mn-ea" w:hAnsi="Minion Pro" w:cs="Arial"/>
        </w:rPr>
        <w:t>sub-charter</w:t>
      </w:r>
      <w:r w:rsidRPr="005F7E1B">
        <w:rPr>
          <w:rFonts w:ascii="Minion Pro" w:hAnsi="Minion Pro" w:cs="Arial"/>
        </w:rPr>
        <w:t>ed</w:t>
      </w:r>
      <w:r w:rsidRPr="005F7E1B">
        <w:rPr>
          <w:rFonts w:ascii="Minion Pro" w:eastAsia="+mn-ea" w:hAnsi="Minion Pro" w:cs="Arial"/>
        </w:rPr>
        <w:t xml:space="preserve"> to S at lower freight rate. </w:t>
      </w:r>
      <w:r w:rsidRPr="005F7E1B">
        <w:rPr>
          <w:rFonts w:ascii="Minion Pro" w:hAnsi="Minion Pro" w:cs="Arial"/>
        </w:rPr>
        <w:t xml:space="preserve"> </w:t>
      </w:r>
      <w:r w:rsidRPr="005F7E1B">
        <w:rPr>
          <w:rFonts w:ascii="Minion Pro" w:eastAsia="+mn-ea" w:hAnsi="Minion Pro" w:cs="Arial"/>
        </w:rPr>
        <w:t xml:space="preserve">S was the shipper under a </w:t>
      </w:r>
      <w:proofErr w:type="spellStart"/>
      <w:r w:rsidRPr="005F7E1B">
        <w:rPr>
          <w:rFonts w:ascii="Minion Pro" w:eastAsia="+mn-ea" w:hAnsi="Minion Pro" w:cs="Arial"/>
        </w:rPr>
        <w:t>Congenbill</w:t>
      </w:r>
      <w:proofErr w:type="spellEnd"/>
      <w:r w:rsidRPr="005F7E1B">
        <w:rPr>
          <w:rFonts w:ascii="Minion Pro" w:eastAsia="+mn-ea" w:hAnsi="Minion Pro" w:cs="Arial"/>
        </w:rPr>
        <w:t xml:space="preserve"> bill of lading referring to “C/P dated 9/11/10”, the date of both charters</w:t>
      </w:r>
      <w:r w:rsidRPr="005F7E1B">
        <w:rPr>
          <w:rFonts w:ascii="Minion Pro" w:hAnsi="Minion Pro" w:cs="Arial"/>
        </w:rPr>
        <w:t xml:space="preserve">. </w:t>
      </w:r>
      <w:r w:rsidRPr="005F7E1B">
        <w:rPr>
          <w:rFonts w:ascii="Minion Pro" w:eastAsia="+mn-ea" w:hAnsi="Minion Pro" w:cs="Arial"/>
        </w:rPr>
        <w:t xml:space="preserve">The charters had different terms, freight rates and arbitrations clauses (the </w:t>
      </w:r>
      <w:proofErr w:type="spellStart"/>
      <w:r w:rsidRPr="005F7E1B">
        <w:rPr>
          <w:rFonts w:ascii="Minion Pro" w:eastAsia="+mn-ea" w:hAnsi="Minion Pro" w:cs="Arial"/>
        </w:rPr>
        <w:t>headcharter</w:t>
      </w:r>
      <w:proofErr w:type="spellEnd"/>
      <w:r w:rsidRPr="005F7E1B">
        <w:rPr>
          <w:rFonts w:ascii="Minion Pro" w:eastAsia="+mn-ea" w:hAnsi="Minion Pro" w:cs="Arial"/>
        </w:rPr>
        <w:t xml:space="preserve"> providing for Singapore arbitration and the sub-charter for English arbitration)</w:t>
      </w:r>
      <w:r w:rsidRPr="005F7E1B">
        <w:rPr>
          <w:rFonts w:ascii="Minion Pro" w:hAnsi="Minion Pro" w:cs="Arial"/>
        </w:rPr>
        <w:t xml:space="preserve">. </w:t>
      </w:r>
      <w:r w:rsidRPr="005F7E1B">
        <w:rPr>
          <w:rFonts w:ascii="Minion Pro" w:eastAsia="+mn-ea" w:hAnsi="Minion Pro" w:cs="Arial"/>
        </w:rPr>
        <w:t xml:space="preserve">Owners started arbitration claiming freight at the higher rate, using English arbitral procedure </w:t>
      </w:r>
      <w:r w:rsidRPr="005F7E1B">
        <w:rPr>
          <w:rFonts w:ascii="Minion Pro" w:hAnsi="Minion Pro" w:cs="Arial"/>
        </w:rPr>
        <w:t>under the</w:t>
      </w:r>
      <w:r w:rsidRPr="005F7E1B">
        <w:rPr>
          <w:rFonts w:ascii="Minion Pro" w:eastAsia="+mn-ea" w:hAnsi="Minion Pro" w:cs="Arial"/>
        </w:rPr>
        <w:t xml:space="preserve"> AA Commonplace facts gave rise to numerous issues.</w:t>
      </w:r>
    </w:p>
    <w:p w:rsidR="00124080" w:rsidRPr="005F7E1B" w:rsidRDefault="00124080" w:rsidP="00124080">
      <w:pPr>
        <w:widowControl/>
        <w:numPr>
          <w:ilvl w:val="0"/>
          <w:numId w:val="1"/>
        </w:numPr>
        <w:suppressAutoHyphens w:val="0"/>
        <w:spacing w:after="200" w:line="276" w:lineRule="auto"/>
        <w:rPr>
          <w:rFonts w:ascii="Minion Pro" w:hAnsi="Minion Pro" w:cs="Arial"/>
        </w:rPr>
      </w:pPr>
      <w:r w:rsidRPr="005F7E1B">
        <w:rPr>
          <w:rFonts w:ascii="Minion Pro" w:eastAsia="+mn-ea" w:hAnsi="Minion Pro" w:cs="Arial"/>
        </w:rPr>
        <w:t>The question of which if either charter was incorporated went to</w:t>
      </w:r>
    </w:p>
    <w:p w:rsidR="00124080" w:rsidRPr="005F7E1B" w:rsidRDefault="00124080" w:rsidP="00124080">
      <w:pPr>
        <w:widowControl/>
        <w:numPr>
          <w:ilvl w:val="1"/>
          <w:numId w:val="1"/>
        </w:numPr>
        <w:suppressAutoHyphens w:val="0"/>
        <w:spacing w:after="200" w:line="276" w:lineRule="auto"/>
        <w:rPr>
          <w:rFonts w:ascii="Minion Pro" w:hAnsi="Minion Pro" w:cs="Arial"/>
        </w:rPr>
      </w:pPr>
      <w:r w:rsidRPr="005F7E1B">
        <w:rPr>
          <w:rFonts w:ascii="Minion Pro" w:eastAsia="+mn-ea" w:hAnsi="Minion Pro" w:cs="Arial"/>
        </w:rPr>
        <w:t>Freight rates</w:t>
      </w:r>
    </w:p>
    <w:p w:rsidR="00124080" w:rsidRPr="005F7E1B" w:rsidRDefault="00124080" w:rsidP="00124080">
      <w:pPr>
        <w:widowControl/>
        <w:numPr>
          <w:ilvl w:val="1"/>
          <w:numId w:val="1"/>
        </w:numPr>
        <w:suppressAutoHyphens w:val="0"/>
        <w:spacing w:after="200" w:line="276" w:lineRule="auto"/>
        <w:rPr>
          <w:rFonts w:ascii="Minion Pro" w:hAnsi="Minion Pro" w:cs="Arial"/>
        </w:rPr>
      </w:pPr>
      <w:r w:rsidRPr="005F7E1B">
        <w:rPr>
          <w:rFonts w:ascii="Minion Pro" w:eastAsia="+mn-ea" w:hAnsi="Minion Pro" w:cs="Arial"/>
        </w:rPr>
        <w:t>Payee</w:t>
      </w:r>
    </w:p>
    <w:p w:rsidR="00124080" w:rsidRPr="005F7E1B" w:rsidRDefault="00124080" w:rsidP="00124080">
      <w:pPr>
        <w:widowControl/>
        <w:numPr>
          <w:ilvl w:val="1"/>
          <w:numId w:val="1"/>
        </w:numPr>
        <w:suppressAutoHyphens w:val="0"/>
        <w:spacing w:after="200" w:line="276" w:lineRule="auto"/>
        <w:rPr>
          <w:rFonts w:ascii="Minion Pro" w:hAnsi="Minion Pro" w:cs="Arial"/>
        </w:rPr>
      </w:pPr>
      <w:r w:rsidRPr="005F7E1B">
        <w:rPr>
          <w:rFonts w:ascii="Minion Pro" w:eastAsia="+mn-ea" w:hAnsi="Minion Pro" w:cs="Arial"/>
        </w:rPr>
        <w:t>Which arbitration clause applied</w:t>
      </w:r>
    </w:p>
    <w:p w:rsidR="00124080" w:rsidRPr="005F7E1B" w:rsidRDefault="00124080" w:rsidP="00124080">
      <w:pPr>
        <w:widowControl/>
        <w:numPr>
          <w:ilvl w:val="1"/>
          <w:numId w:val="1"/>
        </w:numPr>
        <w:suppressAutoHyphens w:val="0"/>
        <w:spacing w:after="200" w:line="276" w:lineRule="auto"/>
        <w:rPr>
          <w:rFonts w:ascii="Minion Pro" w:hAnsi="Minion Pro" w:cs="Arial"/>
        </w:rPr>
      </w:pPr>
      <w:r w:rsidRPr="005F7E1B">
        <w:rPr>
          <w:rFonts w:ascii="Minion Pro" w:eastAsia="+mn-ea" w:hAnsi="Minion Pro" w:cs="Arial"/>
        </w:rPr>
        <w:t xml:space="preserve">(Potentially) what was the applicable law </w:t>
      </w:r>
    </w:p>
    <w:p w:rsidR="00124080" w:rsidRPr="005F7E1B" w:rsidRDefault="00124080" w:rsidP="00124080">
      <w:pPr>
        <w:widowControl/>
        <w:numPr>
          <w:ilvl w:val="0"/>
          <w:numId w:val="1"/>
        </w:numPr>
        <w:suppressAutoHyphens w:val="0"/>
        <w:spacing w:after="200" w:line="360" w:lineRule="auto"/>
        <w:jc w:val="both"/>
        <w:rPr>
          <w:rFonts w:ascii="Minion Pro" w:hAnsi="Minion Pro" w:cs="Arial"/>
        </w:rPr>
      </w:pPr>
      <w:r w:rsidRPr="005F7E1B">
        <w:rPr>
          <w:rFonts w:ascii="Minion Pro" w:eastAsia="+mn-ea" w:hAnsi="Minion Pro" w:cs="Arial"/>
        </w:rPr>
        <w:t>Which system of conflict of laws applies? It was held</w:t>
      </w:r>
      <w:r w:rsidRPr="005F7E1B">
        <w:rPr>
          <w:rFonts w:ascii="Minion Pro" w:hAnsi="Minion Pro" w:cs="Arial"/>
        </w:rPr>
        <w:t xml:space="preserve"> that </w:t>
      </w:r>
      <w:r w:rsidRPr="005F7E1B">
        <w:rPr>
          <w:rFonts w:ascii="Minion Pro" w:eastAsia="+mn-ea" w:hAnsi="Minion Pro" w:cs="Arial"/>
        </w:rPr>
        <w:t>English law governed incorporation but</w:t>
      </w:r>
      <w:r w:rsidRPr="005F7E1B">
        <w:rPr>
          <w:rFonts w:ascii="Minion Pro" w:hAnsi="Minion Pro" w:cs="Arial"/>
        </w:rPr>
        <w:t xml:space="preserve"> as the</w:t>
      </w:r>
      <w:r w:rsidRPr="005F7E1B">
        <w:rPr>
          <w:rFonts w:ascii="Minion Pro" w:eastAsia="+mn-ea" w:hAnsi="Minion Pro" w:cs="Arial"/>
        </w:rPr>
        <w:t xml:space="preserve"> claim was brought under the </w:t>
      </w:r>
      <w:proofErr w:type="spellStart"/>
      <w:r w:rsidRPr="005F7E1B">
        <w:rPr>
          <w:rFonts w:ascii="Minion Pro" w:eastAsia="+mn-ea" w:hAnsi="Minion Pro" w:cs="Arial"/>
        </w:rPr>
        <w:t>headcharter</w:t>
      </w:r>
      <w:proofErr w:type="spellEnd"/>
      <w:r w:rsidRPr="005F7E1B">
        <w:rPr>
          <w:rFonts w:ascii="Minion Pro" w:eastAsia="+mn-ea" w:hAnsi="Minion Pro" w:cs="Arial"/>
        </w:rPr>
        <w:t xml:space="preserve"> it was a Singapore arbitration. An invalid procedure had been used to commence it but this had been waived and so the Tribunal did have jurisdiction, and </w:t>
      </w:r>
      <w:proofErr w:type="spellStart"/>
      <w:r w:rsidRPr="005F7E1B">
        <w:rPr>
          <w:rFonts w:ascii="Minion Pro" w:eastAsia="+mn-ea" w:hAnsi="Minion Pro" w:cs="Arial"/>
        </w:rPr>
        <w:t>O</w:t>
      </w:r>
      <w:proofErr w:type="spellEnd"/>
      <w:r w:rsidRPr="005F7E1B">
        <w:rPr>
          <w:rFonts w:ascii="Minion Pro" w:eastAsia="+mn-ea" w:hAnsi="Minion Pro" w:cs="Arial"/>
        </w:rPr>
        <w:t xml:space="preserve"> did recover the freight at the higher rate.</w:t>
      </w:r>
    </w:p>
    <w:p w:rsidR="00124080" w:rsidRPr="005F7E1B" w:rsidRDefault="00124080" w:rsidP="00124080">
      <w:pPr>
        <w:spacing w:after="240" w:line="360" w:lineRule="auto"/>
        <w:jc w:val="both"/>
        <w:rPr>
          <w:rFonts w:ascii="Minion Pro" w:hAnsi="Minion Pro" w:cs="Arial"/>
          <w:b/>
          <w:i/>
        </w:rPr>
      </w:pPr>
      <w:r w:rsidRPr="005F7E1B">
        <w:rPr>
          <w:rFonts w:ascii="Minion Pro" w:hAnsi="Minion Pro" w:cs="Arial"/>
          <w:b/>
          <w:i/>
        </w:rPr>
        <w:t xml:space="preserve">Identifying the parties </w:t>
      </w:r>
    </w:p>
    <w:p w:rsidR="00124080" w:rsidRPr="005F7E1B" w:rsidRDefault="00124080" w:rsidP="00124080">
      <w:pPr>
        <w:spacing w:after="240" w:line="360" w:lineRule="auto"/>
        <w:jc w:val="both"/>
        <w:rPr>
          <w:rFonts w:ascii="Minion Pro" w:hAnsi="Minion Pro" w:cs="Arial"/>
          <w:i/>
        </w:rPr>
      </w:pPr>
      <w:r w:rsidRPr="005F7E1B">
        <w:rPr>
          <w:rFonts w:ascii="Minion Pro" w:hAnsi="Minion Pro" w:cs="Arial"/>
          <w:i/>
        </w:rPr>
        <w:t>Case Study 3</w:t>
      </w:r>
    </w:p>
    <w:p w:rsidR="00124080" w:rsidRPr="005F7E1B" w:rsidRDefault="00124080" w:rsidP="00124080">
      <w:pPr>
        <w:numPr>
          <w:ilvl w:val="0"/>
          <w:numId w:val="1"/>
        </w:numPr>
        <w:spacing w:after="240" w:line="360" w:lineRule="auto"/>
        <w:jc w:val="both"/>
        <w:rPr>
          <w:rFonts w:ascii="Minion Pro" w:hAnsi="Minion Pro" w:cs="Arial"/>
        </w:rPr>
      </w:pPr>
      <w:r w:rsidRPr="005F7E1B">
        <w:rPr>
          <w:rFonts w:ascii="Minion Pro" w:hAnsi="Minion Pro" w:cs="Arial"/>
        </w:rPr>
        <w:t xml:space="preserve">On this issue </w:t>
      </w:r>
      <w:r w:rsidRPr="005F7E1B">
        <w:rPr>
          <w:rFonts w:ascii="Minion Pro" w:hAnsi="Minion Pro" w:cs="Arial"/>
          <w:i/>
        </w:rPr>
        <w:t xml:space="preserve">The </w:t>
      </w:r>
      <w:proofErr w:type="spellStart"/>
      <w:r w:rsidRPr="005F7E1B">
        <w:rPr>
          <w:rFonts w:ascii="Minion Pro" w:hAnsi="Minion Pro" w:cs="Arial"/>
          <w:i/>
        </w:rPr>
        <w:t>Elikon</w:t>
      </w:r>
      <w:proofErr w:type="spellEnd"/>
      <w:r w:rsidRPr="005F7E1B">
        <w:rPr>
          <w:rStyle w:val="FootnoteReference"/>
          <w:rFonts w:ascii="Minion Pro" w:hAnsi="Minion Pro" w:cs="Arial"/>
        </w:rPr>
        <w:footnoteReference w:id="31"/>
      </w:r>
      <w:r w:rsidRPr="005F7E1B">
        <w:rPr>
          <w:rFonts w:ascii="Minion Pro" w:hAnsi="Minion Pro" w:cs="Arial"/>
        </w:rPr>
        <w:t xml:space="preserve"> is instructive in two respects. The first is a practical one, showing the importance of identifying parties to a charter before commencing arbitration; generic descriptions such as “</w:t>
      </w:r>
      <w:proofErr w:type="spellStart"/>
      <w:r w:rsidRPr="005F7E1B">
        <w:rPr>
          <w:rFonts w:ascii="Minion Pro" w:hAnsi="Minion Pro" w:cs="Arial"/>
        </w:rPr>
        <w:t>disponent</w:t>
      </w:r>
      <w:proofErr w:type="spellEnd"/>
      <w:r w:rsidRPr="005F7E1B">
        <w:rPr>
          <w:rFonts w:ascii="Minion Pro" w:hAnsi="Minion Pro" w:cs="Arial"/>
        </w:rPr>
        <w:t xml:space="preserve"> owners” or “charterers” are potentially ambiguous and a source of problems. The second is how apparently simple questions as to when an arbitral tribunal has jurisdiction to allow a party to be added can be complex and “perplexing” even to the court of appeal. The (simplified) facts and result were as follows. In the charter the owners were described as “S c/o I”. An arbitration was commenced in the name of S, but it was then discovered that the true party was I. It was held that the naming of S was not a mere matter of misnomer (as may occur when for example a company called </w:t>
      </w:r>
      <w:proofErr w:type="spellStart"/>
      <w:r w:rsidRPr="005F7E1B">
        <w:rPr>
          <w:rFonts w:ascii="Minion Pro" w:hAnsi="Minion Pro" w:cs="Arial"/>
        </w:rPr>
        <w:t>Fercometal</w:t>
      </w:r>
      <w:proofErr w:type="spellEnd"/>
      <w:r w:rsidRPr="005F7E1B">
        <w:rPr>
          <w:rFonts w:ascii="Minion Pro" w:hAnsi="Minion Pro" w:cs="Arial"/>
        </w:rPr>
        <w:t xml:space="preserve"> is described as </w:t>
      </w:r>
      <w:proofErr w:type="spellStart"/>
      <w:r w:rsidRPr="005F7E1B">
        <w:rPr>
          <w:rFonts w:ascii="Minion Pro" w:hAnsi="Minion Pro" w:cs="Arial"/>
        </w:rPr>
        <w:t>Ferometal</w:t>
      </w:r>
      <w:proofErr w:type="spellEnd"/>
      <w:r w:rsidRPr="005F7E1B">
        <w:rPr>
          <w:rFonts w:ascii="Minion Pro" w:hAnsi="Minion Pro" w:cs="Arial"/>
        </w:rPr>
        <w:t xml:space="preserve">). The solicitors had intended to designate the actual owners but had wrongly thought that these were S. Because they were not, S was not a party to any contract, the arbitration was a nullity and the Tribunal had no power to add </w:t>
      </w:r>
      <w:proofErr w:type="gramStart"/>
      <w:r w:rsidRPr="005F7E1B">
        <w:rPr>
          <w:rFonts w:ascii="Minion Pro" w:hAnsi="Minion Pro" w:cs="Arial"/>
        </w:rPr>
        <w:t>I</w:t>
      </w:r>
      <w:proofErr w:type="gramEnd"/>
      <w:r w:rsidRPr="005F7E1B">
        <w:rPr>
          <w:rFonts w:ascii="Minion Pro" w:hAnsi="Minion Pro" w:cs="Arial"/>
        </w:rPr>
        <w:t xml:space="preserve"> as a party.</w:t>
      </w:r>
    </w:p>
    <w:p w:rsidR="00124080" w:rsidRPr="005F7E1B" w:rsidRDefault="00124080" w:rsidP="00124080">
      <w:pPr>
        <w:numPr>
          <w:ilvl w:val="0"/>
          <w:numId w:val="1"/>
        </w:numPr>
        <w:spacing w:after="240" w:line="360" w:lineRule="auto"/>
        <w:jc w:val="both"/>
        <w:rPr>
          <w:rFonts w:ascii="Minion Pro" w:hAnsi="Minion Pro" w:cs="Arial"/>
        </w:rPr>
      </w:pPr>
      <w:r w:rsidRPr="005F7E1B">
        <w:rPr>
          <w:rFonts w:ascii="Minion Pro" w:hAnsi="Minion Pro" w:cs="Arial"/>
        </w:rPr>
        <w:t xml:space="preserve">Cases on identity of parties to an arbitration agreement or arbitration proceedings may raise issues of estoppel or waiver, where party A is led to believe by B that B is the correct party, but B thereafter alleges that C is the correct party. The case of </w:t>
      </w:r>
      <w:r w:rsidRPr="005F7E1B">
        <w:rPr>
          <w:rFonts w:ascii="Minion Pro" w:hAnsi="Minion Pro" w:cs="Arial"/>
          <w:i/>
        </w:rPr>
        <w:t xml:space="preserve">Hussmann v </w:t>
      </w:r>
      <w:proofErr w:type="spellStart"/>
      <w:r w:rsidRPr="005F7E1B">
        <w:rPr>
          <w:rFonts w:ascii="Minion Pro" w:hAnsi="Minion Pro" w:cs="Arial"/>
          <w:i/>
        </w:rPr>
        <w:t>Pharaon</w:t>
      </w:r>
      <w:proofErr w:type="spellEnd"/>
      <w:r w:rsidRPr="005F7E1B">
        <w:rPr>
          <w:rStyle w:val="FootnoteReference"/>
          <w:rFonts w:ascii="Minion Pro" w:hAnsi="Minion Pro" w:cs="Arial"/>
        </w:rPr>
        <w:footnoteReference w:id="32"/>
      </w:r>
      <w:r w:rsidRPr="005F7E1B">
        <w:rPr>
          <w:rFonts w:ascii="Minion Pro" w:hAnsi="Minion Pro" w:cs="Arial"/>
        </w:rPr>
        <w:t xml:space="preserve"> illustrates that such matters will generally be issues for the Tribunal itself to determine, rather than the court on an appeal on jurisdiction. This is again a potential trap for the unwary party or tribunal; if they are not raised before the Tribunal it may be impossible to raise them later before a court.</w:t>
      </w:r>
    </w:p>
    <w:p w:rsidR="00124080" w:rsidRPr="005F7E1B" w:rsidRDefault="00124080" w:rsidP="00124080">
      <w:pPr>
        <w:spacing w:after="240" w:line="360" w:lineRule="auto"/>
        <w:jc w:val="both"/>
        <w:rPr>
          <w:rFonts w:ascii="Minion Pro" w:hAnsi="Minion Pro" w:cs="Arial"/>
          <w:bCs/>
        </w:rPr>
      </w:pPr>
      <w:r w:rsidRPr="005F7E1B">
        <w:rPr>
          <w:rFonts w:ascii="Minion Pro" w:hAnsi="Minion Pro" w:cs="Arial"/>
          <w:b/>
          <w:i/>
        </w:rPr>
        <w:t>The Arbitration Agreement</w:t>
      </w:r>
    </w:p>
    <w:p w:rsidR="00124080" w:rsidRPr="005F7E1B" w:rsidRDefault="00124080" w:rsidP="00124080">
      <w:pPr>
        <w:numPr>
          <w:ilvl w:val="0"/>
          <w:numId w:val="1"/>
        </w:numPr>
        <w:spacing w:after="240" w:line="360" w:lineRule="auto"/>
        <w:jc w:val="both"/>
        <w:rPr>
          <w:rFonts w:ascii="Minion Pro" w:hAnsi="Minion Pro" w:cs="Arial"/>
        </w:rPr>
      </w:pPr>
      <w:r w:rsidRPr="005F7E1B">
        <w:rPr>
          <w:rFonts w:ascii="Minion Pro" w:hAnsi="Minion Pro" w:cs="Arial"/>
          <w:bCs/>
        </w:rPr>
        <w:t xml:space="preserve">This was considered in </w:t>
      </w:r>
      <w:proofErr w:type="spellStart"/>
      <w:r w:rsidRPr="005F7E1B">
        <w:rPr>
          <w:rFonts w:ascii="Minion Pro" w:hAnsi="Minion Pro" w:cs="Arial"/>
          <w:bCs/>
          <w:i/>
        </w:rPr>
        <w:t>Sul</w:t>
      </w:r>
      <w:proofErr w:type="spellEnd"/>
      <w:r w:rsidRPr="005F7E1B">
        <w:rPr>
          <w:rFonts w:ascii="Minion Pro" w:hAnsi="Minion Pro" w:cs="Arial"/>
          <w:bCs/>
          <w:i/>
        </w:rPr>
        <w:t xml:space="preserve"> America</w:t>
      </w:r>
      <w:r w:rsidRPr="005F7E1B">
        <w:rPr>
          <w:rStyle w:val="FootnoteReference"/>
          <w:rFonts w:ascii="Minion Pro" w:hAnsi="Minion Pro" w:cs="Arial"/>
          <w:bCs/>
          <w:i/>
        </w:rPr>
        <w:footnoteReference w:id="33"/>
      </w:r>
      <w:r w:rsidRPr="005F7E1B">
        <w:rPr>
          <w:rFonts w:ascii="Minion Pro" w:hAnsi="Minion Pro" w:cs="Arial"/>
          <w:bCs/>
        </w:rPr>
        <w:t xml:space="preserve">. This is an anti-suit case of general interest, but a key issue was over the governing law of the arbitration agreement, which would have been invalid under Brazilian law, the law governing the main contract. The courts held, perhaps boldly, that the seat of the arbitration was a strong factor and thus the arbitration agreement was governed by English law, giving the courts the basis to grant an anti-suit. This approach was also applied in </w:t>
      </w:r>
      <w:proofErr w:type="spellStart"/>
      <w:r w:rsidRPr="005F7E1B">
        <w:rPr>
          <w:rFonts w:ascii="Minion Pro" w:hAnsi="Minion Pro" w:cs="Arial"/>
          <w:bCs/>
          <w:i/>
          <w:kern w:val="36"/>
        </w:rPr>
        <w:t>Arsanovia</w:t>
      </w:r>
      <w:proofErr w:type="spellEnd"/>
      <w:r w:rsidRPr="005F7E1B">
        <w:rPr>
          <w:rFonts w:ascii="Minion Pro" w:hAnsi="Minion Pro" w:cs="Arial"/>
          <w:bCs/>
          <w:i/>
          <w:kern w:val="36"/>
        </w:rPr>
        <w:t xml:space="preserve"> Ltd v Cruz City 1 Mauritius Holdings</w:t>
      </w:r>
      <w:r w:rsidRPr="005F7E1B">
        <w:rPr>
          <w:rFonts w:ascii="Minion Pro" w:hAnsi="Minion Pro" w:cs="Arial"/>
          <w:bCs/>
          <w:kern w:val="36"/>
        </w:rPr>
        <w:t xml:space="preserve"> [2013] 1 Lloyd's Rep. 235.</w:t>
      </w:r>
    </w:p>
    <w:p w:rsidR="00124080" w:rsidRPr="005F7E1B" w:rsidRDefault="00124080" w:rsidP="00124080">
      <w:pPr>
        <w:numPr>
          <w:ilvl w:val="0"/>
          <w:numId w:val="1"/>
        </w:numPr>
        <w:spacing w:after="240" w:line="360" w:lineRule="auto"/>
        <w:jc w:val="both"/>
        <w:rPr>
          <w:rFonts w:ascii="Minion Pro" w:hAnsi="Minion Pro" w:cs="Arial"/>
        </w:rPr>
      </w:pPr>
      <w:r w:rsidRPr="005F7E1B">
        <w:rPr>
          <w:rFonts w:ascii="Minion Pro" w:hAnsi="Minion Pro" w:cs="Arial"/>
          <w:bCs/>
        </w:rPr>
        <w:t xml:space="preserve">“Seat” is a key factor in giving a court supervisory jurisdiction both for challenges and procedural issues. In </w:t>
      </w:r>
      <w:proofErr w:type="spellStart"/>
      <w:r w:rsidRPr="005F7E1B">
        <w:rPr>
          <w:rFonts w:ascii="Minion Pro" w:hAnsi="Minion Pro" w:cs="Arial"/>
          <w:bCs/>
          <w:i/>
        </w:rPr>
        <w:t>Enercon</w:t>
      </w:r>
      <w:proofErr w:type="spellEnd"/>
      <w:r w:rsidRPr="005F7E1B">
        <w:rPr>
          <w:rFonts w:ascii="Minion Pro" w:hAnsi="Minion Pro" w:cs="Arial"/>
          <w:bCs/>
          <w:i/>
        </w:rPr>
        <w:t xml:space="preserve"> v </w:t>
      </w:r>
      <w:proofErr w:type="spellStart"/>
      <w:r w:rsidRPr="005F7E1B">
        <w:rPr>
          <w:rFonts w:ascii="Minion Pro" w:hAnsi="Minion Pro" w:cs="Arial"/>
          <w:bCs/>
          <w:i/>
        </w:rPr>
        <w:t>Enercon</w:t>
      </w:r>
      <w:proofErr w:type="spellEnd"/>
      <w:r w:rsidRPr="005F7E1B">
        <w:rPr>
          <w:rStyle w:val="FootnoteReference"/>
          <w:rFonts w:ascii="Minion Pro" w:hAnsi="Minion Pro" w:cs="Arial"/>
          <w:bCs/>
          <w:i/>
        </w:rPr>
        <w:footnoteReference w:id="34"/>
      </w:r>
      <w:r w:rsidRPr="005F7E1B">
        <w:rPr>
          <w:rFonts w:ascii="Minion Pro" w:hAnsi="Minion Pro" w:cs="Arial"/>
          <w:bCs/>
        </w:rPr>
        <w:t xml:space="preserve">  there was an English law clause and arbitration clause as follows</w:t>
      </w:r>
    </w:p>
    <w:p w:rsidR="00124080" w:rsidRPr="005F7E1B" w:rsidRDefault="00124080" w:rsidP="00124080">
      <w:pPr>
        <w:spacing w:after="240" w:line="360" w:lineRule="auto"/>
        <w:jc w:val="both"/>
        <w:rPr>
          <w:rFonts w:ascii="Minion Pro" w:hAnsi="Minion Pro" w:cs="Arial"/>
        </w:rPr>
      </w:pPr>
      <w:r w:rsidRPr="005F7E1B">
        <w:rPr>
          <w:rFonts w:ascii="Minion Pro" w:hAnsi="Minion Pro" w:cs="Arial"/>
          <w:color w:val="000000"/>
          <w:sz w:val="17"/>
          <w:szCs w:val="17"/>
          <w:bdr w:val="none" w:sz="0" w:space="0" w:color="auto" w:frame="1"/>
        </w:rPr>
        <w:t xml:space="preserve">“All proceedings in such arbitration shall be conducted in English. The venue of the arbitration proceedings shall be London …The provisions of the Indian Arbitration and Conciliation Act 1996 shall apply.” </w:t>
      </w:r>
    </w:p>
    <w:p w:rsidR="00124080" w:rsidRPr="005F7E1B" w:rsidRDefault="00124080" w:rsidP="00124080">
      <w:pPr>
        <w:spacing w:after="240" w:line="360" w:lineRule="auto"/>
        <w:jc w:val="both"/>
        <w:rPr>
          <w:rFonts w:ascii="Minion Pro" w:hAnsi="Minion Pro" w:cs="Arial"/>
        </w:rPr>
      </w:pPr>
      <w:r w:rsidRPr="005F7E1B">
        <w:rPr>
          <w:rFonts w:ascii="Minion Pro" w:hAnsi="Minion Pro" w:cs="Arial"/>
          <w:color w:val="000000"/>
          <w:bdr w:val="none" w:sz="0" w:space="0" w:color="auto" w:frame="1"/>
        </w:rPr>
        <w:t>The seat was (unsurprisingly) held to be London.</w:t>
      </w:r>
    </w:p>
    <w:p w:rsidR="00124080" w:rsidRPr="005F7E1B" w:rsidRDefault="00124080" w:rsidP="00124080">
      <w:pPr>
        <w:numPr>
          <w:ilvl w:val="0"/>
          <w:numId w:val="1"/>
        </w:numPr>
        <w:spacing w:after="240" w:line="360" w:lineRule="auto"/>
        <w:jc w:val="both"/>
        <w:rPr>
          <w:rFonts w:ascii="Minion Pro" w:hAnsi="Minion Pro" w:cs="Arial"/>
        </w:rPr>
      </w:pPr>
      <w:r w:rsidRPr="005F7E1B">
        <w:rPr>
          <w:rFonts w:ascii="Minion Pro" w:hAnsi="Minion Pro" w:cs="Arial"/>
        </w:rPr>
        <w:t xml:space="preserve">In </w:t>
      </w:r>
      <w:r w:rsidRPr="005F7E1B">
        <w:rPr>
          <w:rFonts w:ascii="Minion Pro" w:hAnsi="Minion Pro" w:cs="Arial"/>
          <w:bCs/>
          <w:i/>
          <w:kern w:val="36"/>
        </w:rPr>
        <w:t xml:space="preserve">U&amp;M Mining Zambia Ltd v </w:t>
      </w:r>
      <w:proofErr w:type="spellStart"/>
      <w:r w:rsidRPr="005F7E1B">
        <w:rPr>
          <w:rFonts w:ascii="Minion Pro" w:hAnsi="Minion Pro" w:cs="Arial"/>
          <w:bCs/>
          <w:i/>
          <w:kern w:val="36"/>
        </w:rPr>
        <w:t>Konkola</w:t>
      </w:r>
      <w:proofErr w:type="spellEnd"/>
      <w:r w:rsidRPr="005F7E1B">
        <w:rPr>
          <w:rFonts w:ascii="Minion Pro" w:hAnsi="Minion Pro" w:cs="Arial"/>
          <w:bCs/>
          <w:i/>
          <w:kern w:val="36"/>
        </w:rPr>
        <w:t xml:space="preserve"> Copper Mines Plc</w:t>
      </w:r>
      <w:r w:rsidRPr="005F7E1B">
        <w:rPr>
          <w:rFonts w:ascii="Minion Pro" w:hAnsi="Minion Pro" w:cs="Arial"/>
          <w:bCs/>
          <w:kern w:val="36"/>
        </w:rPr>
        <w:t xml:space="preserve"> [2013] 2 Lloyd's Rep. 218, the court similarly had little difficulty in holding that a reference to LCIA arbitration implied that the seat of the arbitration was in London.</w:t>
      </w:r>
    </w:p>
    <w:p w:rsidR="00124080" w:rsidRPr="005F7E1B" w:rsidRDefault="00124080" w:rsidP="00124080">
      <w:pPr>
        <w:numPr>
          <w:ilvl w:val="0"/>
          <w:numId w:val="1"/>
        </w:numPr>
        <w:spacing w:after="240" w:line="360" w:lineRule="auto"/>
        <w:jc w:val="both"/>
        <w:rPr>
          <w:rFonts w:ascii="Minion Pro" w:hAnsi="Minion Pro" w:cs="Arial"/>
        </w:rPr>
      </w:pPr>
      <w:r w:rsidRPr="005F7E1B">
        <w:rPr>
          <w:rFonts w:ascii="Minion Pro" w:hAnsi="Minion Pro" w:cs="Arial"/>
          <w:color w:val="000000"/>
          <w:bdr w:val="none" w:sz="0" w:space="0" w:color="auto" w:frame="1"/>
        </w:rPr>
        <w:t xml:space="preserve">Where proceedings are brought “in respect of” a matter which had been agreed to be referred to arbitration clause, the remedy is a stay (AA section 9). The court will examine the required connection between the proceedings and the clause in question as discussed in </w:t>
      </w:r>
      <w:r w:rsidRPr="005F7E1B">
        <w:rPr>
          <w:rFonts w:ascii="Minion Pro" w:hAnsi="Minion Pro" w:cs="Arial"/>
          <w:i/>
          <w:color w:val="000000"/>
          <w:bdr w:val="none" w:sz="0" w:space="0" w:color="auto" w:frame="1"/>
        </w:rPr>
        <w:t xml:space="preserve">Lombard North Central v </w:t>
      </w:r>
      <w:proofErr w:type="spellStart"/>
      <w:r w:rsidRPr="005F7E1B">
        <w:rPr>
          <w:rFonts w:ascii="Minion Pro" w:hAnsi="Minion Pro" w:cs="Arial"/>
          <w:i/>
          <w:color w:val="000000"/>
          <w:bdr w:val="none" w:sz="0" w:space="0" w:color="auto" w:frame="1"/>
        </w:rPr>
        <w:t>Gatx</w:t>
      </w:r>
      <w:proofErr w:type="spellEnd"/>
      <w:r w:rsidRPr="005F7E1B">
        <w:rPr>
          <w:rFonts w:ascii="Minion Pro" w:hAnsi="Minion Pro" w:cs="Arial"/>
          <w:color w:val="000000"/>
          <w:bdr w:val="none" w:sz="0" w:space="0" w:color="auto" w:frame="1"/>
        </w:rPr>
        <w:t>.</w:t>
      </w:r>
      <w:r w:rsidRPr="005F7E1B">
        <w:rPr>
          <w:rStyle w:val="FootnoteReference"/>
          <w:rFonts w:ascii="Minion Pro" w:hAnsi="Minion Pro" w:cs="Arial"/>
          <w:color w:val="000000"/>
          <w:bdr w:val="none" w:sz="0" w:space="0" w:color="auto" w:frame="1"/>
        </w:rPr>
        <w:footnoteReference w:id="35"/>
      </w:r>
      <w:r w:rsidRPr="005F7E1B">
        <w:rPr>
          <w:rFonts w:ascii="Minion Pro" w:hAnsi="Minion Pro" w:cs="Arial"/>
          <w:color w:val="000000"/>
          <w:bdr w:val="none" w:sz="0" w:space="0" w:color="auto" w:frame="1"/>
        </w:rPr>
        <w:t xml:space="preserve"> </w:t>
      </w:r>
      <w:r w:rsidRPr="005F7E1B">
        <w:rPr>
          <w:rFonts w:ascii="Minion Pro" w:hAnsi="Minion Pro" w:cs="Arial"/>
          <w:color w:val="000000"/>
        </w:rPr>
        <w:t xml:space="preserve">In </w:t>
      </w:r>
      <w:r w:rsidRPr="005F7E1B">
        <w:rPr>
          <w:rStyle w:val="Emphasis"/>
          <w:rFonts w:ascii="Minion Pro" w:hAnsi="Minion Pro" w:cs="Arial"/>
          <w:color w:val="000000"/>
        </w:rPr>
        <w:t>Shanghai Construction (Group) General Co. Singapore Branch v Tan Poo Seng</w:t>
      </w:r>
      <w:r w:rsidRPr="005F7E1B">
        <w:rPr>
          <w:rStyle w:val="FootnoteReference"/>
          <w:rFonts w:ascii="Minion Pro" w:hAnsi="Minion Pro" w:cs="Arial"/>
          <w:i/>
          <w:iCs/>
          <w:color w:val="000000"/>
        </w:rPr>
        <w:footnoteReference w:id="36"/>
      </w:r>
      <w:r w:rsidRPr="005F7E1B">
        <w:rPr>
          <w:rFonts w:ascii="Minion Pro" w:hAnsi="Minion Pro" w:cs="Arial"/>
          <w:color w:val="000000"/>
        </w:rPr>
        <w:t>, the Singapore High Court granted a temporary stay of proceedings in the exercise of its inherent jurisdiction. The stay was granted on the ground that there was an arbitration (not between the same parties) which was intended to take place and the outcome of that arbitration would effectively determine the issues in dispute in the court proceedings. This case illustrates how a stay of proceedings can be granted even when there is no arbitration agreement between the parties to those proceedings.</w:t>
      </w:r>
    </w:p>
    <w:p w:rsidR="00124080" w:rsidRPr="005F7E1B" w:rsidRDefault="00124080" w:rsidP="00124080">
      <w:pPr>
        <w:spacing w:after="240" w:line="360" w:lineRule="auto"/>
        <w:jc w:val="both"/>
        <w:rPr>
          <w:rFonts w:ascii="Minion Pro" w:hAnsi="Minion Pro" w:cs="Arial"/>
          <w:b/>
          <w:i/>
        </w:rPr>
      </w:pPr>
      <w:r w:rsidRPr="005F7E1B">
        <w:rPr>
          <w:rFonts w:ascii="Minion Pro" w:hAnsi="Minion Pro" w:cs="Arial"/>
          <w:b/>
          <w:i/>
        </w:rPr>
        <w:t>Seat and Curial law</w:t>
      </w:r>
    </w:p>
    <w:p w:rsidR="00124080" w:rsidRPr="005F7E1B" w:rsidRDefault="00124080" w:rsidP="00124080">
      <w:pPr>
        <w:numPr>
          <w:ilvl w:val="0"/>
          <w:numId w:val="1"/>
        </w:numPr>
        <w:spacing w:after="240" w:line="360" w:lineRule="auto"/>
        <w:jc w:val="both"/>
        <w:rPr>
          <w:rStyle w:val="Emphasis"/>
          <w:rFonts w:ascii="Minion Pro" w:hAnsi="Minion Pro" w:cs="Arial"/>
          <w:i w:val="0"/>
          <w:iCs w:val="0"/>
        </w:rPr>
      </w:pPr>
      <w:r w:rsidRPr="005F7E1B">
        <w:rPr>
          <w:rFonts w:ascii="Minion Pro" w:hAnsi="Minion Pro" w:cs="Arial"/>
          <w:color w:val="000000"/>
        </w:rPr>
        <w:t xml:space="preserve">These almost invariably coincide except where express provision to the contrary is made as in </w:t>
      </w:r>
      <w:hyperlink r:id="rId8" w:history="1">
        <w:r w:rsidRPr="005F7E1B">
          <w:rPr>
            <w:rStyle w:val="Hyperlink"/>
            <w:rFonts w:ascii="Minion Pro" w:hAnsi="Minion Pro" w:cs="Arial"/>
            <w:i/>
          </w:rPr>
          <w:t xml:space="preserve">Braes of </w:t>
        </w:r>
        <w:proofErr w:type="spellStart"/>
        <w:r w:rsidRPr="005F7E1B">
          <w:rPr>
            <w:rStyle w:val="Hyperlink"/>
            <w:rFonts w:ascii="Minion Pro" w:hAnsi="Minion Pro" w:cs="Arial"/>
            <w:i/>
          </w:rPr>
          <w:t>Doune</w:t>
        </w:r>
        <w:proofErr w:type="spellEnd"/>
        <w:r w:rsidRPr="005F7E1B">
          <w:rPr>
            <w:rStyle w:val="Hyperlink"/>
            <w:rFonts w:ascii="Minion Pro" w:hAnsi="Minion Pro" w:cs="Arial"/>
            <w:i/>
          </w:rPr>
          <w:t xml:space="preserve"> Wind Farm (Scotland) Ltd v Alfred </w:t>
        </w:r>
        <w:proofErr w:type="spellStart"/>
        <w:r w:rsidRPr="005F7E1B">
          <w:rPr>
            <w:rStyle w:val="Hyperlink"/>
            <w:rFonts w:ascii="Minion Pro" w:hAnsi="Minion Pro" w:cs="Arial"/>
            <w:i/>
          </w:rPr>
          <w:t>McAlpine</w:t>
        </w:r>
        <w:proofErr w:type="spellEnd"/>
        <w:r w:rsidRPr="005F7E1B">
          <w:rPr>
            <w:rStyle w:val="Hyperlink"/>
            <w:rFonts w:ascii="Minion Pro" w:hAnsi="Minion Pro" w:cs="Arial"/>
            <w:i/>
          </w:rPr>
          <w:t xml:space="preserve"> Business Services Ltd</w:t>
        </w:r>
        <w:r w:rsidRPr="005F7E1B">
          <w:rPr>
            <w:rStyle w:val="Hyperlink"/>
            <w:rFonts w:ascii="Minion Pro" w:hAnsi="Minion Pro" w:cs="Arial"/>
          </w:rPr>
          <w:t xml:space="preserve">  [2008]</w:t>
        </w:r>
      </w:hyperlink>
      <w:r w:rsidRPr="005F7E1B">
        <w:rPr>
          <w:rFonts w:ascii="Minion Pro" w:hAnsi="Minion Pro" w:cs="Arial"/>
        </w:rPr>
        <w:t xml:space="preserve"> 1 Lloyd's Rep. 608.</w:t>
      </w:r>
      <w:r w:rsidRPr="005F7E1B">
        <w:rPr>
          <w:rFonts w:ascii="Minion Pro" w:hAnsi="Minion Pro" w:cs="Arial"/>
          <w:color w:val="000000"/>
        </w:rPr>
        <w:t xml:space="preserve"> </w:t>
      </w:r>
    </w:p>
    <w:p w:rsidR="00124080" w:rsidRPr="005F7E1B" w:rsidRDefault="00124080" w:rsidP="00124080">
      <w:pPr>
        <w:pStyle w:val="Heading1"/>
        <w:ind w:left="709" w:hanging="709"/>
        <w:rPr>
          <w:rFonts w:ascii="Minion Pro" w:hAnsi="Minion Pro"/>
        </w:rPr>
      </w:pPr>
      <w:r w:rsidRPr="005F7E1B">
        <w:rPr>
          <w:rFonts w:ascii="Minion Pro" w:hAnsi="Minion Pro"/>
        </w:rPr>
        <w:t>BRUSSELS REGULATION (RECAST) AND CLAUSES OF EXCLUSIVE JURISDICTION</w:t>
      </w:r>
    </w:p>
    <w:p w:rsidR="00124080" w:rsidRPr="005F7E1B" w:rsidRDefault="00124080" w:rsidP="00124080">
      <w:pPr>
        <w:pStyle w:val="BodyText"/>
        <w:widowControl/>
        <w:numPr>
          <w:ilvl w:val="0"/>
          <w:numId w:val="1"/>
        </w:numPr>
        <w:tabs>
          <w:tab w:val="left" w:pos="1134"/>
          <w:tab w:val="left" w:pos="1701"/>
          <w:tab w:val="left" w:pos="2268"/>
        </w:tabs>
        <w:suppressAutoHyphens w:val="0"/>
        <w:spacing w:after="300" w:line="360" w:lineRule="auto"/>
        <w:jc w:val="both"/>
        <w:rPr>
          <w:rFonts w:ascii="Minion Pro" w:hAnsi="Minion Pro" w:cs="Arial"/>
        </w:rPr>
      </w:pPr>
      <w:r w:rsidRPr="005F7E1B">
        <w:rPr>
          <w:rFonts w:ascii="Minion Pro" w:hAnsi="Minion Pro" w:cs="Arial"/>
        </w:rPr>
        <w:t xml:space="preserve">Any issues of jurisdiction that arise in legal proceedings instituted in an EU member state since 10 January 2015 will no longer be regulated by the familiar 2001 Brussels Regulation but instead by its replacement, commonly known as the Brussels Regulation (Recast). </w:t>
      </w:r>
    </w:p>
    <w:p w:rsidR="00124080" w:rsidRPr="005F7E1B" w:rsidRDefault="00124080" w:rsidP="00124080">
      <w:pPr>
        <w:pStyle w:val="BodyText"/>
        <w:widowControl/>
        <w:numPr>
          <w:ilvl w:val="0"/>
          <w:numId w:val="1"/>
        </w:numPr>
        <w:tabs>
          <w:tab w:val="left" w:pos="1134"/>
          <w:tab w:val="left" w:pos="1701"/>
          <w:tab w:val="left" w:pos="2268"/>
        </w:tabs>
        <w:suppressAutoHyphens w:val="0"/>
        <w:spacing w:after="240" w:line="360" w:lineRule="auto"/>
        <w:jc w:val="both"/>
        <w:rPr>
          <w:rFonts w:ascii="Minion Pro" w:hAnsi="Minion Pro" w:cs="Arial"/>
        </w:rPr>
      </w:pPr>
      <w:r w:rsidRPr="005F7E1B">
        <w:rPr>
          <w:rFonts w:ascii="Minion Pro" w:hAnsi="Minion Pro" w:cs="Arial"/>
        </w:rPr>
        <w:t xml:space="preserve">A major change instituted by the Recast Regulation that is bound to have an impact in the shipping context relates to the new treatment of exclusive jurisdiction clauses. </w:t>
      </w:r>
    </w:p>
    <w:p w:rsidR="00124080" w:rsidRPr="005F7E1B" w:rsidRDefault="00124080" w:rsidP="00124080">
      <w:pPr>
        <w:pStyle w:val="BodyText"/>
        <w:widowControl/>
        <w:numPr>
          <w:ilvl w:val="0"/>
          <w:numId w:val="1"/>
        </w:numPr>
        <w:tabs>
          <w:tab w:val="left" w:pos="1134"/>
          <w:tab w:val="left" w:pos="1701"/>
          <w:tab w:val="left" w:pos="2268"/>
        </w:tabs>
        <w:suppressAutoHyphens w:val="0"/>
        <w:spacing w:after="240" w:line="360" w:lineRule="auto"/>
        <w:jc w:val="both"/>
        <w:rPr>
          <w:rFonts w:ascii="Minion Pro" w:hAnsi="Minion Pro" w:cs="Arial"/>
        </w:rPr>
      </w:pPr>
      <w:r w:rsidRPr="005F7E1B">
        <w:rPr>
          <w:rFonts w:ascii="Minion Pro" w:hAnsi="Minion Pro" w:cs="Arial"/>
        </w:rPr>
        <w:t xml:space="preserve">The key provisions relating to this aspect of the changes are outlined in the table below: </w:t>
      </w:r>
    </w:p>
    <w:tbl>
      <w:tblPr>
        <w:tblW w:w="0" w:type="auto"/>
        <w:tblBorders>
          <w:top w:val="outset" w:sz="8" w:space="0" w:color="000000"/>
          <w:left w:val="outset" w:sz="8" w:space="0" w:color="000000"/>
          <w:bottom w:val="outset" w:sz="8" w:space="0" w:color="000000"/>
          <w:right w:val="outset" w:sz="8" w:space="0" w:color="000000"/>
        </w:tblBorders>
        <w:shd w:val="clear" w:color="auto" w:fill="FFFFFF"/>
        <w:tblCellMar>
          <w:left w:w="0" w:type="dxa"/>
          <w:right w:w="0" w:type="dxa"/>
        </w:tblCellMar>
        <w:tblLook w:val="04A0" w:firstRow="1" w:lastRow="0" w:firstColumn="1" w:lastColumn="0" w:noHBand="0" w:noVBand="1"/>
      </w:tblPr>
      <w:tblGrid>
        <w:gridCol w:w="4243"/>
        <w:gridCol w:w="4763"/>
      </w:tblGrid>
      <w:tr w:rsidR="00124080" w:rsidRPr="005F7E1B" w:rsidTr="00C91F31">
        <w:tc>
          <w:tcPr>
            <w:tcW w:w="4243" w:type="dxa"/>
            <w:tcBorders>
              <w:top w:val="outset" w:sz="8" w:space="0" w:color="000000"/>
              <w:left w:val="outset" w:sz="8" w:space="0" w:color="000000"/>
              <w:bottom w:val="outset" w:sz="8" w:space="0" w:color="000000"/>
              <w:right w:val="outset" w:sz="8" w:space="0" w:color="000000"/>
            </w:tcBorders>
            <w:shd w:val="clear" w:color="auto" w:fill="auto"/>
            <w:tcMar>
              <w:top w:w="75" w:type="dxa"/>
              <w:left w:w="75" w:type="dxa"/>
              <w:bottom w:w="75" w:type="dxa"/>
              <w:right w:w="75" w:type="dxa"/>
            </w:tcMar>
            <w:hideMark/>
          </w:tcPr>
          <w:p w:rsidR="00124080" w:rsidRPr="005F7E1B" w:rsidRDefault="00124080" w:rsidP="00C91F31">
            <w:pPr>
              <w:pStyle w:val="BodyText"/>
              <w:spacing w:after="240"/>
              <w:ind w:left="199"/>
              <w:jc w:val="center"/>
              <w:rPr>
                <w:rFonts w:ascii="Minion Pro" w:hAnsi="Minion Pro" w:cs="Arial"/>
                <w:u w:val="single"/>
                <w:lang w:val="en-GB"/>
              </w:rPr>
            </w:pPr>
            <w:r w:rsidRPr="005F7E1B">
              <w:rPr>
                <w:rFonts w:ascii="Minion Pro" w:hAnsi="Minion Pro" w:cs="Arial"/>
                <w:b/>
                <w:bCs/>
                <w:u w:val="single"/>
                <w:lang w:val="en-GB"/>
              </w:rPr>
              <w:t>2001 Brussels Regulation:</w:t>
            </w:r>
          </w:p>
        </w:tc>
        <w:tc>
          <w:tcPr>
            <w:tcW w:w="4763" w:type="dxa"/>
            <w:tcBorders>
              <w:top w:val="outset" w:sz="8" w:space="0" w:color="000000"/>
              <w:left w:val="outset" w:sz="8" w:space="0" w:color="000000"/>
              <w:bottom w:val="outset" w:sz="8" w:space="0" w:color="000000"/>
              <w:right w:val="outset" w:sz="8" w:space="0" w:color="000000"/>
            </w:tcBorders>
            <w:shd w:val="clear" w:color="auto" w:fill="auto"/>
            <w:tcMar>
              <w:top w:w="75" w:type="dxa"/>
              <w:left w:w="75" w:type="dxa"/>
              <w:bottom w:w="75" w:type="dxa"/>
              <w:right w:w="75" w:type="dxa"/>
            </w:tcMar>
            <w:hideMark/>
          </w:tcPr>
          <w:p w:rsidR="00124080" w:rsidRPr="005F7E1B" w:rsidRDefault="00124080" w:rsidP="00C91F31">
            <w:pPr>
              <w:pStyle w:val="BodyText"/>
              <w:spacing w:after="240"/>
              <w:ind w:left="209"/>
              <w:jc w:val="center"/>
              <w:rPr>
                <w:rFonts w:ascii="Minion Pro" w:hAnsi="Minion Pro" w:cs="Arial"/>
                <w:u w:val="single"/>
                <w:lang w:val="en-GB"/>
              </w:rPr>
            </w:pPr>
            <w:r w:rsidRPr="005F7E1B">
              <w:rPr>
                <w:rFonts w:ascii="Minion Pro" w:hAnsi="Minion Pro" w:cs="Arial"/>
                <w:b/>
                <w:bCs/>
                <w:u w:val="single"/>
                <w:lang w:val="en-GB"/>
              </w:rPr>
              <w:t>Brussels Regulation (Recast)</w:t>
            </w:r>
          </w:p>
        </w:tc>
      </w:tr>
      <w:tr w:rsidR="00124080" w:rsidRPr="005F7E1B" w:rsidTr="00C91F31">
        <w:tc>
          <w:tcPr>
            <w:tcW w:w="4243" w:type="dxa"/>
            <w:tcBorders>
              <w:top w:val="outset" w:sz="8" w:space="0" w:color="000000"/>
              <w:left w:val="outset" w:sz="8" w:space="0" w:color="000000"/>
              <w:bottom w:val="outset" w:sz="8" w:space="0" w:color="000000"/>
              <w:right w:val="outset" w:sz="8" w:space="0" w:color="000000"/>
            </w:tcBorders>
            <w:shd w:val="clear" w:color="auto" w:fill="auto"/>
            <w:tcMar>
              <w:top w:w="75" w:type="dxa"/>
              <w:left w:w="75" w:type="dxa"/>
              <w:bottom w:w="75" w:type="dxa"/>
              <w:right w:w="75" w:type="dxa"/>
            </w:tcMar>
            <w:hideMark/>
          </w:tcPr>
          <w:p w:rsidR="00124080" w:rsidRPr="005F7E1B" w:rsidRDefault="00124080" w:rsidP="00C91F31">
            <w:pPr>
              <w:pStyle w:val="BodyText"/>
              <w:spacing w:after="240"/>
              <w:ind w:left="199"/>
              <w:rPr>
                <w:rFonts w:ascii="Minion Pro" w:hAnsi="Minion Pro" w:cs="Arial"/>
                <w:b/>
                <w:lang w:val="en-GB"/>
              </w:rPr>
            </w:pPr>
            <w:r w:rsidRPr="005F7E1B">
              <w:rPr>
                <w:rFonts w:ascii="Minion Pro" w:hAnsi="Minion Pro" w:cs="Arial"/>
                <w:b/>
                <w:lang w:val="en-GB"/>
              </w:rPr>
              <w:t>[See Art 1.2(d)]</w:t>
            </w:r>
          </w:p>
        </w:tc>
        <w:tc>
          <w:tcPr>
            <w:tcW w:w="4763" w:type="dxa"/>
            <w:tcBorders>
              <w:top w:val="outset" w:sz="8" w:space="0" w:color="000000"/>
              <w:left w:val="outset" w:sz="8" w:space="0" w:color="000000"/>
              <w:bottom w:val="outset" w:sz="8" w:space="0" w:color="000000"/>
              <w:right w:val="outset" w:sz="8" w:space="0" w:color="000000"/>
            </w:tcBorders>
            <w:shd w:val="clear" w:color="auto" w:fill="auto"/>
            <w:tcMar>
              <w:top w:w="75" w:type="dxa"/>
              <w:left w:w="75" w:type="dxa"/>
              <w:bottom w:w="75" w:type="dxa"/>
              <w:right w:w="75" w:type="dxa"/>
            </w:tcMar>
            <w:hideMark/>
          </w:tcPr>
          <w:p w:rsidR="00124080" w:rsidRPr="005F7E1B" w:rsidRDefault="00124080" w:rsidP="00C91F31">
            <w:pPr>
              <w:pStyle w:val="BodyText"/>
              <w:spacing w:after="240"/>
              <w:ind w:left="209"/>
              <w:rPr>
                <w:rFonts w:ascii="Minion Pro" w:hAnsi="Minion Pro" w:cs="Arial"/>
                <w:b/>
                <w:lang w:val="en-GB"/>
              </w:rPr>
            </w:pPr>
            <w:r w:rsidRPr="005F7E1B">
              <w:rPr>
                <w:rFonts w:ascii="Minion Pro" w:hAnsi="Minion Pro" w:cs="Arial"/>
                <w:b/>
                <w:lang w:val="en-GB"/>
              </w:rPr>
              <w:t>Recital 12</w:t>
            </w:r>
          </w:p>
          <w:p w:rsidR="00124080" w:rsidRPr="005F7E1B" w:rsidRDefault="00124080" w:rsidP="00C91F31">
            <w:pPr>
              <w:spacing w:before="59"/>
              <w:jc w:val="both"/>
              <w:rPr>
                <w:rFonts w:ascii="Minion Pro" w:hAnsi="Minion Pro" w:cs="Arial"/>
                <w:color w:val="000000"/>
                <w:sz w:val="20"/>
                <w:szCs w:val="20"/>
              </w:rPr>
            </w:pPr>
            <w:r w:rsidRPr="005F7E1B">
              <w:rPr>
                <w:rFonts w:ascii="Minion Pro" w:hAnsi="Minion Pro" w:cs="Arial"/>
                <w:color w:val="000000"/>
                <w:sz w:val="20"/>
                <w:szCs w:val="20"/>
              </w:rPr>
              <w:t xml:space="preserve">(12) This Regulation should not apply to arbitration. Nothing in this Regulation should prevent the courts of a Member State, when </w:t>
            </w:r>
            <w:proofErr w:type="spellStart"/>
            <w:r w:rsidRPr="005F7E1B">
              <w:rPr>
                <w:rFonts w:ascii="Minion Pro" w:hAnsi="Minion Pro" w:cs="Arial"/>
                <w:color w:val="000000"/>
                <w:sz w:val="20"/>
                <w:szCs w:val="20"/>
              </w:rPr>
              <w:t>seised</w:t>
            </w:r>
            <w:proofErr w:type="spellEnd"/>
            <w:r w:rsidRPr="005F7E1B">
              <w:rPr>
                <w:rFonts w:ascii="Minion Pro" w:hAnsi="Minion Pro" w:cs="Arial"/>
                <w:color w:val="000000"/>
                <w:sz w:val="20"/>
                <w:szCs w:val="20"/>
              </w:rPr>
              <w:t xml:space="preserve"> of an action in a matter in respect of which the parties have entered into an arbitration agreement, from referring the parties to arbitration, from staying or dismissing the proceedings, or from examining whether the arbitration agreement is null and void, inoperative or incapable of being performed, in accordance with their national law.</w:t>
            </w:r>
          </w:p>
          <w:p w:rsidR="00124080" w:rsidRPr="005F7E1B" w:rsidRDefault="00124080" w:rsidP="00C91F31">
            <w:pPr>
              <w:spacing w:before="59"/>
              <w:jc w:val="both"/>
              <w:rPr>
                <w:rFonts w:ascii="Minion Pro" w:hAnsi="Minion Pro" w:cs="Arial"/>
                <w:color w:val="000000"/>
                <w:sz w:val="20"/>
                <w:szCs w:val="20"/>
              </w:rPr>
            </w:pPr>
            <w:r w:rsidRPr="005F7E1B">
              <w:rPr>
                <w:rFonts w:ascii="Minion Pro" w:hAnsi="Minion Pro" w:cs="Arial"/>
                <w:color w:val="000000"/>
                <w:sz w:val="20"/>
                <w:szCs w:val="20"/>
              </w:rPr>
              <w:t>A ruling given by a court of a Member State as to whether or not an arbitration agreement is null and void, inoperative or incapable of being performed should not be subject to the rules of recognition and enforcement laid down in this Regulation, regardless of whether the court decided on this as a principal issue or as an incidental question.</w:t>
            </w:r>
          </w:p>
          <w:p w:rsidR="00124080" w:rsidRPr="005F7E1B" w:rsidRDefault="00124080" w:rsidP="00C91F31">
            <w:pPr>
              <w:spacing w:before="59"/>
              <w:jc w:val="both"/>
              <w:rPr>
                <w:rFonts w:ascii="Minion Pro" w:hAnsi="Minion Pro" w:cs="Arial"/>
                <w:color w:val="000000"/>
                <w:sz w:val="20"/>
                <w:szCs w:val="20"/>
              </w:rPr>
            </w:pPr>
            <w:r w:rsidRPr="005F7E1B">
              <w:rPr>
                <w:rFonts w:ascii="Minion Pro" w:hAnsi="Minion Pro" w:cs="Arial"/>
                <w:color w:val="000000"/>
                <w:sz w:val="20"/>
                <w:szCs w:val="20"/>
              </w:rPr>
              <w:t>On the other hand, where a court of a Member State, exercising jurisdiction under this Regulation or under national law, has determined that an arbitration agreement is null and void, inoperative or incapable of being performed, this should not preclude that court’s judgment on the substance of the matter from being recognised or, as the case may be, enforced in accordance with this Regulation. This should be without prejudice to the competence of the courts of the Member States to decide on the recognition and enforcement of arbitral awards in accordance with the Convention on the Recognition and Enforcement of Foreign Arbitral Awards, done at New York on 10 June 1958 (‘the 1958 New York Convention’), which takes precedence over this Regulation.</w:t>
            </w:r>
          </w:p>
          <w:p w:rsidR="00124080" w:rsidRPr="005F7E1B" w:rsidRDefault="00124080" w:rsidP="00C91F31">
            <w:pPr>
              <w:rPr>
                <w:rFonts w:ascii="Minion Pro" w:hAnsi="Minion Pro" w:cs="Arial"/>
                <w:sz w:val="20"/>
                <w:szCs w:val="20"/>
              </w:rPr>
            </w:pPr>
            <w:r w:rsidRPr="005F7E1B">
              <w:rPr>
                <w:rFonts w:ascii="Minion Pro" w:hAnsi="Minion Pro" w:cs="Arial"/>
                <w:color w:val="000000"/>
                <w:sz w:val="20"/>
                <w:szCs w:val="20"/>
              </w:rPr>
              <w:t>This Regulation should not apply to any action or ancillary proceedings relating to, in particular, the establishment of an arbitral tribunal, the powers of arbitrators, the conduct of an arbitration procedure or any other aspects of such a procedure, nor to any action or judgment concerning the annulment, review, appeal, recognition or enforcement of an arbitral award.</w:t>
            </w:r>
          </w:p>
          <w:p w:rsidR="00124080" w:rsidRPr="005F7E1B" w:rsidRDefault="00124080" w:rsidP="00C91F31">
            <w:pPr>
              <w:pStyle w:val="BodyText"/>
              <w:spacing w:after="240"/>
              <w:ind w:left="209"/>
              <w:rPr>
                <w:rFonts w:ascii="Minion Pro" w:hAnsi="Minion Pro" w:cs="Arial"/>
                <w:b/>
                <w:lang w:val="en-GB"/>
              </w:rPr>
            </w:pPr>
          </w:p>
        </w:tc>
      </w:tr>
      <w:tr w:rsidR="00124080" w:rsidRPr="005F7E1B" w:rsidTr="00C91F31">
        <w:tc>
          <w:tcPr>
            <w:tcW w:w="4243" w:type="dxa"/>
            <w:tcBorders>
              <w:top w:val="outset" w:sz="8" w:space="0" w:color="000000"/>
              <w:left w:val="outset" w:sz="8" w:space="0" w:color="000000"/>
              <w:bottom w:val="outset" w:sz="8" w:space="0" w:color="000000"/>
              <w:right w:val="outset" w:sz="8" w:space="0" w:color="000000"/>
            </w:tcBorders>
            <w:shd w:val="clear" w:color="auto" w:fill="auto"/>
            <w:tcMar>
              <w:top w:w="75" w:type="dxa"/>
              <w:left w:w="75" w:type="dxa"/>
              <w:bottom w:w="75" w:type="dxa"/>
              <w:right w:w="75" w:type="dxa"/>
            </w:tcMar>
            <w:hideMark/>
          </w:tcPr>
          <w:p w:rsidR="00124080" w:rsidRPr="005F7E1B" w:rsidRDefault="00124080" w:rsidP="00C91F31">
            <w:pPr>
              <w:pStyle w:val="BodyText"/>
              <w:spacing w:after="240"/>
              <w:ind w:left="199"/>
              <w:rPr>
                <w:rFonts w:ascii="Minion Pro" w:hAnsi="Minion Pro" w:cs="Arial"/>
                <w:b/>
                <w:lang w:val="en-GB"/>
              </w:rPr>
            </w:pPr>
            <w:r w:rsidRPr="005F7E1B">
              <w:rPr>
                <w:rFonts w:ascii="Minion Pro" w:hAnsi="Minion Pro" w:cs="Arial"/>
                <w:b/>
                <w:lang w:val="en-GB"/>
              </w:rPr>
              <w:t>Article 23</w:t>
            </w:r>
          </w:p>
          <w:p w:rsidR="00124080" w:rsidRPr="005F7E1B" w:rsidRDefault="00124080" w:rsidP="00C91F31">
            <w:pPr>
              <w:pStyle w:val="BodyText"/>
              <w:spacing w:after="240"/>
              <w:ind w:left="199"/>
              <w:rPr>
                <w:rFonts w:ascii="Minion Pro" w:hAnsi="Minion Pro" w:cs="Arial"/>
                <w:lang w:val="en-GB"/>
              </w:rPr>
            </w:pPr>
            <w:r w:rsidRPr="005F7E1B">
              <w:rPr>
                <w:rFonts w:ascii="Minion Pro" w:hAnsi="Minion Pro" w:cs="Arial"/>
                <w:lang w:val="en-GB"/>
              </w:rPr>
              <w:t>If the parties, </w:t>
            </w:r>
            <w:r w:rsidRPr="005F7E1B">
              <w:rPr>
                <w:rFonts w:ascii="Minion Pro" w:hAnsi="Minion Pro" w:cs="Arial"/>
                <w:bCs/>
                <w:u w:val="single"/>
                <w:lang w:val="en-GB"/>
              </w:rPr>
              <w:t>one or more of whom is domiciled in a Member State</w:t>
            </w:r>
            <w:r w:rsidRPr="005F7E1B">
              <w:rPr>
                <w:rFonts w:ascii="Minion Pro" w:hAnsi="Minion Pro" w:cs="Arial"/>
                <w:bCs/>
                <w:lang w:val="en-GB"/>
              </w:rPr>
              <w:t>,</w:t>
            </w:r>
            <w:r w:rsidRPr="005F7E1B">
              <w:rPr>
                <w:rFonts w:ascii="Minion Pro" w:hAnsi="Minion Pro" w:cs="Arial"/>
                <w:lang w:val="en-GB"/>
              </w:rPr>
              <w:t> have agreed that a court or the courts of a Member State are to have jurisdiction to settle any disputes which have arisen or which may arise in connection with a particular legal relationship, that court or those courts shall have jurisdiction. Such jurisdiction shall be exclusive unless the parties have agreed otherwise.</w:t>
            </w:r>
          </w:p>
        </w:tc>
        <w:tc>
          <w:tcPr>
            <w:tcW w:w="4763" w:type="dxa"/>
            <w:tcBorders>
              <w:top w:val="outset" w:sz="8" w:space="0" w:color="000000"/>
              <w:left w:val="outset" w:sz="8" w:space="0" w:color="000000"/>
              <w:bottom w:val="outset" w:sz="8" w:space="0" w:color="000000"/>
              <w:right w:val="outset" w:sz="8" w:space="0" w:color="000000"/>
            </w:tcBorders>
            <w:shd w:val="clear" w:color="auto" w:fill="auto"/>
            <w:tcMar>
              <w:top w:w="75" w:type="dxa"/>
              <w:left w:w="75" w:type="dxa"/>
              <w:bottom w:w="75" w:type="dxa"/>
              <w:right w:w="75" w:type="dxa"/>
            </w:tcMar>
            <w:hideMark/>
          </w:tcPr>
          <w:p w:rsidR="00124080" w:rsidRPr="005F7E1B" w:rsidRDefault="00124080" w:rsidP="00C91F31">
            <w:pPr>
              <w:pStyle w:val="BodyText"/>
              <w:spacing w:after="240"/>
              <w:ind w:left="209"/>
              <w:rPr>
                <w:rFonts w:ascii="Minion Pro" w:hAnsi="Minion Pro" w:cs="Arial"/>
                <w:b/>
                <w:lang w:val="en-GB"/>
              </w:rPr>
            </w:pPr>
            <w:r w:rsidRPr="005F7E1B">
              <w:rPr>
                <w:rFonts w:ascii="Minion Pro" w:hAnsi="Minion Pro" w:cs="Arial"/>
                <w:b/>
                <w:lang w:val="en-GB"/>
              </w:rPr>
              <w:t>Article 25(1)</w:t>
            </w:r>
          </w:p>
          <w:p w:rsidR="00124080" w:rsidRPr="005F7E1B" w:rsidRDefault="00124080" w:rsidP="00C91F31">
            <w:pPr>
              <w:pStyle w:val="BodyText"/>
              <w:spacing w:after="240"/>
              <w:ind w:left="209"/>
              <w:rPr>
                <w:rFonts w:ascii="Minion Pro" w:hAnsi="Minion Pro" w:cs="Arial"/>
                <w:lang w:val="en-GB"/>
              </w:rPr>
            </w:pPr>
            <w:r w:rsidRPr="005F7E1B">
              <w:rPr>
                <w:rFonts w:ascii="Minion Pro" w:hAnsi="Minion Pro" w:cs="Arial"/>
                <w:lang w:val="en-GB"/>
              </w:rPr>
              <w:t>If the parties, </w:t>
            </w:r>
            <w:r w:rsidRPr="005F7E1B">
              <w:rPr>
                <w:rFonts w:ascii="Minion Pro" w:hAnsi="Minion Pro" w:cs="Arial"/>
                <w:bCs/>
                <w:u w:val="single"/>
                <w:lang w:val="en-GB"/>
              </w:rPr>
              <w:t>regardless of their domicile</w:t>
            </w:r>
            <w:r w:rsidRPr="005F7E1B">
              <w:rPr>
                <w:rFonts w:ascii="Minion Pro" w:hAnsi="Minion Pro" w:cs="Arial"/>
                <w:bCs/>
                <w:lang w:val="en-GB"/>
              </w:rPr>
              <w:t>,</w:t>
            </w:r>
            <w:r w:rsidRPr="005F7E1B">
              <w:rPr>
                <w:rFonts w:ascii="Minion Pro" w:hAnsi="Minion Pro" w:cs="Arial"/>
                <w:lang w:val="en-GB"/>
              </w:rPr>
              <w:t xml:space="preserve"> have agreed that a court or the courts of a Member State are to have jurisdiction to settle any disputes which have arisen or which may arise in connection with a particular legal relationship, </w:t>
            </w:r>
            <w:r w:rsidRPr="005F7E1B">
              <w:rPr>
                <w:rFonts w:ascii="Minion Pro" w:hAnsi="Minion Pro" w:cs="Arial"/>
                <w:u w:val="single"/>
                <w:lang w:val="en-GB"/>
              </w:rPr>
              <w:t>that court or those courts shall have jurisdiction</w:t>
            </w:r>
            <w:r w:rsidRPr="005F7E1B">
              <w:rPr>
                <w:rFonts w:ascii="Minion Pro" w:hAnsi="Minion Pro" w:cs="Arial"/>
                <w:lang w:val="en-GB"/>
              </w:rPr>
              <w:t>, </w:t>
            </w:r>
            <w:r w:rsidRPr="005F7E1B">
              <w:rPr>
                <w:rFonts w:ascii="Minion Pro" w:hAnsi="Minion Pro" w:cs="Arial"/>
                <w:bCs/>
                <w:lang w:val="en-GB"/>
              </w:rPr>
              <w:t>unless the agreement is null and void as to its substantive validity under the law of that Member State</w:t>
            </w:r>
            <w:r w:rsidRPr="005F7E1B">
              <w:rPr>
                <w:rFonts w:ascii="Minion Pro" w:hAnsi="Minion Pro" w:cs="Arial"/>
                <w:lang w:val="en-GB"/>
              </w:rPr>
              <w:t>. Such jurisdiction shall be exclusive unless the parties have agreed otherwise.</w:t>
            </w:r>
          </w:p>
        </w:tc>
      </w:tr>
      <w:tr w:rsidR="00124080" w:rsidRPr="005F7E1B" w:rsidTr="00C91F31">
        <w:tc>
          <w:tcPr>
            <w:tcW w:w="4243" w:type="dxa"/>
            <w:tcBorders>
              <w:top w:val="outset" w:sz="8" w:space="0" w:color="000000"/>
              <w:left w:val="outset" w:sz="8" w:space="0" w:color="000000"/>
              <w:bottom w:val="outset" w:sz="8" w:space="0" w:color="000000"/>
              <w:right w:val="outset" w:sz="8" w:space="0" w:color="000000"/>
            </w:tcBorders>
            <w:shd w:val="clear" w:color="auto" w:fill="auto"/>
            <w:tcMar>
              <w:top w:w="75" w:type="dxa"/>
              <w:left w:w="75" w:type="dxa"/>
              <w:bottom w:w="75" w:type="dxa"/>
              <w:right w:w="75" w:type="dxa"/>
            </w:tcMar>
          </w:tcPr>
          <w:p w:rsidR="00124080" w:rsidRPr="005F7E1B" w:rsidRDefault="00124080" w:rsidP="00C91F31">
            <w:pPr>
              <w:pStyle w:val="BodyText"/>
              <w:spacing w:after="240"/>
              <w:ind w:left="199"/>
              <w:rPr>
                <w:rFonts w:ascii="Minion Pro" w:hAnsi="Minion Pro" w:cs="Arial"/>
                <w:lang w:val="en-GB"/>
              </w:rPr>
            </w:pPr>
            <w:r w:rsidRPr="005F7E1B">
              <w:rPr>
                <w:rFonts w:ascii="Minion Pro" w:hAnsi="Minion Pro" w:cs="Arial"/>
                <w:b/>
                <w:lang w:val="en-GB"/>
              </w:rPr>
              <w:t>(No equivalent)</w:t>
            </w:r>
          </w:p>
        </w:tc>
        <w:tc>
          <w:tcPr>
            <w:tcW w:w="4763" w:type="dxa"/>
            <w:tcBorders>
              <w:top w:val="outset" w:sz="8" w:space="0" w:color="000000"/>
              <w:left w:val="outset" w:sz="8" w:space="0" w:color="000000"/>
              <w:bottom w:val="outset" w:sz="8" w:space="0" w:color="000000"/>
              <w:right w:val="outset" w:sz="8" w:space="0" w:color="000000"/>
            </w:tcBorders>
            <w:shd w:val="clear" w:color="auto" w:fill="auto"/>
            <w:tcMar>
              <w:top w:w="75" w:type="dxa"/>
              <w:left w:w="75" w:type="dxa"/>
              <w:bottom w:w="75" w:type="dxa"/>
              <w:right w:w="75" w:type="dxa"/>
            </w:tcMar>
          </w:tcPr>
          <w:p w:rsidR="00124080" w:rsidRPr="005F7E1B" w:rsidRDefault="00124080" w:rsidP="00C91F31">
            <w:pPr>
              <w:pStyle w:val="BodyText"/>
              <w:spacing w:after="240"/>
              <w:ind w:left="209"/>
              <w:rPr>
                <w:rFonts w:ascii="Minion Pro" w:hAnsi="Minion Pro" w:cs="Arial"/>
                <w:b/>
                <w:lang w:val="en-GB"/>
              </w:rPr>
            </w:pPr>
            <w:r w:rsidRPr="005F7E1B">
              <w:rPr>
                <w:rFonts w:ascii="Minion Pro" w:hAnsi="Minion Pro" w:cs="Arial"/>
                <w:b/>
                <w:lang w:val="en-GB"/>
              </w:rPr>
              <w:t>Article 25(5)</w:t>
            </w:r>
          </w:p>
          <w:p w:rsidR="00124080" w:rsidRPr="005F7E1B" w:rsidRDefault="00124080" w:rsidP="00C91F31">
            <w:pPr>
              <w:pStyle w:val="BodyText"/>
              <w:spacing w:after="240"/>
              <w:ind w:left="208"/>
              <w:rPr>
                <w:rFonts w:ascii="Minion Pro" w:hAnsi="Minion Pro" w:cs="Arial"/>
                <w:lang w:val="en-GB"/>
              </w:rPr>
            </w:pPr>
            <w:r w:rsidRPr="005F7E1B">
              <w:rPr>
                <w:rFonts w:ascii="Minion Pro" w:hAnsi="Minion Pro" w:cs="Arial"/>
                <w:lang w:val="en-GB"/>
              </w:rPr>
              <w:t>An agreement conferring jurisdiction which forms part of a contract shall be treated as an agreement independent of the other terms of the contract.</w:t>
            </w:r>
          </w:p>
          <w:p w:rsidR="00124080" w:rsidRPr="005F7E1B" w:rsidRDefault="00124080" w:rsidP="00C91F31">
            <w:pPr>
              <w:pStyle w:val="BodyText"/>
              <w:spacing w:after="240"/>
              <w:ind w:left="208"/>
              <w:rPr>
                <w:rFonts w:ascii="Minion Pro" w:hAnsi="Minion Pro" w:cs="Arial"/>
                <w:lang w:val="en-GB"/>
              </w:rPr>
            </w:pPr>
            <w:r w:rsidRPr="005F7E1B">
              <w:rPr>
                <w:rFonts w:ascii="Minion Pro" w:hAnsi="Minion Pro" w:cs="Arial"/>
                <w:lang w:val="en-GB"/>
              </w:rPr>
              <w:t>The validity of the agreement conferring jurisdiction cannot be contested solely on the ground that the contract is not valid.</w:t>
            </w:r>
          </w:p>
          <w:p w:rsidR="00124080" w:rsidRPr="005F7E1B" w:rsidRDefault="00124080" w:rsidP="00C91F31">
            <w:pPr>
              <w:pStyle w:val="BodyText"/>
              <w:spacing w:after="240"/>
              <w:ind w:left="209"/>
              <w:rPr>
                <w:rFonts w:ascii="Minion Pro" w:hAnsi="Minion Pro" w:cs="Arial"/>
                <w:lang w:val="en-GB"/>
              </w:rPr>
            </w:pPr>
          </w:p>
        </w:tc>
      </w:tr>
      <w:tr w:rsidR="00124080" w:rsidRPr="005F7E1B" w:rsidTr="00C91F31">
        <w:tc>
          <w:tcPr>
            <w:tcW w:w="4243" w:type="dxa"/>
            <w:tcBorders>
              <w:top w:val="outset" w:sz="8" w:space="0" w:color="000000"/>
              <w:left w:val="outset" w:sz="8" w:space="0" w:color="000000"/>
              <w:bottom w:val="outset" w:sz="8" w:space="0" w:color="000000"/>
              <w:right w:val="outset" w:sz="8" w:space="0" w:color="000000"/>
            </w:tcBorders>
            <w:shd w:val="clear" w:color="auto" w:fill="auto"/>
            <w:tcMar>
              <w:top w:w="75" w:type="dxa"/>
              <w:left w:w="75" w:type="dxa"/>
              <w:bottom w:w="75" w:type="dxa"/>
              <w:right w:w="75" w:type="dxa"/>
            </w:tcMar>
          </w:tcPr>
          <w:p w:rsidR="00124080" w:rsidRPr="005F7E1B" w:rsidRDefault="00124080" w:rsidP="00C91F31">
            <w:pPr>
              <w:pStyle w:val="BodyText"/>
              <w:spacing w:after="240"/>
              <w:ind w:left="199"/>
              <w:rPr>
                <w:rFonts w:ascii="Minion Pro" w:hAnsi="Minion Pro" w:cs="Arial"/>
                <w:b/>
                <w:lang w:val="en-GB"/>
              </w:rPr>
            </w:pPr>
            <w:r w:rsidRPr="005F7E1B">
              <w:rPr>
                <w:rFonts w:ascii="Minion Pro" w:hAnsi="Minion Pro" w:cs="Arial"/>
                <w:b/>
                <w:lang w:val="en-GB"/>
              </w:rPr>
              <w:t>Article 27 (1) and (2)</w:t>
            </w:r>
          </w:p>
          <w:p w:rsidR="00124080" w:rsidRPr="005F7E1B" w:rsidRDefault="00124080" w:rsidP="00C91F31">
            <w:pPr>
              <w:pStyle w:val="BodyText"/>
              <w:spacing w:after="240"/>
              <w:ind w:left="199"/>
              <w:rPr>
                <w:rFonts w:ascii="Minion Pro" w:hAnsi="Minion Pro" w:cs="Arial"/>
                <w:lang w:val="en-GB"/>
              </w:rPr>
            </w:pPr>
            <w:r w:rsidRPr="005F7E1B">
              <w:rPr>
                <w:rFonts w:ascii="Minion Pro" w:hAnsi="Minion Pro" w:cs="Arial"/>
                <w:lang w:val="en-GB"/>
              </w:rPr>
              <w:t xml:space="preserve">Where proceedings involving the same cause of action and between the same parties are brought in the courts of different Member States, any court other than the court first </w:t>
            </w:r>
            <w:proofErr w:type="spellStart"/>
            <w:r w:rsidRPr="005F7E1B">
              <w:rPr>
                <w:rFonts w:ascii="Minion Pro" w:hAnsi="Minion Pro" w:cs="Arial"/>
                <w:lang w:val="en-GB"/>
              </w:rPr>
              <w:t>seised</w:t>
            </w:r>
            <w:proofErr w:type="spellEnd"/>
            <w:r w:rsidRPr="005F7E1B">
              <w:rPr>
                <w:rFonts w:ascii="Minion Pro" w:hAnsi="Minion Pro" w:cs="Arial"/>
                <w:lang w:val="en-GB"/>
              </w:rPr>
              <w:t xml:space="preserve"> shall of its own motion stay its proceedings until such time as the jurisdiction of the court first </w:t>
            </w:r>
            <w:proofErr w:type="spellStart"/>
            <w:r w:rsidRPr="005F7E1B">
              <w:rPr>
                <w:rFonts w:ascii="Minion Pro" w:hAnsi="Minion Pro" w:cs="Arial"/>
                <w:lang w:val="en-GB"/>
              </w:rPr>
              <w:t>seised</w:t>
            </w:r>
            <w:proofErr w:type="spellEnd"/>
            <w:r w:rsidRPr="005F7E1B">
              <w:rPr>
                <w:rFonts w:ascii="Minion Pro" w:hAnsi="Minion Pro" w:cs="Arial"/>
                <w:lang w:val="en-GB"/>
              </w:rPr>
              <w:t xml:space="preserve"> is established.</w:t>
            </w:r>
          </w:p>
          <w:p w:rsidR="00124080" w:rsidRPr="005F7E1B" w:rsidRDefault="00124080" w:rsidP="00C91F31">
            <w:pPr>
              <w:pStyle w:val="BodyText"/>
              <w:spacing w:after="240"/>
              <w:ind w:left="199"/>
              <w:rPr>
                <w:rFonts w:ascii="Minion Pro" w:hAnsi="Minion Pro" w:cs="Arial"/>
                <w:lang w:val="en-GB"/>
              </w:rPr>
            </w:pPr>
            <w:r w:rsidRPr="005F7E1B">
              <w:rPr>
                <w:rFonts w:ascii="Minion Pro" w:hAnsi="Minion Pro" w:cs="Arial"/>
                <w:lang w:val="en-GB"/>
              </w:rPr>
              <w:t xml:space="preserve">Where the jurisdiction of the court first </w:t>
            </w:r>
            <w:proofErr w:type="spellStart"/>
            <w:r w:rsidRPr="005F7E1B">
              <w:rPr>
                <w:rFonts w:ascii="Minion Pro" w:hAnsi="Minion Pro" w:cs="Arial"/>
                <w:lang w:val="en-GB"/>
              </w:rPr>
              <w:t>seised</w:t>
            </w:r>
            <w:proofErr w:type="spellEnd"/>
            <w:r w:rsidRPr="005F7E1B">
              <w:rPr>
                <w:rFonts w:ascii="Minion Pro" w:hAnsi="Minion Pro" w:cs="Arial"/>
                <w:lang w:val="en-GB"/>
              </w:rPr>
              <w:t xml:space="preserve"> is established, any court other than </w:t>
            </w:r>
            <w:r w:rsidRPr="005F7E1B">
              <w:rPr>
                <w:rFonts w:ascii="Minion Pro" w:hAnsi="Minion Pro" w:cs="Arial"/>
                <w:u w:val="single"/>
                <w:lang w:val="en-GB"/>
              </w:rPr>
              <w:t xml:space="preserve">the court first </w:t>
            </w:r>
            <w:proofErr w:type="spellStart"/>
            <w:r w:rsidRPr="005F7E1B">
              <w:rPr>
                <w:rFonts w:ascii="Minion Pro" w:hAnsi="Minion Pro" w:cs="Arial"/>
                <w:u w:val="single"/>
                <w:lang w:val="en-GB"/>
              </w:rPr>
              <w:t>seised</w:t>
            </w:r>
            <w:proofErr w:type="spellEnd"/>
            <w:r w:rsidRPr="005F7E1B">
              <w:rPr>
                <w:rFonts w:ascii="Minion Pro" w:hAnsi="Minion Pro" w:cs="Arial"/>
                <w:u w:val="single"/>
                <w:lang w:val="en-GB"/>
              </w:rPr>
              <w:t xml:space="preserve"> shall decline jurisdiction</w:t>
            </w:r>
            <w:r w:rsidRPr="005F7E1B">
              <w:rPr>
                <w:rFonts w:ascii="Minion Pro" w:hAnsi="Minion Pro" w:cs="Arial"/>
                <w:lang w:val="en-GB"/>
              </w:rPr>
              <w:t xml:space="preserve"> in favour of that court.</w:t>
            </w:r>
          </w:p>
          <w:p w:rsidR="00124080" w:rsidRPr="005F7E1B" w:rsidRDefault="00124080" w:rsidP="00C91F31">
            <w:pPr>
              <w:pStyle w:val="BodyText"/>
              <w:spacing w:after="240"/>
              <w:ind w:left="199"/>
              <w:rPr>
                <w:rFonts w:ascii="Minion Pro" w:hAnsi="Minion Pro" w:cs="Arial"/>
                <w:b/>
                <w:lang w:val="en-GB"/>
              </w:rPr>
            </w:pPr>
          </w:p>
        </w:tc>
        <w:tc>
          <w:tcPr>
            <w:tcW w:w="4763" w:type="dxa"/>
            <w:tcBorders>
              <w:top w:val="outset" w:sz="8" w:space="0" w:color="000000"/>
              <w:left w:val="outset" w:sz="8" w:space="0" w:color="000000"/>
              <w:bottom w:val="outset" w:sz="8" w:space="0" w:color="000000"/>
              <w:right w:val="outset" w:sz="8" w:space="0" w:color="000000"/>
            </w:tcBorders>
            <w:shd w:val="clear" w:color="auto" w:fill="auto"/>
            <w:tcMar>
              <w:top w:w="75" w:type="dxa"/>
              <w:left w:w="75" w:type="dxa"/>
              <w:bottom w:w="75" w:type="dxa"/>
              <w:right w:w="75" w:type="dxa"/>
            </w:tcMar>
          </w:tcPr>
          <w:p w:rsidR="00124080" w:rsidRPr="005F7E1B" w:rsidRDefault="00124080" w:rsidP="00C91F31">
            <w:pPr>
              <w:pStyle w:val="BodyText"/>
              <w:spacing w:after="240"/>
              <w:ind w:left="209"/>
              <w:rPr>
                <w:rFonts w:ascii="Minion Pro" w:hAnsi="Minion Pro" w:cs="Arial"/>
                <w:b/>
                <w:lang w:val="en-GB"/>
              </w:rPr>
            </w:pPr>
            <w:r w:rsidRPr="005F7E1B">
              <w:rPr>
                <w:rFonts w:ascii="Minion Pro" w:hAnsi="Minion Pro" w:cs="Arial"/>
                <w:b/>
                <w:lang w:val="en-GB"/>
              </w:rPr>
              <w:t>Article 31(1) and (2)</w:t>
            </w:r>
          </w:p>
          <w:p w:rsidR="00124080" w:rsidRPr="005F7E1B" w:rsidRDefault="00124080" w:rsidP="00C91F31">
            <w:pPr>
              <w:pStyle w:val="BodyText"/>
              <w:spacing w:after="240"/>
              <w:ind w:left="208"/>
              <w:rPr>
                <w:rFonts w:ascii="Minion Pro" w:hAnsi="Minion Pro" w:cs="Arial"/>
                <w:lang w:val="en-GB"/>
              </w:rPr>
            </w:pPr>
            <w:r w:rsidRPr="005F7E1B">
              <w:rPr>
                <w:rFonts w:ascii="Minion Pro" w:hAnsi="Minion Pro" w:cs="Arial"/>
                <w:lang w:val="en-GB"/>
              </w:rPr>
              <w:t xml:space="preserve">Where actions come within the exclusive jurisdiction of several courts, any court other than the court first </w:t>
            </w:r>
            <w:proofErr w:type="spellStart"/>
            <w:r w:rsidRPr="005F7E1B">
              <w:rPr>
                <w:rFonts w:ascii="Minion Pro" w:hAnsi="Minion Pro" w:cs="Arial"/>
                <w:lang w:val="en-GB"/>
              </w:rPr>
              <w:t>seised</w:t>
            </w:r>
            <w:proofErr w:type="spellEnd"/>
            <w:r w:rsidRPr="005F7E1B">
              <w:rPr>
                <w:rFonts w:ascii="Minion Pro" w:hAnsi="Minion Pro" w:cs="Arial"/>
                <w:lang w:val="en-GB"/>
              </w:rPr>
              <w:t xml:space="preserve"> shall decline jurisdiction in favour of that court.</w:t>
            </w:r>
          </w:p>
          <w:p w:rsidR="00124080" w:rsidRPr="005F7E1B" w:rsidRDefault="00124080" w:rsidP="00C91F31">
            <w:pPr>
              <w:pStyle w:val="BodyText"/>
              <w:spacing w:after="240"/>
              <w:ind w:left="208"/>
              <w:rPr>
                <w:rFonts w:ascii="Minion Pro" w:hAnsi="Minion Pro" w:cs="Arial"/>
                <w:lang w:val="en-GB"/>
              </w:rPr>
            </w:pPr>
          </w:p>
          <w:p w:rsidR="00124080" w:rsidRPr="005F7E1B" w:rsidRDefault="00124080" w:rsidP="00C91F31">
            <w:pPr>
              <w:pStyle w:val="BodyText"/>
              <w:spacing w:after="240"/>
              <w:ind w:left="208"/>
              <w:rPr>
                <w:rFonts w:ascii="Minion Pro" w:hAnsi="Minion Pro" w:cs="Arial"/>
                <w:lang w:val="en-GB"/>
              </w:rPr>
            </w:pPr>
          </w:p>
          <w:p w:rsidR="00124080" w:rsidRPr="005F7E1B" w:rsidRDefault="00124080" w:rsidP="00C91F31">
            <w:pPr>
              <w:pStyle w:val="BodyText"/>
              <w:spacing w:after="240"/>
              <w:ind w:left="208"/>
              <w:rPr>
                <w:rFonts w:ascii="Minion Pro" w:hAnsi="Minion Pro" w:cs="Arial"/>
                <w:sz w:val="8"/>
                <w:lang w:val="en-GB"/>
              </w:rPr>
            </w:pPr>
          </w:p>
          <w:p w:rsidR="00124080" w:rsidRPr="005F7E1B" w:rsidRDefault="00124080" w:rsidP="00C91F31">
            <w:pPr>
              <w:pStyle w:val="BodyText"/>
              <w:spacing w:after="240"/>
              <w:ind w:left="208"/>
              <w:rPr>
                <w:rFonts w:ascii="Minion Pro" w:hAnsi="Minion Pro" w:cs="Arial"/>
                <w:b/>
                <w:lang w:val="en-GB"/>
              </w:rPr>
            </w:pPr>
            <w:r w:rsidRPr="005F7E1B">
              <w:rPr>
                <w:rFonts w:ascii="Minion Pro" w:hAnsi="Minion Pro" w:cs="Arial"/>
                <w:lang w:val="en-GB"/>
              </w:rPr>
              <w:t xml:space="preserve">Without prejudice to Article 26, where a court of a Member State on which an agreement as referred to in Article 25 confers exclusive jurisdiction is </w:t>
            </w:r>
            <w:proofErr w:type="spellStart"/>
            <w:r w:rsidRPr="005F7E1B">
              <w:rPr>
                <w:rFonts w:ascii="Minion Pro" w:hAnsi="Minion Pro" w:cs="Arial"/>
                <w:lang w:val="en-GB"/>
              </w:rPr>
              <w:t>seised</w:t>
            </w:r>
            <w:proofErr w:type="spellEnd"/>
            <w:r w:rsidRPr="005F7E1B">
              <w:rPr>
                <w:rFonts w:ascii="Minion Pro" w:hAnsi="Minion Pro" w:cs="Arial"/>
                <w:lang w:val="en-GB"/>
              </w:rPr>
              <w:t xml:space="preserve">, </w:t>
            </w:r>
            <w:r w:rsidRPr="005F7E1B">
              <w:rPr>
                <w:rFonts w:ascii="Minion Pro" w:hAnsi="Minion Pro" w:cs="Arial"/>
                <w:u w:val="single"/>
                <w:lang w:val="en-GB"/>
              </w:rPr>
              <w:t xml:space="preserve">any court of another Member State shall stay the proceedings until such time as the court </w:t>
            </w:r>
            <w:proofErr w:type="spellStart"/>
            <w:r w:rsidRPr="005F7E1B">
              <w:rPr>
                <w:rFonts w:ascii="Minion Pro" w:hAnsi="Minion Pro" w:cs="Arial"/>
                <w:u w:val="single"/>
                <w:lang w:val="en-GB"/>
              </w:rPr>
              <w:t>seised</w:t>
            </w:r>
            <w:proofErr w:type="spellEnd"/>
            <w:r w:rsidRPr="005F7E1B">
              <w:rPr>
                <w:rFonts w:ascii="Minion Pro" w:hAnsi="Minion Pro" w:cs="Arial"/>
                <w:u w:val="single"/>
                <w:lang w:val="en-GB"/>
              </w:rPr>
              <w:t xml:space="preserve"> on the basis of the agreement declares that it has no jurisdiction under the agreement</w:t>
            </w:r>
            <w:r w:rsidRPr="005F7E1B">
              <w:rPr>
                <w:rFonts w:ascii="Minion Pro" w:hAnsi="Minion Pro" w:cs="Arial"/>
                <w:lang w:val="en-GB"/>
              </w:rPr>
              <w:t>.</w:t>
            </w:r>
          </w:p>
          <w:p w:rsidR="00124080" w:rsidRPr="005F7E1B" w:rsidRDefault="00124080" w:rsidP="00C91F31">
            <w:pPr>
              <w:pStyle w:val="BodyText"/>
              <w:spacing w:after="240"/>
              <w:ind w:left="209"/>
              <w:rPr>
                <w:rFonts w:ascii="Minion Pro" w:hAnsi="Minion Pro" w:cs="Arial"/>
                <w:b/>
                <w:lang w:val="en-GB"/>
              </w:rPr>
            </w:pPr>
          </w:p>
        </w:tc>
      </w:tr>
      <w:tr w:rsidR="00124080" w:rsidRPr="005F7E1B" w:rsidTr="00C91F31">
        <w:tc>
          <w:tcPr>
            <w:tcW w:w="4243" w:type="dxa"/>
            <w:tcBorders>
              <w:top w:val="outset" w:sz="8" w:space="0" w:color="000000"/>
              <w:left w:val="outset" w:sz="8" w:space="0" w:color="000000"/>
              <w:bottom w:val="outset" w:sz="8" w:space="0" w:color="000000"/>
              <w:right w:val="outset" w:sz="8" w:space="0" w:color="000000"/>
            </w:tcBorders>
            <w:shd w:val="clear" w:color="auto" w:fill="auto"/>
            <w:tcMar>
              <w:top w:w="75" w:type="dxa"/>
              <w:left w:w="75" w:type="dxa"/>
              <w:bottom w:w="75" w:type="dxa"/>
              <w:right w:w="75" w:type="dxa"/>
            </w:tcMar>
          </w:tcPr>
          <w:p w:rsidR="00124080" w:rsidRPr="005F7E1B" w:rsidRDefault="00124080" w:rsidP="00C91F31">
            <w:pPr>
              <w:pStyle w:val="BodyText"/>
              <w:spacing w:after="240"/>
              <w:ind w:left="199"/>
              <w:rPr>
                <w:rFonts w:ascii="Minion Pro" w:hAnsi="Minion Pro" w:cs="Arial"/>
                <w:lang w:val="en-GB"/>
              </w:rPr>
            </w:pPr>
            <w:r w:rsidRPr="005F7E1B">
              <w:rPr>
                <w:rFonts w:ascii="Minion Pro" w:hAnsi="Minion Pro" w:cs="Arial"/>
                <w:b/>
                <w:lang w:val="en-GB"/>
              </w:rPr>
              <w:t>(No equivalent)</w:t>
            </w:r>
          </w:p>
        </w:tc>
        <w:tc>
          <w:tcPr>
            <w:tcW w:w="4763" w:type="dxa"/>
            <w:tcBorders>
              <w:top w:val="outset" w:sz="8" w:space="0" w:color="000000"/>
              <w:left w:val="outset" w:sz="8" w:space="0" w:color="000000"/>
              <w:bottom w:val="outset" w:sz="8" w:space="0" w:color="000000"/>
              <w:right w:val="outset" w:sz="8" w:space="0" w:color="000000"/>
            </w:tcBorders>
            <w:shd w:val="clear" w:color="auto" w:fill="auto"/>
            <w:tcMar>
              <w:top w:w="75" w:type="dxa"/>
              <w:left w:w="75" w:type="dxa"/>
              <w:bottom w:w="75" w:type="dxa"/>
              <w:right w:w="75" w:type="dxa"/>
            </w:tcMar>
          </w:tcPr>
          <w:p w:rsidR="00124080" w:rsidRPr="005F7E1B" w:rsidRDefault="00124080" w:rsidP="00C91F31">
            <w:pPr>
              <w:pStyle w:val="BodyText"/>
              <w:spacing w:after="240"/>
              <w:ind w:left="209"/>
              <w:rPr>
                <w:rFonts w:ascii="Minion Pro" w:hAnsi="Minion Pro" w:cs="Arial"/>
                <w:b/>
                <w:lang w:val="en-GB"/>
              </w:rPr>
            </w:pPr>
            <w:r w:rsidRPr="005F7E1B">
              <w:rPr>
                <w:rFonts w:ascii="Minion Pro" w:hAnsi="Minion Pro" w:cs="Arial"/>
                <w:b/>
                <w:lang w:val="en-GB"/>
              </w:rPr>
              <w:t>Article 33(1)</w:t>
            </w:r>
          </w:p>
          <w:p w:rsidR="00124080" w:rsidRPr="005F7E1B" w:rsidRDefault="00124080" w:rsidP="00C91F31">
            <w:pPr>
              <w:pStyle w:val="BodyText"/>
              <w:spacing w:after="240"/>
              <w:ind w:left="208"/>
              <w:rPr>
                <w:rFonts w:ascii="Minion Pro" w:hAnsi="Minion Pro" w:cs="Arial"/>
                <w:lang w:val="en-GB"/>
              </w:rPr>
            </w:pPr>
            <w:r w:rsidRPr="005F7E1B">
              <w:rPr>
                <w:rFonts w:ascii="Minion Pro" w:hAnsi="Minion Pro" w:cs="Arial"/>
                <w:lang w:val="en-GB"/>
              </w:rPr>
              <w:t xml:space="preserve">Where jurisdiction is based on Article 4 or on Articles 7, 8 or 9 and proceedings are pending before a court of a third State at the time when a court in a Member State is </w:t>
            </w:r>
            <w:proofErr w:type="spellStart"/>
            <w:r w:rsidRPr="005F7E1B">
              <w:rPr>
                <w:rFonts w:ascii="Minion Pro" w:hAnsi="Minion Pro" w:cs="Arial"/>
                <w:lang w:val="en-GB"/>
              </w:rPr>
              <w:t>seised</w:t>
            </w:r>
            <w:proofErr w:type="spellEnd"/>
            <w:r w:rsidRPr="005F7E1B">
              <w:rPr>
                <w:rFonts w:ascii="Minion Pro" w:hAnsi="Minion Pro" w:cs="Arial"/>
                <w:lang w:val="en-GB"/>
              </w:rPr>
              <w:t xml:space="preserve"> of an action involving the same cause of action and between the same parties as the proceedings in the court of the third State, the court of the Member State </w:t>
            </w:r>
            <w:r w:rsidRPr="005F7E1B">
              <w:rPr>
                <w:rFonts w:ascii="Minion Pro" w:hAnsi="Minion Pro" w:cs="Arial"/>
                <w:u w:val="single"/>
                <w:lang w:val="en-GB"/>
              </w:rPr>
              <w:t>may stay the proceedings</w:t>
            </w:r>
            <w:r w:rsidRPr="005F7E1B">
              <w:rPr>
                <w:rFonts w:ascii="Minion Pro" w:hAnsi="Minion Pro" w:cs="Arial"/>
                <w:lang w:val="en-GB"/>
              </w:rPr>
              <w:t xml:space="preserve"> if:</w:t>
            </w:r>
          </w:p>
          <w:tbl>
            <w:tblPr>
              <w:tblW w:w="5000" w:type="pct"/>
              <w:tblCellSpacing w:w="0" w:type="dxa"/>
              <w:tblCellMar>
                <w:left w:w="0" w:type="dxa"/>
                <w:right w:w="0" w:type="dxa"/>
              </w:tblCellMar>
              <w:tblLook w:val="04A0" w:firstRow="1" w:lastRow="0" w:firstColumn="1" w:lastColumn="0" w:noHBand="0" w:noVBand="1"/>
            </w:tblPr>
            <w:tblGrid>
              <w:gridCol w:w="839"/>
              <w:gridCol w:w="3774"/>
            </w:tblGrid>
            <w:tr w:rsidR="00124080" w:rsidRPr="005F7E1B" w:rsidTr="00C91F31">
              <w:trPr>
                <w:tblCellSpacing w:w="0" w:type="dxa"/>
              </w:trPr>
              <w:tc>
                <w:tcPr>
                  <w:tcW w:w="0" w:type="auto"/>
                  <w:hideMark/>
                </w:tcPr>
                <w:p w:rsidR="00124080" w:rsidRPr="005F7E1B" w:rsidRDefault="00124080" w:rsidP="00C91F31">
                  <w:pPr>
                    <w:pStyle w:val="BodyText"/>
                    <w:spacing w:after="240"/>
                    <w:ind w:left="567"/>
                    <w:rPr>
                      <w:rFonts w:ascii="Minion Pro" w:hAnsi="Minion Pro" w:cs="Arial"/>
                      <w:lang w:val="en-GB"/>
                    </w:rPr>
                  </w:pPr>
                  <w:r w:rsidRPr="005F7E1B">
                    <w:rPr>
                      <w:rFonts w:ascii="Minion Pro" w:hAnsi="Minion Pro" w:cs="Arial"/>
                      <w:lang w:val="en-GB"/>
                    </w:rPr>
                    <w:t>(a)</w:t>
                  </w:r>
                </w:p>
              </w:tc>
              <w:tc>
                <w:tcPr>
                  <w:tcW w:w="0" w:type="auto"/>
                  <w:hideMark/>
                </w:tcPr>
                <w:p w:rsidR="00124080" w:rsidRPr="005F7E1B" w:rsidRDefault="00124080" w:rsidP="00C91F31">
                  <w:pPr>
                    <w:pStyle w:val="BodyText"/>
                    <w:spacing w:after="240"/>
                    <w:ind w:left="567"/>
                    <w:rPr>
                      <w:rFonts w:ascii="Minion Pro" w:hAnsi="Minion Pro" w:cs="Arial"/>
                      <w:lang w:val="en-GB"/>
                    </w:rPr>
                  </w:pPr>
                  <w:r w:rsidRPr="005F7E1B">
                    <w:rPr>
                      <w:rFonts w:ascii="Minion Pro" w:hAnsi="Minion Pro" w:cs="Arial"/>
                      <w:lang w:val="en-GB"/>
                    </w:rPr>
                    <w:t>it is expected that the court of the third State will give a judgment capable of recognition and, where applicable, of enforcement in that Member State; and</w:t>
                  </w:r>
                </w:p>
              </w:tc>
            </w:tr>
          </w:tbl>
          <w:p w:rsidR="00124080" w:rsidRPr="005F7E1B" w:rsidRDefault="00124080" w:rsidP="00C91F31">
            <w:pPr>
              <w:pStyle w:val="BodyText"/>
              <w:widowControl/>
              <w:tabs>
                <w:tab w:val="num" w:pos="567"/>
                <w:tab w:val="left" w:pos="1134"/>
                <w:tab w:val="left" w:pos="1701"/>
                <w:tab w:val="left" w:pos="2268"/>
              </w:tabs>
              <w:suppressAutoHyphens w:val="0"/>
              <w:spacing w:after="240" w:line="360" w:lineRule="auto"/>
              <w:ind w:left="209" w:hanging="567"/>
              <w:jc w:val="both"/>
              <w:rPr>
                <w:rFonts w:ascii="Minion Pro" w:hAnsi="Minion Pro" w:cs="Arial"/>
                <w:vanish/>
                <w:lang w:val="en-GB"/>
              </w:rPr>
            </w:pPr>
          </w:p>
          <w:tbl>
            <w:tblPr>
              <w:tblW w:w="5000" w:type="pct"/>
              <w:tblCellSpacing w:w="0" w:type="dxa"/>
              <w:tblCellMar>
                <w:left w:w="0" w:type="dxa"/>
                <w:right w:w="0" w:type="dxa"/>
              </w:tblCellMar>
              <w:tblLook w:val="04A0" w:firstRow="1" w:lastRow="0" w:firstColumn="1" w:lastColumn="0" w:noHBand="0" w:noVBand="1"/>
            </w:tblPr>
            <w:tblGrid>
              <w:gridCol w:w="855"/>
              <w:gridCol w:w="3758"/>
            </w:tblGrid>
            <w:tr w:rsidR="00124080" w:rsidRPr="005F7E1B" w:rsidTr="00C91F31">
              <w:trPr>
                <w:tblCellSpacing w:w="0" w:type="dxa"/>
              </w:trPr>
              <w:tc>
                <w:tcPr>
                  <w:tcW w:w="0" w:type="auto"/>
                  <w:hideMark/>
                </w:tcPr>
                <w:p w:rsidR="00124080" w:rsidRPr="005F7E1B" w:rsidRDefault="00124080" w:rsidP="00C91F31">
                  <w:pPr>
                    <w:pStyle w:val="BodyText"/>
                    <w:spacing w:after="240"/>
                    <w:ind w:left="567"/>
                    <w:rPr>
                      <w:rFonts w:ascii="Minion Pro" w:hAnsi="Minion Pro" w:cs="Arial"/>
                      <w:lang w:val="en-GB"/>
                    </w:rPr>
                  </w:pPr>
                  <w:r w:rsidRPr="005F7E1B">
                    <w:rPr>
                      <w:rFonts w:ascii="Minion Pro" w:hAnsi="Minion Pro" w:cs="Arial"/>
                      <w:lang w:val="en-GB"/>
                    </w:rPr>
                    <w:t>(b)</w:t>
                  </w:r>
                </w:p>
              </w:tc>
              <w:tc>
                <w:tcPr>
                  <w:tcW w:w="0" w:type="auto"/>
                  <w:hideMark/>
                </w:tcPr>
                <w:p w:rsidR="00124080" w:rsidRPr="005F7E1B" w:rsidRDefault="00124080" w:rsidP="00C91F31">
                  <w:pPr>
                    <w:pStyle w:val="BodyText"/>
                    <w:spacing w:after="240"/>
                    <w:ind w:left="567"/>
                    <w:rPr>
                      <w:rFonts w:ascii="Minion Pro" w:hAnsi="Minion Pro" w:cs="Arial"/>
                      <w:lang w:val="en-GB"/>
                    </w:rPr>
                  </w:pPr>
                  <w:proofErr w:type="gramStart"/>
                  <w:r w:rsidRPr="005F7E1B">
                    <w:rPr>
                      <w:rFonts w:ascii="Minion Pro" w:hAnsi="Minion Pro" w:cs="Arial"/>
                      <w:lang w:val="en-GB"/>
                    </w:rPr>
                    <w:t>the</w:t>
                  </w:r>
                  <w:proofErr w:type="gramEnd"/>
                  <w:r w:rsidRPr="005F7E1B">
                    <w:rPr>
                      <w:rFonts w:ascii="Minion Pro" w:hAnsi="Minion Pro" w:cs="Arial"/>
                      <w:lang w:val="en-GB"/>
                    </w:rPr>
                    <w:t xml:space="preserve"> court of the Member State is satisfied that a stay is necessary for the proper administration of justice.</w:t>
                  </w:r>
                </w:p>
              </w:tc>
            </w:tr>
          </w:tbl>
          <w:p w:rsidR="00124080" w:rsidRPr="005F7E1B" w:rsidRDefault="00124080" w:rsidP="00C91F31">
            <w:pPr>
              <w:pStyle w:val="BodyText"/>
              <w:spacing w:after="240"/>
              <w:ind w:left="209"/>
              <w:rPr>
                <w:rFonts w:ascii="Minion Pro" w:hAnsi="Minion Pro" w:cs="Arial"/>
                <w:b/>
                <w:lang w:val="en-GB"/>
              </w:rPr>
            </w:pPr>
          </w:p>
        </w:tc>
      </w:tr>
    </w:tbl>
    <w:p w:rsidR="00124080" w:rsidRPr="005F7E1B" w:rsidRDefault="00124080" w:rsidP="00124080">
      <w:pPr>
        <w:pStyle w:val="BodyText"/>
        <w:spacing w:after="240"/>
        <w:ind w:left="567" w:hanging="567"/>
        <w:rPr>
          <w:rFonts w:ascii="Minion Pro" w:hAnsi="Minion Pro" w:cs="Arial"/>
        </w:rPr>
      </w:pPr>
    </w:p>
    <w:p w:rsidR="00124080" w:rsidRPr="005F7E1B" w:rsidRDefault="00124080" w:rsidP="00124080">
      <w:pPr>
        <w:pStyle w:val="BodyText"/>
        <w:spacing w:after="240"/>
        <w:ind w:left="567" w:hanging="567"/>
        <w:rPr>
          <w:rFonts w:ascii="Minion Pro" w:hAnsi="Minion Pro" w:cs="Arial"/>
          <w:b/>
        </w:rPr>
      </w:pPr>
      <w:r w:rsidRPr="005F7E1B">
        <w:rPr>
          <w:rFonts w:ascii="Minion Pro" w:hAnsi="Minion Pro" w:cs="Arial"/>
          <w:b/>
        </w:rPr>
        <w:t>The Arbitration Exception</w:t>
      </w:r>
    </w:p>
    <w:p w:rsidR="00124080" w:rsidRPr="005F7E1B" w:rsidRDefault="00124080" w:rsidP="00124080">
      <w:pPr>
        <w:numPr>
          <w:ilvl w:val="0"/>
          <w:numId w:val="1"/>
        </w:numPr>
        <w:spacing w:after="240" w:line="360" w:lineRule="auto"/>
        <w:jc w:val="both"/>
        <w:rPr>
          <w:rFonts w:ascii="Minion Pro" w:hAnsi="Minion Pro" w:cs="Arial"/>
        </w:rPr>
      </w:pPr>
      <w:r w:rsidRPr="005F7E1B">
        <w:rPr>
          <w:rFonts w:ascii="Minion Pro" w:hAnsi="Minion Pro" w:cs="Arial"/>
        </w:rPr>
        <w:t>In a European conte</w:t>
      </w:r>
      <w:r>
        <w:rPr>
          <w:rFonts w:ascii="Minion Pro" w:hAnsi="Minion Pro" w:cs="Arial"/>
        </w:rPr>
        <w:t xml:space="preserve">xt the Jurisdiction Regulation </w:t>
      </w:r>
      <w:r w:rsidRPr="005F7E1B">
        <w:rPr>
          <w:rFonts w:ascii="Minion Pro" w:hAnsi="Minion Pro" w:cs="Arial"/>
        </w:rPr>
        <w:t>44/2001 has been beset with difficulties of interpretation on the scope of the arbitration exception. Numerous English and European court decisions,</w:t>
      </w:r>
      <w:r w:rsidRPr="005F7E1B">
        <w:rPr>
          <w:rStyle w:val="FootnoteReference"/>
          <w:rFonts w:ascii="Minion Pro" w:hAnsi="Minion Pro" w:cs="Arial"/>
        </w:rPr>
        <w:footnoteReference w:id="37"/>
      </w:r>
      <w:r w:rsidRPr="005F7E1B">
        <w:rPr>
          <w:rFonts w:ascii="Minion Pro" w:hAnsi="Minion Pro" w:cs="Arial"/>
        </w:rPr>
        <w:t xml:space="preserve"> often involving English arbitration clauses, failed to provide an answer which satisfied both the (usual) English desire to protect and uphold English arbitration and the European wish to preserve jurisdiction of national court.</w:t>
      </w:r>
    </w:p>
    <w:p w:rsidR="00124080" w:rsidRPr="005F7E1B" w:rsidRDefault="00124080" w:rsidP="00124080">
      <w:pPr>
        <w:numPr>
          <w:ilvl w:val="0"/>
          <w:numId w:val="1"/>
        </w:numPr>
        <w:spacing w:after="240" w:line="360" w:lineRule="auto"/>
        <w:jc w:val="both"/>
        <w:rPr>
          <w:rFonts w:ascii="Minion Pro" w:hAnsi="Minion Pro" w:cs="Arial"/>
        </w:rPr>
      </w:pPr>
      <w:r w:rsidRPr="005F7E1B">
        <w:rPr>
          <w:rFonts w:ascii="Minion Pro" w:hAnsi="Minion Pro" w:cs="Arial"/>
        </w:rPr>
        <w:t>The new Regulation 1215/2012 seeks to address this, but by recital 12 rather than a change to the operative text. The amended provisions on arbitration have been criticised as opaque and uncertain in effect. Much remains to be decided, as it has only applied since 10 January 2015.</w:t>
      </w:r>
    </w:p>
    <w:p w:rsidR="00124080" w:rsidRPr="005F7E1B" w:rsidRDefault="00124080" w:rsidP="00124080">
      <w:pPr>
        <w:pStyle w:val="BodyText"/>
        <w:widowControl/>
        <w:tabs>
          <w:tab w:val="left" w:pos="1134"/>
          <w:tab w:val="left" w:pos="1701"/>
          <w:tab w:val="left" w:pos="2268"/>
        </w:tabs>
        <w:suppressAutoHyphens w:val="0"/>
        <w:spacing w:after="300" w:line="360" w:lineRule="auto"/>
        <w:jc w:val="both"/>
        <w:rPr>
          <w:rFonts w:ascii="Minion Pro" w:hAnsi="Minion Pro" w:cs="Arial"/>
        </w:rPr>
      </w:pPr>
      <w:r w:rsidRPr="005F7E1B">
        <w:rPr>
          <w:rFonts w:ascii="Minion Pro" w:hAnsi="Minion Pro" w:cs="Arial"/>
          <w:b/>
        </w:rPr>
        <w:t>The major change: primacy of exclusive jurisdiction clauses</w:t>
      </w:r>
    </w:p>
    <w:p w:rsidR="00124080" w:rsidRPr="005F7E1B" w:rsidRDefault="00124080" w:rsidP="00124080">
      <w:pPr>
        <w:pStyle w:val="BodyText"/>
        <w:widowControl/>
        <w:numPr>
          <w:ilvl w:val="0"/>
          <w:numId w:val="1"/>
        </w:numPr>
        <w:tabs>
          <w:tab w:val="left" w:pos="1134"/>
          <w:tab w:val="left" w:pos="1701"/>
          <w:tab w:val="left" w:pos="2268"/>
        </w:tabs>
        <w:suppressAutoHyphens w:val="0"/>
        <w:spacing w:after="300" w:line="360" w:lineRule="auto"/>
        <w:jc w:val="both"/>
        <w:rPr>
          <w:rFonts w:ascii="Minion Pro" w:hAnsi="Minion Pro" w:cs="Arial"/>
        </w:rPr>
      </w:pPr>
      <w:r w:rsidRPr="005F7E1B">
        <w:rPr>
          <w:rFonts w:ascii="Minion Pro" w:hAnsi="Minion Pro" w:cs="Arial"/>
        </w:rPr>
        <w:t xml:space="preserve">The new provisions dictate (provided that certain conditions are met) that a clause in a contract which gives exclusive jurisdiction to the courts of an EU Member State will be effective regardless of (a) the domicile of the parties, and (b) whether another court has previously been </w:t>
      </w:r>
      <w:proofErr w:type="spellStart"/>
      <w:r w:rsidRPr="005F7E1B">
        <w:rPr>
          <w:rFonts w:ascii="Minion Pro" w:hAnsi="Minion Pro" w:cs="Arial"/>
        </w:rPr>
        <w:t>seised</w:t>
      </w:r>
      <w:proofErr w:type="spellEnd"/>
      <w:r w:rsidRPr="005F7E1B">
        <w:rPr>
          <w:rFonts w:ascii="Minion Pro" w:hAnsi="Minion Pro" w:cs="Arial"/>
        </w:rPr>
        <w:t xml:space="preserve"> of the matter.</w:t>
      </w:r>
    </w:p>
    <w:p w:rsidR="00124080" w:rsidRPr="005F7E1B" w:rsidRDefault="00124080" w:rsidP="00124080">
      <w:pPr>
        <w:pStyle w:val="BodyText"/>
        <w:widowControl/>
        <w:numPr>
          <w:ilvl w:val="0"/>
          <w:numId w:val="1"/>
        </w:numPr>
        <w:tabs>
          <w:tab w:val="left" w:pos="1134"/>
          <w:tab w:val="left" w:pos="1701"/>
          <w:tab w:val="left" w:pos="2268"/>
        </w:tabs>
        <w:suppressAutoHyphens w:val="0"/>
        <w:spacing w:after="300" w:line="360" w:lineRule="auto"/>
        <w:jc w:val="both"/>
        <w:rPr>
          <w:rFonts w:ascii="Minion Pro" w:hAnsi="Minion Pro" w:cs="Arial"/>
        </w:rPr>
      </w:pPr>
      <w:r w:rsidRPr="005F7E1B">
        <w:rPr>
          <w:rFonts w:ascii="Minion Pro" w:hAnsi="Minion Pro" w:cs="Arial"/>
        </w:rPr>
        <w:t>The conditions for this to operate are listed in Article 25(1) and are that the clause must be:</w:t>
      </w:r>
    </w:p>
    <w:p w:rsidR="00124080" w:rsidRPr="005F7E1B" w:rsidRDefault="00124080" w:rsidP="00124080">
      <w:pPr>
        <w:pStyle w:val="BodyText"/>
        <w:widowControl/>
        <w:numPr>
          <w:ilvl w:val="1"/>
          <w:numId w:val="1"/>
        </w:numPr>
        <w:tabs>
          <w:tab w:val="left" w:pos="1134"/>
          <w:tab w:val="left" w:pos="1701"/>
          <w:tab w:val="left" w:pos="2268"/>
        </w:tabs>
        <w:suppressAutoHyphens w:val="0"/>
        <w:spacing w:after="300" w:line="360" w:lineRule="auto"/>
        <w:jc w:val="both"/>
        <w:rPr>
          <w:rFonts w:ascii="Minion Pro" w:hAnsi="Minion Pro" w:cs="Arial"/>
        </w:rPr>
      </w:pPr>
      <w:r w:rsidRPr="005F7E1B">
        <w:rPr>
          <w:rFonts w:ascii="Minion Pro" w:hAnsi="Minion Pro" w:cs="Arial"/>
        </w:rPr>
        <w:t>In writing or evidenced in writing;  </w:t>
      </w:r>
    </w:p>
    <w:p w:rsidR="00124080" w:rsidRPr="005F7E1B" w:rsidRDefault="00124080" w:rsidP="00124080">
      <w:pPr>
        <w:pStyle w:val="BodyText"/>
        <w:widowControl/>
        <w:numPr>
          <w:ilvl w:val="1"/>
          <w:numId w:val="1"/>
        </w:numPr>
        <w:tabs>
          <w:tab w:val="left" w:pos="1134"/>
          <w:tab w:val="left" w:pos="1701"/>
          <w:tab w:val="left" w:pos="2268"/>
        </w:tabs>
        <w:suppressAutoHyphens w:val="0"/>
        <w:spacing w:after="300" w:line="360" w:lineRule="auto"/>
        <w:ind w:left="1134" w:hanging="414"/>
        <w:jc w:val="both"/>
        <w:rPr>
          <w:rFonts w:ascii="Minion Pro" w:hAnsi="Minion Pro" w:cs="Arial"/>
        </w:rPr>
      </w:pPr>
      <w:r w:rsidRPr="005F7E1B">
        <w:rPr>
          <w:rFonts w:ascii="Minion Pro" w:hAnsi="Minion Pro" w:cs="Arial"/>
        </w:rPr>
        <w:t xml:space="preserve">In a form which accords with the practices which the parties have established between themselves; or </w:t>
      </w:r>
    </w:p>
    <w:p w:rsidR="00124080" w:rsidRPr="005F7E1B" w:rsidRDefault="00124080" w:rsidP="00124080">
      <w:pPr>
        <w:pStyle w:val="BodyText"/>
        <w:widowControl/>
        <w:numPr>
          <w:ilvl w:val="1"/>
          <w:numId w:val="1"/>
        </w:numPr>
        <w:tabs>
          <w:tab w:val="left" w:pos="1134"/>
          <w:tab w:val="left" w:pos="1701"/>
          <w:tab w:val="left" w:pos="2268"/>
        </w:tabs>
        <w:suppressAutoHyphens w:val="0"/>
        <w:spacing w:after="300" w:line="360" w:lineRule="auto"/>
        <w:ind w:left="1134" w:hanging="414"/>
        <w:jc w:val="both"/>
        <w:rPr>
          <w:rFonts w:ascii="Minion Pro" w:hAnsi="Minion Pro" w:cs="Arial"/>
        </w:rPr>
      </w:pPr>
      <w:r w:rsidRPr="005F7E1B">
        <w:rPr>
          <w:rFonts w:ascii="Minion Pro" w:hAnsi="Minion Pro" w:cs="Arial"/>
        </w:rPr>
        <w:t>In international trade or commerce, in a form which accords with a usage of which the parties are or ought to have been aware and which in such trade or commerce is widely known to, and regularly observed by, parties to contract of the type involved in the particular trade or commerce concerned.</w:t>
      </w:r>
    </w:p>
    <w:p w:rsidR="00124080" w:rsidRPr="005F7E1B" w:rsidRDefault="00124080" w:rsidP="00124080">
      <w:pPr>
        <w:pStyle w:val="BodyText"/>
        <w:widowControl/>
        <w:numPr>
          <w:ilvl w:val="0"/>
          <w:numId w:val="1"/>
        </w:numPr>
        <w:tabs>
          <w:tab w:val="left" w:pos="1134"/>
          <w:tab w:val="left" w:pos="1701"/>
          <w:tab w:val="left" w:pos="2268"/>
        </w:tabs>
        <w:suppressAutoHyphens w:val="0"/>
        <w:spacing w:after="300" w:line="360" w:lineRule="auto"/>
        <w:jc w:val="both"/>
        <w:rPr>
          <w:rFonts w:ascii="Minion Pro" w:hAnsi="Minion Pro" w:cs="Arial"/>
        </w:rPr>
      </w:pPr>
      <w:r w:rsidRPr="005F7E1B">
        <w:rPr>
          <w:rFonts w:ascii="Minion Pro" w:hAnsi="Minion Pro" w:cs="Arial"/>
        </w:rPr>
        <w:t>There are two highly significant aspects of this change:</w:t>
      </w:r>
    </w:p>
    <w:p w:rsidR="00124080" w:rsidRPr="005F7E1B" w:rsidRDefault="00124080" w:rsidP="00124080">
      <w:pPr>
        <w:pStyle w:val="BodyText"/>
        <w:widowControl/>
        <w:numPr>
          <w:ilvl w:val="1"/>
          <w:numId w:val="1"/>
        </w:numPr>
        <w:tabs>
          <w:tab w:val="left" w:pos="1134"/>
          <w:tab w:val="left" w:pos="1701"/>
          <w:tab w:val="left" w:pos="2268"/>
        </w:tabs>
        <w:suppressAutoHyphens w:val="0"/>
        <w:spacing w:after="300" w:line="360" w:lineRule="auto"/>
        <w:ind w:left="1134" w:hanging="414"/>
        <w:jc w:val="both"/>
        <w:rPr>
          <w:rFonts w:ascii="Minion Pro" w:hAnsi="Minion Pro" w:cs="Arial"/>
        </w:rPr>
      </w:pPr>
      <w:r w:rsidRPr="005F7E1B">
        <w:rPr>
          <w:rFonts w:ascii="Minion Pro" w:hAnsi="Minion Pro" w:cs="Arial"/>
          <w:b/>
        </w:rPr>
        <w:t>The removal of the domicile requirement.</w:t>
      </w:r>
      <w:r w:rsidRPr="005F7E1B">
        <w:rPr>
          <w:rFonts w:ascii="Minion Pro" w:hAnsi="Minion Pro" w:cs="Arial"/>
        </w:rPr>
        <w:t xml:space="preserve"> This means that an exclusive jurisdiction clause will fall within the scope of Article 25 even if </w:t>
      </w:r>
      <w:r w:rsidRPr="005F7E1B">
        <w:rPr>
          <w:rFonts w:ascii="Minion Pro" w:hAnsi="Minion Pro" w:cs="Arial"/>
          <w:u w:val="single"/>
        </w:rPr>
        <w:t>none</w:t>
      </w:r>
      <w:r w:rsidRPr="005F7E1B">
        <w:rPr>
          <w:rFonts w:ascii="Minion Pro" w:hAnsi="Minion Pro" w:cs="Arial"/>
        </w:rPr>
        <w:t xml:space="preserve"> of the parties are domiciled in a member state. This broadens considerably the number of jurisdiction agreements that will be captured by the Brussels regime. In practical terms, this change also means that potentially protracted and costly investigations as to domicile can be avoided. </w:t>
      </w:r>
    </w:p>
    <w:p w:rsidR="00124080" w:rsidRPr="005F7E1B" w:rsidRDefault="00124080" w:rsidP="00124080">
      <w:pPr>
        <w:pStyle w:val="BodyText"/>
        <w:widowControl/>
        <w:numPr>
          <w:ilvl w:val="1"/>
          <w:numId w:val="1"/>
        </w:numPr>
        <w:tabs>
          <w:tab w:val="left" w:pos="1134"/>
          <w:tab w:val="left" w:pos="1701"/>
          <w:tab w:val="left" w:pos="2268"/>
        </w:tabs>
        <w:suppressAutoHyphens w:val="0"/>
        <w:spacing w:after="300" w:line="360" w:lineRule="auto"/>
        <w:ind w:left="1134" w:hanging="414"/>
        <w:jc w:val="both"/>
        <w:rPr>
          <w:rFonts w:ascii="Minion Pro" w:hAnsi="Minion Pro" w:cs="Arial"/>
        </w:rPr>
      </w:pPr>
      <w:r w:rsidRPr="005F7E1B">
        <w:rPr>
          <w:rFonts w:ascii="Minion Pro" w:hAnsi="Minion Pro" w:cs="Arial"/>
          <w:b/>
        </w:rPr>
        <w:t xml:space="preserve">The removal of the old </w:t>
      </w:r>
      <w:proofErr w:type="spellStart"/>
      <w:r w:rsidRPr="005F7E1B">
        <w:rPr>
          <w:rFonts w:ascii="Minion Pro" w:hAnsi="Minion Pro" w:cs="Arial"/>
          <w:b/>
          <w:i/>
        </w:rPr>
        <w:t>lis</w:t>
      </w:r>
      <w:proofErr w:type="spellEnd"/>
      <w:r w:rsidRPr="005F7E1B">
        <w:rPr>
          <w:rFonts w:ascii="Minion Pro" w:hAnsi="Minion Pro" w:cs="Arial"/>
          <w:b/>
          <w:i/>
        </w:rPr>
        <w:t xml:space="preserve"> </w:t>
      </w:r>
      <w:proofErr w:type="spellStart"/>
      <w:r w:rsidRPr="005F7E1B">
        <w:rPr>
          <w:rFonts w:ascii="Minion Pro" w:hAnsi="Minion Pro" w:cs="Arial"/>
          <w:b/>
          <w:i/>
        </w:rPr>
        <w:t>pendens</w:t>
      </w:r>
      <w:proofErr w:type="spellEnd"/>
      <w:r w:rsidRPr="005F7E1B">
        <w:rPr>
          <w:rFonts w:ascii="Minion Pro" w:hAnsi="Minion Pro" w:cs="Arial"/>
          <w:b/>
        </w:rPr>
        <w:t xml:space="preserve"> rule.</w:t>
      </w:r>
      <w:r w:rsidRPr="005F7E1B">
        <w:rPr>
          <w:rFonts w:ascii="Minion Pro" w:hAnsi="Minion Pro" w:cs="Arial"/>
        </w:rPr>
        <w:t xml:space="preserve"> Under the old rules, the first EU court </w:t>
      </w:r>
      <w:proofErr w:type="spellStart"/>
      <w:r w:rsidRPr="005F7E1B">
        <w:rPr>
          <w:rFonts w:ascii="Minion Pro" w:hAnsi="Minion Pro" w:cs="Arial"/>
        </w:rPr>
        <w:t>seised</w:t>
      </w:r>
      <w:proofErr w:type="spellEnd"/>
      <w:r w:rsidRPr="005F7E1B">
        <w:rPr>
          <w:rFonts w:ascii="Minion Pro" w:hAnsi="Minion Pro" w:cs="Arial"/>
        </w:rPr>
        <w:t xml:space="preserve"> of the dispute would have jurisdiction until it decided that it could or should not hear the case. This rule used to override any exclusive jurisdiction clause. The change is designed to avoid the phenomenon known as the “Italian torpedo” effect, by which a party would race to the most advantageous jurisdiction to it (often, as the term “Italian torpedo” suggests, a jurisdiction with notoriety for sluggish mechanisms of justice because the party seeks to delay and obfuscate the progress of proceedings). Under the Recast Regulation, an exclusive jurisdiction clause will have primacy, even if the court of a Member State other than the one named in the clause is first </w:t>
      </w:r>
      <w:proofErr w:type="spellStart"/>
      <w:r w:rsidRPr="005F7E1B">
        <w:rPr>
          <w:rFonts w:ascii="Minion Pro" w:hAnsi="Minion Pro" w:cs="Arial"/>
        </w:rPr>
        <w:t>seised</w:t>
      </w:r>
      <w:proofErr w:type="spellEnd"/>
      <w:r w:rsidRPr="005F7E1B">
        <w:rPr>
          <w:rFonts w:ascii="Minion Pro" w:hAnsi="Minion Pro" w:cs="Arial"/>
        </w:rPr>
        <w:t xml:space="preserve"> of the matter. That court must, under the new Article 31, stay proceedings unless and until the court of exclusive jurisdiction declines jurisdiction.  </w:t>
      </w:r>
    </w:p>
    <w:p w:rsidR="00124080" w:rsidRPr="005F7E1B" w:rsidRDefault="00124080" w:rsidP="00124080">
      <w:pPr>
        <w:pStyle w:val="BodyText"/>
        <w:spacing w:after="240"/>
        <w:ind w:left="567" w:hanging="567"/>
        <w:rPr>
          <w:rFonts w:ascii="Minion Pro" w:hAnsi="Minion Pro" w:cs="Arial"/>
          <w:b/>
        </w:rPr>
      </w:pPr>
      <w:r w:rsidRPr="005F7E1B">
        <w:rPr>
          <w:rFonts w:ascii="Minion Pro" w:hAnsi="Minion Pro" w:cs="Arial"/>
          <w:b/>
        </w:rPr>
        <w:t xml:space="preserve">Collateral changes </w:t>
      </w:r>
    </w:p>
    <w:p w:rsidR="00124080" w:rsidRPr="005F7E1B" w:rsidRDefault="00124080" w:rsidP="00124080">
      <w:pPr>
        <w:pStyle w:val="BodyText"/>
        <w:spacing w:after="240"/>
        <w:ind w:left="567" w:hanging="567"/>
        <w:rPr>
          <w:rFonts w:ascii="Minion Pro" w:hAnsi="Minion Pro" w:cs="Arial"/>
          <w:i/>
        </w:rPr>
      </w:pPr>
      <w:r w:rsidRPr="005F7E1B">
        <w:rPr>
          <w:rFonts w:ascii="Minion Pro" w:hAnsi="Minion Pro" w:cs="Arial"/>
          <w:i/>
        </w:rPr>
        <w:t>The law for determining the validity of the clause</w:t>
      </w:r>
    </w:p>
    <w:p w:rsidR="00124080" w:rsidRPr="005F7E1B" w:rsidRDefault="00124080" w:rsidP="00124080">
      <w:pPr>
        <w:pStyle w:val="BodyText"/>
        <w:widowControl/>
        <w:numPr>
          <w:ilvl w:val="0"/>
          <w:numId w:val="1"/>
        </w:numPr>
        <w:tabs>
          <w:tab w:val="left" w:pos="1134"/>
          <w:tab w:val="left" w:pos="1701"/>
          <w:tab w:val="left" w:pos="2268"/>
        </w:tabs>
        <w:suppressAutoHyphens w:val="0"/>
        <w:spacing w:after="300" w:line="360" w:lineRule="auto"/>
        <w:jc w:val="both"/>
        <w:rPr>
          <w:rFonts w:ascii="Minion Pro" w:hAnsi="Minion Pro" w:cs="Arial"/>
        </w:rPr>
      </w:pPr>
      <w:r w:rsidRPr="005F7E1B">
        <w:rPr>
          <w:rFonts w:ascii="Minion Pro" w:hAnsi="Minion Pro" w:cs="Arial"/>
        </w:rPr>
        <w:t>The final phrase of the first sentence of the new Article 25 makes clear that any dispute as to the validity of the jurisdiction clause itself will be determined by the law of the Member State named in that clause. That will be so, even if the law of the contract as a whole is different.</w:t>
      </w:r>
    </w:p>
    <w:p w:rsidR="00124080" w:rsidRPr="005F7E1B" w:rsidRDefault="00124080" w:rsidP="00124080">
      <w:pPr>
        <w:pStyle w:val="BodyText"/>
        <w:widowControl/>
        <w:numPr>
          <w:ilvl w:val="0"/>
          <w:numId w:val="1"/>
        </w:numPr>
        <w:tabs>
          <w:tab w:val="left" w:pos="1134"/>
          <w:tab w:val="left" w:pos="1701"/>
          <w:tab w:val="left" w:pos="2268"/>
        </w:tabs>
        <w:suppressAutoHyphens w:val="0"/>
        <w:spacing w:after="300" w:line="360" w:lineRule="auto"/>
        <w:jc w:val="both"/>
        <w:rPr>
          <w:rFonts w:ascii="Minion Pro" w:hAnsi="Minion Pro" w:cs="Arial"/>
        </w:rPr>
      </w:pPr>
      <w:r w:rsidRPr="005F7E1B">
        <w:rPr>
          <w:rFonts w:ascii="Minion Pro" w:hAnsi="Minion Pro" w:cs="Arial"/>
        </w:rPr>
        <w:t>If there were any doubt about that, Recital 20 puts it to rest:</w:t>
      </w:r>
    </w:p>
    <w:p w:rsidR="00124080" w:rsidRPr="005F7E1B" w:rsidRDefault="00124080" w:rsidP="00124080">
      <w:pPr>
        <w:pStyle w:val="BodyText"/>
        <w:ind w:left="567"/>
        <w:rPr>
          <w:rFonts w:ascii="Minion Pro" w:hAnsi="Minion Pro" w:cs="Arial"/>
          <w:i/>
          <w:color w:val="000000"/>
          <w:shd w:val="clear" w:color="auto" w:fill="FFFFFF"/>
        </w:rPr>
      </w:pPr>
      <w:r w:rsidRPr="005F7E1B">
        <w:rPr>
          <w:rFonts w:ascii="Minion Pro" w:hAnsi="Minion Pro" w:cs="Arial"/>
          <w:i/>
          <w:color w:val="000000"/>
          <w:shd w:val="clear" w:color="auto" w:fill="FFFFFF"/>
        </w:rPr>
        <w:t>“Where a question arises as to whether a choice-of-court agreement in favour of a court or the courts of a Member State is null and void as to its substantive validity, that question should be decided in accordance with the law of the Member State of the court or courts designated in the agreement, including the conflict-of-laws rules of that Member State.”</w:t>
      </w:r>
    </w:p>
    <w:p w:rsidR="00124080" w:rsidRPr="005F7E1B" w:rsidRDefault="00124080" w:rsidP="00124080">
      <w:pPr>
        <w:pStyle w:val="BodyText"/>
        <w:widowControl/>
        <w:tabs>
          <w:tab w:val="num" w:pos="567"/>
          <w:tab w:val="left" w:pos="1134"/>
          <w:tab w:val="left" w:pos="1701"/>
          <w:tab w:val="left" w:pos="2268"/>
        </w:tabs>
        <w:suppressAutoHyphens w:val="0"/>
        <w:spacing w:after="300" w:line="360" w:lineRule="auto"/>
        <w:ind w:left="567" w:hanging="567"/>
        <w:jc w:val="both"/>
        <w:rPr>
          <w:rFonts w:ascii="Minion Pro" w:hAnsi="Minion Pro" w:cs="Arial"/>
          <w:shd w:val="clear" w:color="auto" w:fill="FFFFFF"/>
        </w:rPr>
      </w:pPr>
      <w:r w:rsidRPr="005F7E1B">
        <w:rPr>
          <w:rFonts w:ascii="Minion Pro" w:hAnsi="Minion Pro" w:cs="Arial"/>
          <w:shd w:val="clear" w:color="auto" w:fill="FFFFFF"/>
        </w:rPr>
        <w:tab/>
        <w:t>What is still not clear is what is meant by “substantive validity”.</w:t>
      </w:r>
    </w:p>
    <w:p w:rsidR="00124080" w:rsidRPr="005F7E1B" w:rsidRDefault="00124080" w:rsidP="00124080">
      <w:pPr>
        <w:pStyle w:val="BodyText"/>
        <w:spacing w:after="240"/>
        <w:ind w:left="567" w:hanging="567"/>
        <w:rPr>
          <w:rFonts w:ascii="Minion Pro" w:hAnsi="Minion Pro" w:cs="Arial"/>
          <w:i/>
          <w:shd w:val="clear" w:color="auto" w:fill="FFFFFF"/>
        </w:rPr>
      </w:pPr>
      <w:r w:rsidRPr="005F7E1B">
        <w:rPr>
          <w:rFonts w:ascii="Minion Pro" w:hAnsi="Minion Pro" w:cs="Arial"/>
          <w:i/>
          <w:shd w:val="clear" w:color="auto" w:fill="FFFFFF"/>
        </w:rPr>
        <w:t>Severability</w:t>
      </w:r>
    </w:p>
    <w:p w:rsidR="00124080" w:rsidRPr="005F7E1B" w:rsidRDefault="00124080" w:rsidP="00124080">
      <w:pPr>
        <w:pStyle w:val="BodyText"/>
        <w:widowControl/>
        <w:numPr>
          <w:ilvl w:val="0"/>
          <w:numId w:val="1"/>
        </w:numPr>
        <w:tabs>
          <w:tab w:val="left" w:pos="1134"/>
          <w:tab w:val="left" w:pos="1701"/>
          <w:tab w:val="left" w:pos="2268"/>
        </w:tabs>
        <w:suppressAutoHyphens w:val="0"/>
        <w:spacing w:after="300" w:line="360" w:lineRule="auto"/>
        <w:jc w:val="both"/>
        <w:rPr>
          <w:rFonts w:ascii="Minion Pro" w:hAnsi="Minion Pro" w:cs="Arial"/>
          <w:shd w:val="clear" w:color="auto" w:fill="FFFFFF"/>
        </w:rPr>
      </w:pPr>
      <w:r w:rsidRPr="005F7E1B">
        <w:rPr>
          <w:rFonts w:ascii="Minion Pro" w:hAnsi="Minion Pro" w:cs="Arial"/>
          <w:shd w:val="clear" w:color="auto" w:fill="FFFFFF"/>
        </w:rPr>
        <w:t>Article 25(5) makes clear that an exclusive jurisdiction clause is severable, such that the invalidity of the underlying contract will not affect it. This was not stated expressly in the previous Regulation, although it was the position in England at common law.</w:t>
      </w:r>
    </w:p>
    <w:p w:rsidR="00124080" w:rsidRPr="005F7E1B" w:rsidRDefault="00124080" w:rsidP="00124080">
      <w:pPr>
        <w:pStyle w:val="BodyText"/>
        <w:spacing w:after="240"/>
        <w:ind w:left="567" w:hanging="567"/>
        <w:rPr>
          <w:rFonts w:ascii="Minion Pro" w:hAnsi="Minion Pro" w:cs="Arial"/>
          <w:i/>
          <w:shd w:val="clear" w:color="auto" w:fill="FFFFFF"/>
        </w:rPr>
      </w:pPr>
      <w:r w:rsidRPr="005F7E1B">
        <w:rPr>
          <w:rFonts w:ascii="Minion Pro" w:hAnsi="Minion Pro" w:cs="Arial"/>
          <w:i/>
        </w:rPr>
        <w:t xml:space="preserve">Limited international </w:t>
      </w:r>
      <w:proofErr w:type="spellStart"/>
      <w:r w:rsidRPr="005F7E1B">
        <w:rPr>
          <w:rFonts w:ascii="Minion Pro" w:hAnsi="Minion Pro" w:cs="Arial"/>
          <w:i/>
        </w:rPr>
        <w:t>lis</w:t>
      </w:r>
      <w:proofErr w:type="spellEnd"/>
      <w:r w:rsidRPr="005F7E1B">
        <w:rPr>
          <w:rFonts w:ascii="Minion Pro" w:hAnsi="Minion Pro" w:cs="Arial"/>
          <w:i/>
        </w:rPr>
        <w:t xml:space="preserve"> </w:t>
      </w:r>
      <w:proofErr w:type="spellStart"/>
      <w:r w:rsidRPr="005F7E1B">
        <w:rPr>
          <w:rFonts w:ascii="Minion Pro" w:hAnsi="Minion Pro" w:cs="Arial"/>
          <w:i/>
        </w:rPr>
        <w:t>pendens</w:t>
      </w:r>
      <w:proofErr w:type="spellEnd"/>
    </w:p>
    <w:p w:rsidR="00124080" w:rsidRPr="005F7E1B" w:rsidRDefault="00124080" w:rsidP="00124080">
      <w:pPr>
        <w:pStyle w:val="BodyText"/>
        <w:widowControl/>
        <w:numPr>
          <w:ilvl w:val="0"/>
          <w:numId w:val="1"/>
        </w:numPr>
        <w:tabs>
          <w:tab w:val="left" w:pos="1134"/>
          <w:tab w:val="left" w:pos="1701"/>
          <w:tab w:val="left" w:pos="2268"/>
        </w:tabs>
        <w:suppressAutoHyphens w:val="0"/>
        <w:spacing w:after="300" w:line="360" w:lineRule="auto"/>
        <w:jc w:val="both"/>
        <w:rPr>
          <w:rFonts w:ascii="Minion Pro" w:hAnsi="Minion Pro" w:cs="Arial"/>
          <w:shd w:val="clear" w:color="auto" w:fill="FFFFFF"/>
        </w:rPr>
      </w:pPr>
      <w:r w:rsidRPr="005F7E1B">
        <w:rPr>
          <w:rFonts w:ascii="Minion Pro" w:hAnsi="Minion Pro" w:cs="Arial"/>
          <w:shd w:val="clear" w:color="auto" w:fill="FFFFFF"/>
        </w:rPr>
        <w:t xml:space="preserve">This concerns the issue of when courts of a </w:t>
      </w:r>
      <w:r w:rsidRPr="005F7E1B">
        <w:rPr>
          <w:rFonts w:ascii="Minion Pro" w:hAnsi="Minion Pro" w:cs="Arial"/>
          <w:u w:val="single"/>
          <w:shd w:val="clear" w:color="auto" w:fill="FFFFFF"/>
        </w:rPr>
        <w:t>non-EU Member State</w:t>
      </w:r>
      <w:r w:rsidRPr="005F7E1B">
        <w:rPr>
          <w:rFonts w:ascii="Minion Pro" w:hAnsi="Minion Pro" w:cs="Arial"/>
          <w:shd w:val="clear" w:color="auto" w:fill="FFFFFF"/>
        </w:rPr>
        <w:t xml:space="preserve"> (a “third State”) have been </w:t>
      </w:r>
      <w:proofErr w:type="spellStart"/>
      <w:r w:rsidRPr="005F7E1B">
        <w:rPr>
          <w:rFonts w:ascii="Minion Pro" w:hAnsi="Minion Pro" w:cs="Arial"/>
          <w:shd w:val="clear" w:color="auto" w:fill="FFFFFF"/>
        </w:rPr>
        <w:t>seised</w:t>
      </w:r>
      <w:proofErr w:type="spellEnd"/>
      <w:r w:rsidRPr="005F7E1B">
        <w:rPr>
          <w:rFonts w:ascii="Minion Pro" w:hAnsi="Minion Pro" w:cs="Arial"/>
          <w:shd w:val="clear" w:color="auto" w:fill="FFFFFF"/>
        </w:rPr>
        <w:t xml:space="preserve"> of the action before the courts of an EU Member State are </w:t>
      </w:r>
      <w:proofErr w:type="spellStart"/>
      <w:r w:rsidRPr="005F7E1B">
        <w:rPr>
          <w:rFonts w:ascii="Minion Pro" w:hAnsi="Minion Pro" w:cs="Arial"/>
          <w:shd w:val="clear" w:color="auto" w:fill="FFFFFF"/>
        </w:rPr>
        <w:t>seised</w:t>
      </w:r>
      <w:proofErr w:type="spellEnd"/>
      <w:r w:rsidRPr="005F7E1B">
        <w:rPr>
          <w:rFonts w:ascii="Minion Pro" w:hAnsi="Minion Pro" w:cs="Arial"/>
          <w:shd w:val="clear" w:color="auto" w:fill="FFFFFF"/>
        </w:rPr>
        <w:t xml:space="preserve"> of the same action. The new Article 33 provides (and Article 34 contains related provisions in relation to related actions) that, in this scenario, a subsequently </w:t>
      </w:r>
      <w:proofErr w:type="spellStart"/>
      <w:r w:rsidRPr="005F7E1B">
        <w:rPr>
          <w:rFonts w:ascii="Minion Pro" w:hAnsi="Minion Pro" w:cs="Arial"/>
          <w:shd w:val="clear" w:color="auto" w:fill="FFFFFF"/>
        </w:rPr>
        <w:t>seised</w:t>
      </w:r>
      <w:proofErr w:type="spellEnd"/>
      <w:r w:rsidRPr="005F7E1B">
        <w:rPr>
          <w:rFonts w:ascii="Minion Pro" w:hAnsi="Minion Pro" w:cs="Arial"/>
          <w:shd w:val="clear" w:color="auto" w:fill="FFFFFF"/>
        </w:rPr>
        <w:t xml:space="preserve"> court of a Member State </w:t>
      </w:r>
      <w:r w:rsidRPr="005F7E1B">
        <w:rPr>
          <w:rFonts w:ascii="Minion Pro" w:hAnsi="Minion Pro" w:cs="Arial"/>
          <w:i/>
          <w:shd w:val="clear" w:color="auto" w:fill="FFFFFF"/>
        </w:rPr>
        <w:t>“</w:t>
      </w:r>
      <w:r w:rsidRPr="005F7E1B">
        <w:rPr>
          <w:rFonts w:ascii="Minion Pro" w:hAnsi="Minion Pro" w:cs="Arial"/>
          <w:i/>
          <w:u w:val="single"/>
          <w:shd w:val="clear" w:color="auto" w:fill="FFFFFF"/>
        </w:rPr>
        <w:t>may</w:t>
      </w:r>
      <w:r w:rsidRPr="005F7E1B">
        <w:rPr>
          <w:rFonts w:ascii="Minion Pro" w:hAnsi="Minion Pro" w:cs="Arial"/>
          <w:i/>
          <w:shd w:val="clear" w:color="auto" w:fill="FFFFFF"/>
        </w:rPr>
        <w:t xml:space="preserve"> stay proceedings </w:t>
      </w:r>
      <w:r w:rsidRPr="005F7E1B">
        <w:rPr>
          <w:rFonts w:ascii="Minion Pro" w:hAnsi="Minion Pro" w:cs="Arial"/>
          <w:i/>
          <w:u w:val="single"/>
          <w:shd w:val="clear" w:color="auto" w:fill="FFFFFF"/>
        </w:rPr>
        <w:t>if</w:t>
      </w:r>
      <w:r w:rsidRPr="005F7E1B">
        <w:rPr>
          <w:rFonts w:ascii="Minion Pro" w:hAnsi="Minion Pro" w:cs="Arial"/>
          <w:shd w:val="clear" w:color="auto" w:fill="FFFFFF"/>
        </w:rPr>
        <w:t>:</w:t>
      </w:r>
    </w:p>
    <w:p w:rsidR="00124080" w:rsidRPr="005F7E1B" w:rsidRDefault="00124080" w:rsidP="00124080">
      <w:pPr>
        <w:pStyle w:val="BodyText"/>
        <w:widowControl/>
        <w:numPr>
          <w:ilvl w:val="1"/>
          <w:numId w:val="1"/>
        </w:numPr>
        <w:tabs>
          <w:tab w:val="left" w:pos="1134"/>
          <w:tab w:val="left" w:pos="1701"/>
          <w:tab w:val="left" w:pos="2268"/>
        </w:tabs>
        <w:suppressAutoHyphens w:val="0"/>
        <w:spacing w:after="300" w:line="360" w:lineRule="auto"/>
        <w:ind w:left="1134" w:hanging="414"/>
        <w:jc w:val="both"/>
        <w:rPr>
          <w:rFonts w:ascii="Minion Pro" w:hAnsi="Minion Pro" w:cs="Arial"/>
          <w:shd w:val="clear" w:color="auto" w:fill="FFFFFF"/>
        </w:rPr>
      </w:pPr>
      <w:r w:rsidRPr="005F7E1B">
        <w:rPr>
          <w:rFonts w:ascii="Minion Pro" w:hAnsi="Minion Pro" w:cs="Arial"/>
          <w:i/>
          <w:shd w:val="clear" w:color="auto" w:fill="FFFFFF"/>
        </w:rPr>
        <w:t>it is expected that the court of the third State will give a judgment capable of recognition and, where applicable, of enforcement in that Member State; and</w:t>
      </w:r>
    </w:p>
    <w:p w:rsidR="00124080" w:rsidRPr="005F7E1B" w:rsidRDefault="00124080" w:rsidP="00124080">
      <w:pPr>
        <w:pStyle w:val="BodyText"/>
        <w:widowControl/>
        <w:numPr>
          <w:ilvl w:val="1"/>
          <w:numId w:val="1"/>
        </w:numPr>
        <w:tabs>
          <w:tab w:val="left" w:pos="1134"/>
          <w:tab w:val="left" w:pos="1701"/>
          <w:tab w:val="left" w:pos="2268"/>
        </w:tabs>
        <w:suppressAutoHyphens w:val="0"/>
        <w:spacing w:after="300" w:line="360" w:lineRule="auto"/>
        <w:ind w:left="1134" w:hanging="414"/>
        <w:jc w:val="both"/>
        <w:rPr>
          <w:rFonts w:ascii="Minion Pro" w:hAnsi="Minion Pro" w:cs="Arial"/>
          <w:shd w:val="clear" w:color="auto" w:fill="FFFFFF"/>
        </w:rPr>
      </w:pPr>
      <w:r w:rsidRPr="005F7E1B">
        <w:rPr>
          <w:rFonts w:ascii="Minion Pro" w:hAnsi="Minion Pro" w:cs="Arial"/>
          <w:i/>
          <w:shd w:val="clear" w:color="auto" w:fill="FFFFFF"/>
        </w:rPr>
        <w:t>the court of the Member State is satisfied that a stay is necessary for the proper administration of justice.”</w:t>
      </w:r>
    </w:p>
    <w:p w:rsidR="00124080" w:rsidRPr="005F7E1B" w:rsidRDefault="00124080" w:rsidP="00124080">
      <w:pPr>
        <w:pStyle w:val="BodyText"/>
        <w:widowControl/>
        <w:numPr>
          <w:ilvl w:val="0"/>
          <w:numId w:val="1"/>
        </w:numPr>
        <w:tabs>
          <w:tab w:val="left" w:pos="1134"/>
          <w:tab w:val="left" w:pos="1701"/>
          <w:tab w:val="left" w:pos="2268"/>
        </w:tabs>
        <w:suppressAutoHyphens w:val="0"/>
        <w:spacing w:after="300" w:line="360" w:lineRule="auto"/>
        <w:jc w:val="both"/>
        <w:rPr>
          <w:rFonts w:ascii="Minion Pro" w:hAnsi="Minion Pro" w:cs="Arial"/>
          <w:shd w:val="clear" w:color="auto" w:fill="FFFFFF"/>
        </w:rPr>
      </w:pPr>
      <w:r w:rsidRPr="005F7E1B">
        <w:rPr>
          <w:rFonts w:ascii="Minion Pro" w:hAnsi="Minion Pro" w:cs="Arial"/>
          <w:shd w:val="clear" w:color="auto" w:fill="FFFFFF"/>
        </w:rPr>
        <w:t>The rules goes on to list situations where the court “may” continue proceedings, which include if the proceedings in the court of the third State are themselves stayed, or if the proceedings in the court of the third State are unlikely to be concluded within a reasonable time.</w:t>
      </w:r>
    </w:p>
    <w:p w:rsidR="00124080" w:rsidRPr="005F7E1B" w:rsidRDefault="00124080" w:rsidP="00124080">
      <w:pPr>
        <w:pStyle w:val="BodyText"/>
        <w:widowControl/>
        <w:numPr>
          <w:ilvl w:val="0"/>
          <w:numId w:val="1"/>
        </w:numPr>
        <w:tabs>
          <w:tab w:val="left" w:pos="1134"/>
          <w:tab w:val="left" w:pos="1701"/>
          <w:tab w:val="left" w:pos="2268"/>
        </w:tabs>
        <w:suppressAutoHyphens w:val="0"/>
        <w:spacing w:after="300" w:line="360" w:lineRule="auto"/>
        <w:jc w:val="both"/>
        <w:rPr>
          <w:rFonts w:ascii="Minion Pro" w:hAnsi="Minion Pro" w:cs="Arial"/>
          <w:b/>
          <w:shd w:val="clear" w:color="auto" w:fill="FFFFFF"/>
        </w:rPr>
      </w:pPr>
      <w:r w:rsidRPr="005F7E1B">
        <w:rPr>
          <w:rFonts w:ascii="Minion Pro" w:hAnsi="Minion Pro" w:cs="Arial"/>
          <w:shd w:val="clear" w:color="auto" w:fill="FFFFFF"/>
        </w:rPr>
        <w:t xml:space="preserve">Article 33 also represents a big change. Under the Judgments Regulation it was well established that, if the court of a member state had jurisdiction based on the domicile of a defendant (or, possibly, under some other provision of the Regulation), then it could not stay its proceedings in favour of a non-EU Member State court on the basis that the latter had a closer connection to the dispute and would be a more appropriate forum for the case to be heard: </w:t>
      </w:r>
      <w:proofErr w:type="spellStart"/>
      <w:r w:rsidRPr="005F7E1B">
        <w:rPr>
          <w:rFonts w:ascii="Minion Pro" w:hAnsi="Minion Pro" w:cs="Arial"/>
          <w:i/>
          <w:shd w:val="clear" w:color="auto" w:fill="FFFFFF"/>
        </w:rPr>
        <w:t>Owusu</w:t>
      </w:r>
      <w:proofErr w:type="spellEnd"/>
      <w:r w:rsidRPr="005F7E1B">
        <w:rPr>
          <w:rFonts w:ascii="Minion Pro" w:hAnsi="Minion Pro" w:cs="Arial"/>
          <w:i/>
          <w:shd w:val="clear" w:color="auto" w:fill="FFFFFF"/>
        </w:rPr>
        <w:t xml:space="preserve"> v Jackson</w:t>
      </w:r>
      <w:r w:rsidRPr="005F7E1B">
        <w:rPr>
          <w:rFonts w:ascii="Minion Pro" w:hAnsi="Minion Pro" w:cs="Arial"/>
          <w:shd w:val="clear" w:color="auto" w:fill="FFFFFF"/>
        </w:rPr>
        <w:t xml:space="preserve"> [2005] Q.B. 801. The decision in </w:t>
      </w:r>
      <w:proofErr w:type="spellStart"/>
      <w:r w:rsidRPr="005F7E1B">
        <w:rPr>
          <w:rFonts w:ascii="Minion Pro" w:hAnsi="Minion Pro" w:cs="Arial"/>
          <w:i/>
          <w:shd w:val="clear" w:color="auto" w:fill="FFFFFF"/>
        </w:rPr>
        <w:t>Owusu</w:t>
      </w:r>
      <w:proofErr w:type="spellEnd"/>
      <w:r w:rsidRPr="005F7E1B">
        <w:rPr>
          <w:rFonts w:ascii="Minion Pro" w:hAnsi="Minion Pro" w:cs="Arial"/>
          <w:i/>
          <w:shd w:val="clear" w:color="auto" w:fill="FFFFFF"/>
        </w:rPr>
        <w:t xml:space="preserve"> v Jackson</w:t>
      </w:r>
      <w:r w:rsidRPr="005F7E1B">
        <w:rPr>
          <w:rFonts w:ascii="Minion Pro" w:hAnsi="Minion Pro" w:cs="Arial"/>
          <w:shd w:val="clear" w:color="auto" w:fill="FFFFFF"/>
        </w:rPr>
        <w:t xml:space="preserve"> gave rise to uncertainty as whether proceedings brought in a member state could be stayed in circumstances where (</w:t>
      </w:r>
      <w:proofErr w:type="spellStart"/>
      <w:r w:rsidRPr="005F7E1B">
        <w:rPr>
          <w:rFonts w:ascii="Minion Pro" w:hAnsi="Minion Pro" w:cs="Arial"/>
          <w:shd w:val="clear" w:color="auto" w:fill="FFFFFF"/>
        </w:rPr>
        <w:t>i</w:t>
      </w:r>
      <w:proofErr w:type="spellEnd"/>
      <w:r w:rsidRPr="005F7E1B">
        <w:rPr>
          <w:rFonts w:ascii="Minion Pro" w:hAnsi="Minion Pro" w:cs="Arial"/>
          <w:shd w:val="clear" w:color="auto" w:fill="FFFFFF"/>
        </w:rPr>
        <w:t>) there were identical or related proceedings already pending in a non-member state court and/or (ii) where proceedings had been started in a non-member state court under an exclusive jurisdiction clause in favour of the courts of that state.</w:t>
      </w:r>
    </w:p>
    <w:p w:rsidR="00124080" w:rsidRPr="005F7E1B" w:rsidRDefault="00124080" w:rsidP="00124080">
      <w:pPr>
        <w:pStyle w:val="BodyText"/>
        <w:widowControl/>
        <w:numPr>
          <w:ilvl w:val="0"/>
          <w:numId w:val="1"/>
        </w:numPr>
        <w:tabs>
          <w:tab w:val="left" w:pos="1134"/>
          <w:tab w:val="left" w:pos="1701"/>
          <w:tab w:val="left" w:pos="2268"/>
        </w:tabs>
        <w:suppressAutoHyphens w:val="0"/>
        <w:spacing w:after="300" w:line="360" w:lineRule="auto"/>
        <w:jc w:val="both"/>
        <w:rPr>
          <w:rFonts w:ascii="Minion Pro" w:hAnsi="Minion Pro" w:cs="Arial"/>
          <w:shd w:val="clear" w:color="auto" w:fill="FFFFFF"/>
        </w:rPr>
      </w:pPr>
      <w:r w:rsidRPr="005F7E1B">
        <w:rPr>
          <w:rFonts w:ascii="Minion Pro" w:hAnsi="Minion Pro" w:cs="Arial"/>
          <w:shd w:val="clear" w:color="auto" w:fill="FFFFFF"/>
        </w:rPr>
        <w:t xml:space="preserve">The new Article 33 creates a discretion for the court to stay proceedings. </w:t>
      </w:r>
    </w:p>
    <w:p w:rsidR="00124080" w:rsidRPr="005F7E1B" w:rsidRDefault="00124080" w:rsidP="00124080">
      <w:pPr>
        <w:pStyle w:val="BodyText"/>
        <w:widowControl/>
        <w:numPr>
          <w:ilvl w:val="0"/>
          <w:numId w:val="1"/>
        </w:numPr>
        <w:tabs>
          <w:tab w:val="left" w:pos="1134"/>
          <w:tab w:val="left" w:pos="1701"/>
          <w:tab w:val="left" w:pos="2268"/>
        </w:tabs>
        <w:suppressAutoHyphens w:val="0"/>
        <w:spacing w:after="300" w:line="360" w:lineRule="auto"/>
        <w:jc w:val="both"/>
        <w:rPr>
          <w:rFonts w:ascii="Minion Pro" w:hAnsi="Minion Pro" w:cs="Arial"/>
          <w:shd w:val="clear" w:color="auto" w:fill="FFFFFF"/>
        </w:rPr>
      </w:pPr>
      <w:r w:rsidRPr="005F7E1B">
        <w:rPr>
          <w:rFonts w:ascii="Minion Pro" w:hAnsi="Minion Pro" w:cs="Arial"/>
          <w:shd w:val="clear" w:color="auto" w:fill="FFFFFF"/>
        </w:rPr>
        <w:t xml:space="preserve">However, that rule operates even where there is an exclusive jurisdiction clause in the contract. This introduces uncertainty into the equation that Article 25 otherwise seeks to remove. Although the “Italian torpedo” effect has been removed, there is nothing to stop parties racing to </w:t>
      </w:r>
      <w:r w:rsidRPr="005F7E1B">
        <w:rPr>
          <w:rFonts w:ascii="Minion Pro" w:hAnsi="Minion Pro" w:cs="Arial"/>
          <w:u w:val="single"/>
          <w:shd w:val="clear" w:color="auto" w:fill="FFFFFF"/>
        </w:rPr>
        <w:t>non-EU</w:t>
      </w:r>
      <w:r w:rsidRPr="005F7E1B">
        <w:rPr>
          <w:rFonts w:ascii="Minion Pro" w:hAnsi="Minion Pro" w:cs="Arial"/>
          <w:shd w:val="clear" w:color="auto" w:fill="FFFFFF"/>
        </w:rPr>
        <w:t xml:space="preserve"> jurisdictions in an attempt to bypass an exclusives jurisdiction clause that names an EU Member State. A party wishing to prevent this might well have to rely on the availability of anti-suit injunctions.</w:t>
      </w:r>
    </w:p>
    <w:p w:rsidR="00124080" w:rsidRPr="005F7E1B" w:rsidRDefault="00124080" w:rsidP="00124080">
      <w:pPr>
        <w:pStyle w:val="BodyText"/>
        <w:spacing w:after="240"/>
        <w:ind w:left="567" w:hanging="567"/>
        <w:rPr>
          <w:rFonts w:ascii="Minion Pro" w:hAnsi="Minion Pro" w:cs="Arial"/>
          <w:i/>
          <w:shd w:val="clear" w:color="auto" w:fill="FFFFFF"/>
        </w:rPr>
      </w:pPr>
      <w:r w:rsidRPr="005F7E1B">
        <w:rPr>
          <w:rFonts w:ascii="Minion Pro" w:hAnsi="Minion Pro" w:cs="Arial"/>
          <w:i/>
          <w:shd w:val="clear" w:color="auto" w:fill="FFFFFF"/>
        </w:rPr>
        <w:t>Service out</w:t>
      </w:r>
    </w:p>
    <w:p w:rsidR="00124080" w:rsidRPr="005F7E1B" w:rsidRDefault="00124080" w:rsidP="00124080">
      <w:pPr>
        <w:pStyle w:val="BodyText"/>
        <w:widowControl/>
        <w:numPr>
          <w:ilvl w:val="0"/>
          <w:numId w:val="1"/>
        </w:numPr>
        <w:tabs>
          <w:tab w:val="left" w:pos="1134"/>
          <w:tab w:val="left" w:pos="1701"/>
          <w:tab w:val="left" w:pos="2268"/>
        </w:tabs>
        <w:suppressAutoHyphens w:val="0"/>
        <w:spacing w:after="300" w:line="360" w:lineRule="auto"/>
        <w:jc w:val="both"/>
        <w:rPr>
          <w:rFonts w:ascii="Minion Pro" w:hAnsi="Minion Pro" w:cs="Arial"/>
          <w:shd w:val="clear" w:color="auto" w:fill="FFFFFF"/>
        </w:rPr>
      </w:pPr>
      <w:r w:rsidRPr="005F7E1B">
        <w:rPr>
          <w:rFonts w:ascii="Minion Pro" w:hAnsi="Minion Pro" w:cs="Arial"/>
          <w:shd w:val="clear" w:color="auto" w:fill="FFFFFF"/>
        </w:rPr>
        <w:t xml:space="preserve">This is not so much a change as a collateral consequence of the removal of the requirement of EU domicile. Since domicile is no longer relevant where there is an exclusive jurisdiction clause, even where all of the parties are located outside the EU, they can nominate an EU member court and the Recast Regulation will apply. This presumably means that, if the parties nominate England and Wales, permission is no longer required to serve any of the parties involved out of the jurisdiction. This is based on CPR 6.33(b)(iii), which permits service out without permission where there is a Brussels Regulation jurisdiction agreement. </w:t>
      </w:r>
    </w:p>
    <w:p w:rsidR="00124080" w:rsidRPr="005F7E1B" w:rsidRDefault="00124080" w:rsidP="00124080">
      <w:pPr>
        <w:pStyle w:val="BodyText"/>
        <w:widowControl/>
        <w:numPr>
          <w:ilvl w:val="0"/>
          <w:numId w:val="1"/>
        </w:numPr>
        <w:tabs>
          <w:tab w:val="left" w:pos="1134"/>
          <w:tab w:val="left" w:pos="1701"/>
          <w:tab w:val="left" w:pos="2268"/>
        </w:tabs>
        <w:suppressAutoHyphens w:val="0"/>
        <w:spacing w:after="300" w:line="360" w:lineRule="auto"/>
        <w:jc w:val="both"/>
        <w:rPr>
          <w:rFonts w:ascii="Minion Pro" w:hAnsi="Minion Pro" w:cs="Arial"/>
          <w:shd w:val="clear" w:color="auto" w:fill="FFFFFF"/>
        </w:rPr>
      </w:pPr>
      <w:r w:rsidRPr="005F7E1B">
        <w:rPr>
          <w:rFonts w:ascii="Minion Pro" w:hAnsi="Minion Pro" w:cs="Arial"/>
          <w:shd w:val="clear" w:color="auto" w:fill="FFFFFF"/>
        </w:rPr>
        <w:t xml:space="preserve">A further corollary of this may be that the </w:t>
      </w:r>
      <w:r w:rsidRPr="005F7E1B">
        <w:rPr>
          <w:rFonts w:ascii="Minion Pro" w:hAnsi="Minion Pro" w:cs="Arial"/>
        </w:rPr>
        <w:t xml:space="preserve">jurisdictional gateway contained in Practice Direction 6B that permits service out (with permission) where a contract </w:t>
      </w:r>
      <w:r w:rsidRPr="005F7E1B">
        <w:rPr>
          <w:rFonts w:ascii="Minion Pro" w:hAnsi="Minion Pro" w:cs="Arial"/>
          <w:i/>
        </w:rPr>
        <w:t>“contains a term to the effect that the court shall have jurisdiction to determine any claim in respect of the contract”</w:t>
      </w:r>
      <w:r w:rsidRPr="005F7E1B">
        <w:rPr>
          <w:rFonts w:ascii="Minion Pro" w:hAnsi="Minion Pro" w:cs="Arial"/>
        </w:rPr>
        <w:t xml:space="preserve"> will become otiose, because the parties will no longer require permission in this situation.</w:t>
      </w:r>
    </w:p>
    <w:p w:rsidR="00124080" w:rsidRPr="005F7E1B" w:rsidRDefault="00124080" w:rsidP="00124080">
      <w:pPr>
        <w:pStyle w:val="BodyText"/>
        <w:widowControl/>
        <w:tabs>
          <w:tab w:val="left" w:pos="1134"/>
          <w:tab w:val="left" w:pos="1701"/>
          <w:tab w:val="left" w:pos="2268"/>
        </w:tabs>
        <w:suppressAutoHyphens w:val="0"/>
        <w:spacing w:after="300" w:line="360" w:lineRule="auto"/>
        <w:ind w:left="720"/>
        <w:jc w:val="both"/>
        <w:rPr>
          <w:rFonts w:ascii="Minion Pro" w:hAnsi="Minion Pro" w:cs="Arial"/>
        </w:rPr>
      </w:pPr>
    </w:p>
    <w:p w:rsidR="00124080" w:rsidRPr="005F7E1B" w:rsidRDefault="00124080" w:rsidP="00124080">
      <w:pPr>
        <w:pStyle w:val="BodyText"/>
        <w:widowControl/>
        <w:tabs>
          <w:tab w:val="left" w:pos="1134"/>
          <w:tab w:val="left" w:pos="1701"/>
          <w:tab w:val="left" w:pos="2268"/>
        </w:tabs>
        <w:suppressAutoHyphens w:val="0"/>
        <w:spacing w:after="300" w:line="360" w:lineRule="auto"/>
        <w:ind w:left="720"/>
        <w:jc w:val="both"/>
        <w:rPr>
          <w:rFonts w:ascii="Minion Pro" w:hAnsi="Minion Pro" w:cs="Arial"/>
          <w:shd w:val="clear" w:color="auto" w:fill="FFFFFF"/>
        </w:rPr>
      </w:pPr>
    </w:p>
    <w:p w:rsidR="00124080" w:rsidRPr="005F7E1B" w:rsidRDefault="00124080" w:rsidP="00124080">
      <w:pPr>
        <w:pStyle w:val="BodyText"/>
        <w:spacing w:after="240"/>
        <w:ind w:left="567" w:hanging="567"/>
        <w:rPr>
          <w:rFonts w:ascii="Minion Pro" w:hAnsi="Minion Pro" w:cs="Arial"/>
          <w:b/>
          <w:shd w:val="clear" w:color="auto" w:fill="FFFFFF"/>
        </w:rPr>
      </w:pPr>
      <w:r w:rsidRPr="005F7E1B">
        <w:rPr>
          <w:rFonts w:ascii="Minion Pro" w:hAnsi="Minion Pro" w:cs="Arial"/>
          <w:b/>
          <w:shd w:val="clear" w:color="auto" w:fill="FFFFFF"/>
        </w:rPr>
        <w:t xml:space="preserve">Remaining uncertainties </w:t>
      </w:r>
    </w:p>
    <w:p w:rsidR="00124080" w:rsidRPr="005F7E1B" w:rsidRDefault="00124080" w:rsidP="00124080">
      <w:pPr>
        <w:pStyle w:val="BodyText"/>
        <w:spacing w:after="240"/>
        <w:ind w:left="567" w:hanging="567"/>
        <w:rPr>
          <w:rFonts w:ascii="Minion Pro" w:hAnsi="Minion Pro" w:cs="Arial"/>
          <w:i/>
          <w:shd w:val="clear" w:color="auto" w:fill="FFFFFF"/>
        </w:rPr>
      </w:pPr>
      <w:r w:rsidRPr="005F7E1B">
        <w:rPr>
          <w:rFonts w:ascii="Minion Pro" w:hAnsi="Minion Pro" w:cs="Arial"/>
          <w:i/>
          <w:shd w:val="clear" w:color="auto" w:fill="FFFFFF"/>
        </w:rPr>
        <w:t xml:space="preserve">Asymmetric jurisdiction clauses </w:t>
      </w:r>
    </w:p>
    <w:p w:rsidR="00124080" w:rsidRPr="005F7E1B" w:rsidRDefault="00124080" w:rsidP="00124080">
      <w:pPr>
        <w:pStyle w:val="BodyText"/>
        <w:widowControl/>
        <w:numPr>
          <w:ilvl w:val="0"/>
          <w:numId w:val="1"/>
        </w:numPr>
        <w:tabs>
          <w:tab w:val="left" w:pos="1134"/>
          <w:tab w:val="left" w:pos="1701"/>
          <w:tab w:val="left" w:pos="2268"/>
        </w:tabs>
        <w:suppressAutoHyphens w:val="0"/>
        <w:spacing w:after="300" w:line="360" w:lineRule="auto"/>
        <w:jc w:val="both"/>
        <w:rPr>
          <w:rFonts w:ascii="Minion Pro" w:hAnsi="Minion Pro" w:cs="Arial"/>
          <w:shd w:val="clear" w:color="auto" w:fill="FFFFFF"/>
        </w:rPr>
      </w:pPr>
      <w:r w:rsidRPr="005F7E1B">
        <w:rPr>
          <w:rFonts w:ascii="Minion Pro" w:hAnsi="Minion Pro" w:cs="Arial"/>
          <w:shd w:val="clear" w:color="auto" w:fill="FFFFFF"/>
        </w:rPr>
        <w:t xml:space="preserve">It is clear that the rules discussed above do </w:t>
      </w:r>
      <w:r w:rsidRPr="005F7E1B">
        <w:rPr>
          <w:rFonts w:ascii="Minion Pro" w:hAnsi="Minion Pro" w:cs="Arial"/>
          <w:u w:val="single"/>
          <w:shd w:val="clear" w:color="auto" w:fill="FFFFFF"/>
        </w:rPr>
        <w:t>not</w:t>
      </w:r>
      <w:r w:rsidRPr="005F7E1B">
        <w:rPr>
          <w:rFonts w:ascii="Minion Pro" w:hAnsi="Minion Pro" w:cs="Arial"/>
          <w:shd w:val="clear" w:color="auto" w:fill="FFFFFF"/>
        </w:rPr>
        <w:t xml:space="preserve"> apply to </w:t>
      </w:r>
      <w:r w:rsidRPr="005F7E1B">
        <w:rPr>
          <w:rFonts w:ascii="Minion Pro" w:hAnsi="Minion Pro" w:cs="Arial"/>
          <w:u w:val="single"/>
          <w:shd w:val="clear" w:color="auto" w:fill="FFFFFF"/>
        </w:rPr>
        <w:t>non-exclusive</w:t>
      </w:r>
      <w:r w:rsidRPr="005F7E1B">
        <w:rPr>
          <w:rFonts w:ascii="Minion Pro" w:hAnsi="Minion Pro" w:cs="Arial"/>
          <w:shd w:val="clear" w:color="auto" w:fill="FFFFFF"/>
        </w:rPr>
        <w:t xml:space="preserve"> jurisdiction clauses (for the reason that the parties have expressly contemplated in drafting such a clause that courts other than the one named in the clause should be able to hear proceedings).</w:t>
      </w:r>
    </w:p>
    <w:p w:rsidR="00124080" w:rsidRPr="005F7E1B" w:rsidRDefault="00124080" w:rsidP="00124080">
      <w:pPr>
        <w:pStyle w:val="BodyText"/>
        <w:widowControl/>
        <w:numPr>
          <w:ilvl w:val="0"/>
          <w:numId w:val="1"/>
        </w:numPr>
        <w:tabs>
          <w:tab w:val="left" w:pos="1134"/>
          <w:tab w:val="left" w:pos="1701"/>
          <w:tab w:val="left" w:pos="2268"/>
        </w:tabs>
        <w:suppressAutoHyphens w:val="0"/>
        <w:spacing w:after="300" w:line="360" w:lineRule="auto"/>
        <w:jc w:val="both"/>
        <w:rPr>
          <w:rFonts w:ascii="Minion Pro" w:hAnsi="Minion Pro" w:cs="Arial"/>
          <w:shd w:val="clear" w:color="auto" w:fill="FFFFFF"/>
        </w:rPr>
      </w:pPr>
      <w:r w:rsidRPr="005F7E1B">
        <w:rPr>
          <w:rFonts w:ascii="Minion Pro" w:hAnsi="Minion Pro" w:cs="Arial"/>
          <w:shd w:val="clear" w:color="auto" w:fill="FFFFFF"/>
        </w:rPr>
        <w:t>In contrast, an asymmetric jurisdiction clause is one which binds one or some parties to a particular jurisdiction, but permits others to commence proceedings in any competent court. It remains unclear how the new rules will apply to asymmetric clauses. In particular, can the concept of “substantive validity” be used to challenge whether or not an asymmetric clause is truly “exclusive”? In a maritime context the problem often arises with clauses which</w:t>
      </w:r>
      <w:r w:rsidRPr="005F7E1B">
        <w:rPr>
          <w:rFonts w:ascii="Minion Pro" w:hAnsi="Minion Pro" w:cs="Arial"/>
        </w:rPr>
        <w:t xml:space="preserve"> confer an option on one party to have a dispute referred to arbitration.</w:t>
      </w:r>
    </w:p>
    <w:p w:rsidR="00124080" w:rsidRPr="005F7E1B" w:rsidRDefault="00124080" w:rsidP="00124080">
      <w:pPr>
        <w:pStyle w:val="BodyText"/>
        <w:widowControl/>
        <w:numPr>
          <w:ilvl w:val="0"/>
          <w:numId w:val="1"/>
        </w:numPr>
        <w:tabs>
          <w:tab w:val="left" w:pos="1134"/>
          <w:tab w:val="left" w:pos="1701"/>
          <w:tab w:val="left" w:pos="2268"/>
        </w:tabs>
        <w:suppressAutoHyphens w:val="0"/>
        <w:spacing w:after="300" w:line="360" w:lineRule="auto"/>
        <w:jc w:val="both"/>
        <w:rPr>
          <w:rFonts w:ascii="Minion Pro" w:hAnsi="Minion Pro" w:cs="Arial"/>
          <w:shd w:val="clear" w:color="auto" w:fill="FFFFFF"/>
        </w:rPr>
      </w:pPr>
      <w:r w:rsidRPr="005F7E1B">
        <w:rPr>
          <w:rFonts w:ascii="Minion Pro" w:hAnsi="Minion Pro" w:cs="Arial"/>
          <w:shd w:val="clear" w:color="auto" w:fill="FFFFFF"/>
        </w:rPr>
        <w:t xml:space="preserve">The failure of the Recast Regulation to address this subject has been the subject of criticism, especially because such clauses are so common in the lending and capital markets contexts, from which much of the criticism of the old regime emanated. In particular, the drafters’ failure to address the uncertainty caused by the decision of the French Supreme Court in </w:t>
      </w:r>
      <w:r w:rsidRPr="005F7E1B">
        <w:rPr>
          <w:rFonts w:ascii="Minion Pro" w:hAnsi="Minion Pro" w:cs="Arial"/>
          <w:i/>
          <w:iCs/>
          <w:shd w:val="clear" w:color="auto" w:fill="FFFFFF"/>
        </w:rPr>
        <w:t xml:space="preserve">Ms X v </w:t>
      </w:r>
      <w:proofErr w:type="spellStart"/>
      <w:r w:rsidRPr="005F7E1B">
        <w:rPr>
          <w:rFonts w:ascii="Minion Pro" w:hAnsi="Minion Pro" w:cs="Arial"/>
          <w:i/>
          <w:iCs/>
          <w:shd w:val="clear" w:color="auto" w:fill="FFFFFF"/>
        </w:rPr>
        <w:t>Banque</w:t>
      </w:r>
      <w:proofErr w:type="spellEnd"/>
      <w:r w:rsidRPr="005F7E1B">
        <w:rPr>
          <w:rFonts w:ascii="Minion Pro" w:hAnsi="Minion Pro" w:cs="Arial"/>
          <w:i/>
          <w:iCs/>
          <w:shd w:val="clear" w:color="auto" w:fill="FFFFFF"/>
        </w:rPr>
        <w:t xml:space="preserve"> </w:t>
      </w:r>
      <w:proofErr w:type="spellStart"/>
      <w:r w:rsidRPr="005F7E1B">
        <w:rPr>
          <w:rFonts w:ascii="Minion Pro" w:hAnsi="Minion Pro" w:cs="Arial"/>
          <w:i/>
          <w:iCs/>
          <w:shd w:val="clear" w:color="auto" w:fill="FFFFFF"/>
        </w:rPr>
        <w:t>Privée</w:t>
      </w:r>
      <w:proofErr w:type="spellEnd"/>
      <w:r w:rsidRPr="005F7E1B">
        <w:rPr>
          <w:rFonts w:ascii="Minion Pro" w:hAnsi="Minion Pro" w:cs="Arial"/>
          <w:i/>
          <w:iCs/>
          <w:shd w:val="clear" w:color="auto" w:fill="FFFFFF"/>
        </w:rPr>
        <w:t xml:space="preserve"> Edmond de Rothschild</w:t>
      </w:r>
      <w:r w:rsidRPr="005F7E1B">
        <w:rPr>
          <w:rFonts w:ascii="Minion Pro" w:hAnsi="Minion Pro" w:cs="Arial"/>
          <w:iCs/>
          <w:shd w:val="clear" w:color="auto" w:fill="FFFFFF"/>
        </w:rPr>
        <w:t xml:space="preserve">, which declared a hybrid or asymmetric jurisdiction clause void as contrary to the former Article 23 of the Brussels Regulation, has been roundly critiqued. </w:t>
      </w:r>
    </w:p>
    <w:p w:rsidR="00124080" w:rsidRPr="005F7E1B" w:rsidRDefault="00124080" w:rsidP="00124080">
      <w:pPr>
        <w:pStyle w:val="BodyText"/>
        <w:widowControl/>
        <w:numPr>
          <w:ilvl w:val="0"/>
          <w:numId w:val="1"/>
        </w:numPr>
        <w:tabs>
          <w:tab w:val="left" w:pos="1134"/>
          <w:tab w:val="left" w:pos="1701"/>
          <w:tab w:val="left" w:pos="2268"/>
        </w:tabs>
        <w:suppressAutoHyphens w:val="0"/>
        <w:spacing w:after="300" w:line="360" w:lineRule="auto"/>
        <w:jc w:val="both"/>
        <w:rPr>
          <w:rFonts w:ascii="Minion Pro" w:hAnsi="Minion Pro" w:cs="Arial"/>
        </w:rPr>
      </w:pPr>
      <w:r w:rsidRPr="005F7E1B">
        <w:rPr>
          <w:rFonts w:ascii="Minion Pro" w:hAnsi="Minion Pro" w:cs="Arial"/>
          <w:iCs/>
          <w:shd w:val="clear" w:color="auto" w:fill="FFFFFF"/>
        </w:rPr>
        <w:t xml:space="preserve">These clauses have routinely been upheld in English law. For example, </w:t>
      </w:r>
      <w:proofErr w:type="spellStart"/>
      <w:r w:rsidRPr="005F7E1B">
        <w:rPr>
          <w:rFonts w:ascii="Minion Pro" w:hAnsi="Minion Pro" w:cs="Arial"/>
          <w:iCs/>
          <w:shd w:val="clear" w:color="auto" w:fill="FFFFFF"/>
        </w:rPr>
        <w:t>Popplewell</w:t>
      </w:r>
      <w:proofErr w:type="spellEnd"/>
      <w:r w:rsidRPr="005F7E1B">
        <w:rPr>
          <w:rFonts w:ascii="Minion Pro" w:hAnsi="Minion Pro" w:cs="Arial"/>
          <w:iCs/>
          <w:shd w:val="clear" w:color="auto" w:fill="FFFFFF"/>
        </w:rPr>
        <w:t xml:space="preserve"> J cited with approval in </w:t>
      </w:r>
      <w:r w:rsidRPr="005F7E1B">
        <w:rPr>
          <w:rFonts w:ascii="Minion Pro" w:hAnsi="Minion Pro" w:cs="Arial"/>
          <w:i/>
          <w:iCs/>
          <w:shd w:val="clear" w:color="auto" w:fill="FFFFFF"/>
        </w:rPr>
        <w:t>Mauritius Commercial Bank Ltd v Hestia Holdings Ltd and another </w:t>
      </w:r>
      <w:r w:rsidRPr="005F7E1B">
        <w:rPr>
          <w:rFonts w:ascii="Minion Pro" w:hAnsi="Minion Pro" w:cs="Arial"/>
          <w:iCs/>
          <w:shd w:val="clear" w:color="auto" w:fill="FFFFFF"/>
        </w:rPr>
        <w:t>[2013] EWHC 1328 (</w:t>
      </w:r>
      <w:proofErr w:type="spellStart"/>
      <w:r w:rsidRPr="005F7E1B">
        <w:rPr>
          <w:rFonts w:ascii="Minion Pro" w:hAnsi="Minion Pro" w:cs="Arial"/>
          <w:iCs/>
          <w:shd w:val="clear" w:color="auto" w:fill="FFFFFF"/>
        </w:rPr>
        <w:t>Comm</w:t>
      </w:r>
      <w:proofErr w:type="spellEnd"/>
      <w:r w:rsidRPr="005F7E1B">
        <w:rPr>
          <w:rFonts w:ascii="Minion Pro" w:hAnsi="Minion Pro" w:cs="Arial"/>
          <w:iCs/>
          <w:shd w:val="clear" w:color="auto" w:fill="FFFFFF"/>
        </w:rPr>
        <w:t>) (para 42) an article by Pr</w:t>
      </w:r>
      <w:r w:rsidRPr="005F7E1B">
        <w:rPr>
          <w:rFonts w:ascii="Minion Pro" w:hAnsi="Minion Pro" w:cs="Arial"/>
        </w:rPr>
        <w:t xml:space="preserve">ofessor </w:t>
      </w:r>
      <w:proofErr w:type="spellStart"/>
      <w:r w:rsidRPr="005F7E1B">
        <w:rPr>
          <w:rFonts w:ascii="Minion Pro" w:hAnsi="Minion Pro" w:cs="Arial"/>
        </w:rPr>
        <w:t>Fentiman</w:t>
      </w:r>
      <w:proofErr w:type="spellEnd"/>
      <w:r w:rsidRPr="005F7E1B">
        <w:rPr>
          <w:rFonts w:ascii="Minion Pro" w:hAnsi="Minion Pro" w:cs="Arial"/>
        </w:rPr>
        <w:t xml:space="preserve"> </w:t>
      </w:r>
      <w:r w:rsidRPr="005F7E1B">
        <w:rPr>
          <w:rFonts w:ascii="Minion Pro" w:hAnsi="Minion Pro" w:cs="Arial"/>
          <w:i/>
        </w:rPr>
        <w:t>“Universal jurisdiction agreements in Europe”</w:t>
      </w:r>
      <w:r w:rsidRPr="005F7E1B">
        <w:rPr>
          <w:rFonts w:ascii="Minion Pro" w:hAnsi="Minion Pro" w:cs="Arial"/>
        </w:rPr>
        <w:t xml:space="preserve"> (CLJ (2013) 72 (1) 24–27), in which Professor </w:t>
      </w:r>
      <w:proofErr w:type="spellStart"/>
      <w:r w:rsidRPr="005F7E1B">
        <w:rPr>
          <w:rFonts w:ascii="Minion Pro" w:hAnsi="Minion Pro" w:cs="Arial"/>
        </w:rPr>
        <w:t>Fentiman</w:t>
      </w:r>
      <w:proofErr w:type="spellEnd"/>
      <w:r w:rsidRPr="005F7E1B">
        <w:rPr>
          <w:rFonts w:ascii="Minion Pro" w:hAnsi="Minion Pro" w:cs="Arial"/>
        </w:rPr>
        <w:t xml:space="preserve"> states: </w:t>
      </w:r>
    </w:p>
    <w:p w:rsidR="00124080" w:rsidRPr="005F7E1B" w:rsidRDefault="00124080" w:rsidP="00124080">
      <w:pPr>
        <w:pStyle w:val="BodyText"/>
        <w:ind w:left="567"/>
        <w:rPr>
          <w:rFonts w:ascii="Minion Pro" w:hAnsi="Minion Pro" w:cs="Arial"/>
          <w:i/>
        </w:rPr>
      </w:pPr>
      <w:r w:rsidRPr="005F7E1B">
        <w:rPr>
          <w:rFonts w:ascii="Minion Pro" w:hAnsi="Minion Pro" w:cs="Arial"/>
          <w:i/>
        </w:rPr>
        <w:t>“Such unilaterally non-exclusive clauses are ubiquitous in the financial markets. They ensure that creditors can always litigate in a debtor's home court, or where its assets are located. They also contribute to the readiness of banks to provide finance, and reduce the cost of such finance to debtors, by minimising the risk that a debtor's obligations will be unenforceable. Such agreements are valid in English law … Indeed despite their asymmetric, optional character it is difficult to conceive how their validity could be impugned or what policy might justify doing so … ”</w:t>
      </w:r>
    </w:p>
    <w:p w:rsidR="00124080" w:rsidRPr="005F7E1B" w:rsidRDefault="00124080" w:rsidP="00124080">
      <w:pPr>
        <w:pStyle w:val="BodyText"/>
        <w:widowControl/>
        <w:numPr>
          <w:ilvl w:val="0"/>
          <w:numId w:val="1"/>
        </w:numPr>
        <w:tabs>
          <w:tab w:val="left" w:pos="1134"/>
          <w:tab w:val="left" w:pos="1701"/>
          <w:tab w:val="left" w:pos="2268"/>
        </w:tabs>
        <w:suppressAutoHyphens w:val="0"/>
        <w:spacing w:after="300" w:line="360" w:lineRule="auto"/>
        <w:jc w:val="both"/>
        <w:rPr>
          <w:rFonts w:ascii="Minion Pro" w:hAnsi="Minion Pro" w:cs="Arial"/>
          <w:shd w:val="clear" w:color="auto" w:fill="FFFFFF"/>
        </w:rPr>
      </w:pPr>
      <w:r w:rsidRPr="005F7E1B">
        <w:rPr>
          <w:rFonts w:ascii="Minion Pro" w:hAnsi="Minion Pro" w:cs="Arial"/>
          <w:shd w:val="clear" w:color="auto" w:fill="FFFFFF"/>
        </w:rPr>
        <w:t>Given the popularity of these clauses, it is regrettable that their status under the Recast Regulation remains somewhat unclear.</w:t>
      </w:r>
    </w:p>
    <w:p w:rsidR="00124080" w:rsidRPr="005F7E1B" w:rsidRDefault="00124080" w:rsidP="00124080">
      <w:pPr>
        <w:pStyle w:val="BodyText"/>
        <w:spacing w:after="240"/>
        <w:ind w:left="567" w:hanging="567"/>
        <w:rPr>
          <w:rFonts w:ascii="Minion Pro" w:hAnsi="Minion Pro" w:cs="Arial"/>
          <w:b/>
          <w:shd w:val="clear" w:color="auto" w:fill="FFFFFF"/>
        </w:rPr>
      </w:pPr>
      <w:r w:rsidRPr="005F7E1B">
        <w:rPr>
          <w:rFonts w:ascii="Minion Pro" w:hAnsi="Minion Pro" w:cs="Arial"/>
          <w:i/>
          <w:shd w:val="clear" w:color="auto" w:fill="FFFFFF"/>
        </w:rPr>
        <w:t>The lack of clarity on clauses designating non-EU Member States</w:t>
      </w:r>
    </w:p>
    <w:p w:rsidR="00124080" w:rsidRPr="005F7E1B" w:rsidRDefault="00124080" w:rsidP="00124080">
      <w:pPr>
        <w:pStyle w:val="BodyText"/>
        <w:widowControl/>
        <w:numPr>
          <w:ilvl w:val="0"/>
          <w:numId w:val="1"/>
        </w:numPr>
        <w:tabs>
          <w:tab w:val="left" w:pos="1134"/>
          <w:tab w:val="left" w:pos="1701"/>
          <w:tab w:val="left" w:pos="2268"/>
        </w:tabs>
        <w:suppressAutoHyphens w:val="0"/>
        <w:spacing w:after="300" w:line="360" w:lineRule="auto"/>
        <w:jc w:val="both"/>
        <w:rPr>
          <w:rFonts w:ascii="Minion Pro" w:hAnsi="Minion Pro" w:cs="Arial"/>
          <w:shd w:val="clear" w:color="auto" w:fill="FFFFFF"/>
        </w:rPr>
      </w:pPr>
      <w:r w:rsidRPr="005F7E1B">
        <w:rPr>
          <w:rFonts w:ascii="Minion Pro" w:hAnsi="Minion Pro" w:cs="Arial"/>
          <w:shd w:val="clear" w:color="auto" w:fill="FFFFFF"/>
        </w:rPr>
        <w:t xml:space="preserve">The Recast Regulation does not address the question of what happens when an EU-Member State court is the first court </w:t>
      </w:r>
      <w:proofErr w:type="spellStart"/>
      <w:r w:rsidRPr="005F7E1B">
        <w:rPr>
          <w:rFonts w:ascii="Minion Pro" w:hAnsi="Minion Pro" w:cs="Arial"/>
          <w:shd w:val="clear" w:color="auto" w:fill="FFFFFF"/>
        </w:rPr>
        <w:t>seised</w:t>
      </w:r>
      <w:proofErr w:type="spellEnd"/>
      <w:r w:rsidRPr="005F7E1B">
        <w:rPr>
          <w:rFonts w:ascii="Minion Pro" w:hAnsi="Minion Pro" w:cs="Arial"/>
          <w:shd w:val="clear" w:color="auto" w:fill="FFFFFF"/>
        </w:rPr>
        <w:t xml:space="preserve"> of the matter, but the contract contains an exclusive jurisdiction clause in favour of a non-EU Member State. Different Member States take different approaches to as to whether the domestic court can/should issue a stay of proceedings in this situation. </w:t>
      </w:r>
    </w:p>
    <w:p w:rsidR="00124080" w:rsidRPr="005F7E1B" w:rsidRDefault="00124080" w:rsidP="00124080">
      <w:pPr>
        <w:pStyle w:val="BodyText"/>
        <w:widowControl/>
        <w:numPr>
          <w:ilvl w:val="0"/>
          <w:numId w:val="1"/>
        </w:numPr>
        <w:tabs>
          <w:tab w:val="left" w:pos="1134"/>
          <w:tab w:val="left" w:pos="1701"/>
          <w:tab w:val="left" w:pos="2268"/>
        </w:tabs>
        <w:suppressAutoHyphens w:val="0"/>
        <w:spacing w:after="300" w:line="360" w:lineRule="auto"/>
        <w:jc w:val="both"/>
        <w:rPr>
          <w:rFonts w:ascii="Minion Pro" w:hAnsi="Minion Pro" w:cs="Arial"/>
          <w:shd w:val="clear" w:color="auto" w:fill="FFFFFF"/>
        </w:rPr>
      </w:pPr>
      <w:r w:rsidRPr="005F7E1B">
        <w:rPr>
          <w:rFonts w:ascii="Minion Pro" w:hAnsi="Minion Pro" w:cs="Arial"/>
          <w:shd w:val="clear" w:color="auto" w:fill="FFFFFF"/>
        </w:rPr>
        <w:t>The only guidance is given in Recital 24:</w:t>
      </w:r>
    </w:p>
    <w:p w:rsidR="00124080" w:rsidRPr="005F7E1B" w:rsidRDefault="00124080" w:rsidP="00124080">
      <w:pPr>
        <w:pStyle w:val="BodyText"/>
        <w:ind w:left="567"/>
        <w:rPr>
          <w:rFonts w:ascii="Minion Pro" w:hAnsi="Minion Pro" w:cs="Arial"/>
          <w:i/>
          <w:shd w:val="clear" w:color="auto" w:fill="FFFFFF"/>
        </w:rPr>
      </w:pPr>
      <w:r w:rsidRPr="005F7E1B">
        <w:rPr>
          <w:rFonts w:ascii="Minion Pro" w:hAnsi="Minion Pro" w:cs="Arial"/>
          <w:i/>
          <w:shd w:val="clear" w:color="auto" w:fill="FFFFFF"/>
        </w:rPr>
        <w:t>“When taking into account the proper administration of justice, the court of the Member State concerned should assess all the circumstances of the case before it. Such circumstances may include connections between the facts of the case and the parties and the third State concerned, the stage to which the proceedings in the third State have progressed by the time proceedings are initiated in the court of the Member State and whether or not the court of the third State can be expected to give a judgment within a reasonable time.</w:t>
      </w:r>
    </w:p>
    <w:p w:rsidR="00124080" w:rsidRPr="005F7E1B" w:rsidRDefault="00124080" w:rsidP="00124080">
      <w:pPr>
        <w:pStyle w:val="BodyText"/>
        <w:ind w:left="567"/>
        <w:rPr>
          <w:rFonts w:ascii="Minion Pro" w:hAnsi="Minion Pro" w:cs="Arial"/>
          <w:i/>
          <w:shd w:val="clear" w:color="auto" w:fill="FFFFFF"/>
        </w:rPr>
      </w:pPr>
      <w:r w:rsidRPr="005F7E1B">
        <w:rPr>
          <w:rFonts w:ascii="Minion Pro" w:hAnsi="Minion Pro" w:cs="Arial"/>
          <w:i/>
          <w:shd w:val="clear" w:color="auto" w:fill="FFFFFF"/>
        </w:rPr>
        <w:t>That assessment may also include consideration of the question whether the court of the third State has exclusive jurisdiction in the particular case in circumstances where a court of a Member State would have exclusive jurisdiction.”</w:t>
      </w:r>
    </w:p>
    <w:p w:rsidR="00124080" w:rsidRPr="005F7E1B" w:rsidRDefault="00124080" w:rsidP="00124080">
      <w:pPr>
        <w:pStyle w:val="BodyText"/>
        <w:ind w:left="567"/>
        <w:rPr>
          <w:rFonts w:ascii="Minion Pro" w:hAnsi="Minion Pro" w:cs="Arial"/>
          <w:shd w:val="clear" w:color="auto" w:fill="FFFFFF"/>
        </w:rPr>
      </w:pPr>
    </w:p>
    <w:p w:rsidR="00124080" w:rsidRPr="005F7E1B" w:rsidRDefault="00124080" w:rsidP="00124080">
      <w:pPr>
        <w:pStyle w:val="BodyText"/>
        <w:spacing w:after="240"/>
        <w:ind w:left="567" w:hanging="567"/>
        <w:rPr>
          <w:rFonts w:ascii="Minion Pro" w:hAnsi="Minion Pro" w:cs="Arial"/>
          <w:b/>
          <w:shd w:val="clear" w:color="auto" w:fill="FFFFFF"/>
        </w:rPr>
      </w:pPr>
      <w:r w:rsidRPr="005F7E1B">
        <w:rPr>
          <w:rFonts w:ascii="Minion Pro" w:hAnsi="Minion Pro" w:cs="Arial"/>
          <w:b/>
          <w:shd w:val="clear" w:color="auto" w:fill="FFFFFF"/>
        </w:rPr>
        <w:t>Conclusion</w:t>
      </w:r>
    </w:p>
    <w:p w:rsidR="00124080" w:rsidRPr="005F7E1B" w:rsidRDefault="00124080" w:rsidP="00124080">
      <w:pPr>
        <w:pStyle w:val="BodyText"/>
        <w:widowControl/>
        <w:numPr>
          <w:ilvl w:val="0"/>
          <w:numId w:val="1"/>
        </w:numPr>
        <w:tabs>
          <w:tab w:val="left" w:pos="1134"/>
          <w:tab w:val="left" w:pos="1701"/>
          <w:tab w:val="left" w:pos="2268"/>
        </w:tabs>
        <w:suppressAutoHyphens w:val="0"/>
        <w:spacing w:after="300" w:line="360" w:lineRule="auto"/>
        <w:jc w:val="both"/>
        <w:rPr>
          <w:rFonts w:ascii="Minion Pro" w:hAnsi="Minion Pro" w:cs="Arial"/>
        </w:rPr>
      </w:pPr>
      <w:r w:rsidRPr="005F7E1B">
        <w:rPr>
          <w:rFonts w:ascii="Minion Pro" w:hAnsi="Minion Pro" w:cs="Arial"/>
          <w:shd w:val="clear" w:color="auto" w:fill="FFFFFF"/>
        </w:rPr>
        <w:t xml:space="preserve">On the whole, the Recast Regulation has been well received. In particular, it addresses what was arguably previously an unfair doctrine that permitted express agreements as to jurisdiction to be “torpedoed”. </w:t>
      </w:r>
    </w:p>
    <w:p w:rsidR="00124080" w:rsidRPr="005F7E1B" w:rsidRDefault="00124080" w:rsidP="00124080">
      <w:pPr>
        <w:pStyle w:val="BodyText"/>
        <w:widowControl/>
        <w:numPr>
          <w:ilvl w:val="0"/>
          <w:numId w:val="1"/>
        </w:numPr>
        <w:tabs>
          <w:tab w:val="left" w:pos="1134"/>
          <w:tab w:val="left" w:pos="1701"/>
          <w:tab w:val="left" w:pos="2268"/>
        </w:tabs>
        <w:suppressAutoHyphens w:val="0"/>
        <w:spacing w:after="300" w:line="360" w:lineRule="auto"/>
        <w:jc w:val="both"/>
        <w:rPr>
          <w:rFonts w:ascii="Minion Pro" w:hAnsi="Minion Pro" w:cs="Arial"/>
        </w:rPr>
      </w:pPr>
      <w:r w:rsidRPr="005F7E1B">
        <w:rPr>
          <w:rFonts w:ascii="Minion Pro" w:hAnsi="Minion Pro" w:cs="Arial"/>
          <w:shd w:val="clear" w:color="auto" w:fill="FFFFFF"/>
        </w:rPr>
        <w:t>It would be fair to conclude that we are bound to observe a rise in the use of exclusive jurisdiction clauses and a decline in the need to expend time and money researching issues of domicile and applications for permission to serve out of the jurisdiction. It would also be sensible to expect to see races to non-EU jurisdictions, previously not commonly sought out, and a corresponding rise in the deployment of anti-suit injunctions to prevent this.</w:t>
      </w:r>
    </w:p>
    <w:p w:rsidR="00124080" w:rsidRPr="005F7E1B" w:rsidRDefault="00124080" w:rsidP="00124080">
      <w:pPr>
        <w:pStyle w:val="BodyText"/>
        <w:widowControl/>
        <w:numPr>
          <w:ilvl w:val="0"/>
          <w:numId w:val="1"/>
        </w:numPr>
        <w:tabs>
          <w:tab w:val="left" w:pos="1134"/>
          <w:tab w:val="left" w:pos="1701"/>
          <w:tab w:val="left" w:pos="2268"/>
        </w:tabs>
        <w:suppressAutoHyphens w:val="0"/>
        <w:spacing w:after="300" w:line="360" w:lineRule="auto"/>
        <w:jc w:val="both"/>
        <w:rPr>
          <w:rFonts w:ascii="Minion Pro" w:hAnsi="Minion Pro" w:cs="Arial"/>
        </w:rPr>
      </w:pPr>
      <w:r w:rsidRPr="005F7E1B">
        <w:rPr>
          <w:rFonts w:ascii="Minion Pro" w:hAnsi="Minion Pro" w:cs="Arial"/>
          <w:shd w:val="clear" w:color="auto" w:fill="FFFFFF"/>
        </w:rPr>
        <w:t xml:space="preserve">However, we are left with lingering uncertainty as to the fate of asymmetric jurisdiction clauses and the effect of an exclusive jurisdiction clause nominating the courts of a non-EU Member State. Accordingly, the Recast Regulation has not removed the prospect of future litigation on these questions. </w:t>
      </w:r>
    </w:p>
    <w:p w:rsidR="00124080" w:rsidRPr="005F7E1B" w:rsidRDefault="00124080" w:rsidP="00124080">
      <w:pPr>
        <w:pStyle w:val="Heading1"/>
        <w:spacing w:after="240"/>
        <w:ind w:left="709" w:hanging="709"/>
        <w:rPr>
          <w:rFonts w:ascii="Minion Pro" w:hAnsi="Minion Pro"/>
        </w:rPr>
      </w:pPr>
      <w:r w:rsidRPr="005F7E1B">
        <w:rPr>
          <w:rFonts w:ascii="Minion Pro" w:hAnsi="Minion Pro"/>
        </w:rPr>
        <w:t>upping THE antis</w:t>
      </w:r>
    </w:p>
    <w:p w:rsidR="00124080" w:rsidRPr="005F7E1B" w:rsidRDefault="00124080" w:rsidP="00124080">
      <w:pPr>
        <w:pStyle w:val="BodyText"/>
        <w:spacing w:after="240"/>
        <w:rPr>
          <w:rFonts w:ascii="Minion Pro" w:hAnsi="Minion Pro"/>
        </w:rPr>
      </w:pPr>
      <w:r w:rsidRPr="005F7E1B">
        <w:rPr>
          <w:rFonts w:ascii="Minion Pro" w:hAnsi="Minion Pro" w:cs="Arial"/>
          <w:b/>
          <w:i/>
        </w:rPr>
        <w:t>Anti-Suit Injunctions</w:t>
      </w:r>
    </w:p>
    <w:p w:rsidR="00124080" w:rsidRPr="005F7E1B" w:rsidRDefault="00124080" w:rsidP="00124080">
      <w:pPr>
        <w:widowControl/>
        <w:numPr>
          <w:ilvl w:val="0"/>
          <w:numId w:val="1"/>
        </w:numPr>
        <w:suppressAutoHyphens w:val="0"/>
        <w:spacing w:after="240" w:line="360" w:lineRule="auto"/>
        <w:jc w:val="both"/>
        <w:rPr>
          <w:rFonts w:ascii="Minion Pro" w:hAnsi="Minion Pro" w:cs="Arial"/>
        </w:rPr>
      </w:pPr>
      <w:r w:rsidRPr="005F7E1B">
        <w:rPr>
          <w:rFonts w:ascii="Minion Pro" w:hAnsi="Minion Pro" w:cs="Arial"/>
        </w:rPr>
        <w:t xml:space="preserve">The international nature of shipping cases inevitably gives rise to the possibility of parallel proceedings in multiple jurisdictions. For that reason, parties to bill of lading contracts and </w:t>
      </w:r>
      <w:proofErr w:type="spellStart"/>
      <w:r w:rsidRPr="005F7E1B">
        <w:rPr>
          <w:rFonts w:ascii="Minion Pro" w:hAnsi="Minion Pro" w:cs="Arial"/>
        </w:rPr>
        <w:t>charterparties</w:t>
      </w:r>
      <w:proofErr w:type="spellEnd"/>
      <w:r w:rsidRPr="005F7E1B">
        <w:rPr>
          <w:rFonts w:ascii="Minion Pro" w:hAnsi="Minion Pro" w:cs="Arial"/>
        </w:rPr>
        <w:t xml:space="preserve"> normally include an exclusive jurisdiction clause or an arbitration clause in the terms of their agreement. Whether or not the parties have included such a clause in their contract, an anti-suit injunction can be an important method of preventing the inconvenience, risk of inconsistent judgments and costs associated with parallel proceedings.</w:t>
      </w:r>
    </w:p>
    <w:p w:rsidR="00124080" w:rsidRPr="005F7E1B" w:rsidRDefault="00124080" w:rsidP="00124080">
      <w:pPr>
        <w:widowControl/>
        <w:numPr>
          <w:ilvl w:val="0"/>
          <w:numId w:val="1"/>
        </w:numPr>
        <w:suppressAutoHyphens w:val="0"/>
        <w:spacing w:after="240" w:line="360" w:lineRule="auto"/>
        <w:jc w:val="both"/>
        <w:rPr>
          <w:rFonts w:ascii="Minion Pro" w:hAnsi="Minion Pro" w:cs="Arial"/>
        </w:rPr>
      </w:pPr>
      <w:r w:rsidRPr="005F7E1B">
        <w:rPr>
          <w:rFonts w:ascii="Minion Pro" w:hAnsi="Minion Pro" w:cs="Arial"/>
          <w:shd w:val="clear" w:color="auto" w:fill="FFFFFF"/>
        </w:rPr>
        <w:t xml:space="preserve">An anti-suit injunction is an order requiring a party subject to the </w:t>
      </w:r>
      <w:r w:rsidRPr="005F7E1B">
        <w:rPr>
          <w:rFonts w:ascii="Minion Pro" w:hAnsi="Minion Pro" w:cs="Arial"/>
          <w:i/>
          <w:iCs/>
          <w:shd w:val="clear" w:color="auto" w:fill="FFFFFF"/>
        </w:rPr>
        <w:t xml:space="preserve">in </w:t>
      </w:r>
      <w:proofErr w:type="spellStart"/>
      <w:r w:rsidRPr="005F7E1B">
        <w:rPr>
          <w:rFonts w:ascii="Minion Pro" w:hAnsi="Minion Pro" w:cs="Arial"/>
          <w:i/>
          <w:iCs/>
          <w:shd w:val="clear" w:color="auto" w:fill="FFFFFF"/>
        </w:rPr>
        <w:t>personam</w:t>
      </w:r>
      <w:proofErr w:type="spellEnd"/>
      <w:r w:rsidRPr="005F7E1B">
        <w:rPr>
          <w:rFonts w:ascii="Minion Pro" w:hAnsi="Minion Pro" w:cs="Arial"/>
          <w:shd w:val="clear" w:color="auto" w:fill="FFFFFF"/>
        </w:rPr>
        <w:t xml:space="preserve"> jurisdiction of the English courts not to commence or continue proceedings, or to take the necessary steps to terminate or suspend proceedings, before a foreign court. </w:t>
      </w:r>
      <w:r w:rsidRPr="005F7E1B">
        <w:rPr>
          <w:rFonts w:ascii="Minion Pro" w:hAnsi="Minion Pro" w:cs="Arial"/>
        </w:rPr>
        <w:t>The basic principles governing the granting of anti-suit injunctions are well established and familiar. In summary:</w:t>
      </w:r>
    </w:p>
    <w:p w:rsidR="00124080" w:rsidRPr="005F7E1B" w:rsidRDefault="00124080" w:rsidP="00124080">
      <w:pPr>
        <w:widowControl/>
        <w:numPr>
          <w:ilvl w:val="1"/>
          <w:numId w:val="1"/>
        </w:numPr>
        <w:suppressAutoHyphens w:val="0"/>
        <w:spacing w:after="240" w:line="360" w:lineRule="auto"/>
        <w:jc w:val="both"/>
        <w:rPr>
          <w:rFonts w:ascii="Minion Pro" w:hAnsi="Minion Pro" w:cs="Arial"/>
        </w:rPr>
      </w:pPr>
      <w:r w:rsidRPr="005F7E1B">
        <w:rPr>
          <w:rFonts w:ascii="Minion Pro" w:hAnsi="Minion Pro" w:cs="Arial"/>
        </w:rPr>
        <w:t>If there is a valid and applicable exclusive jurisdiction clause or arbitration clause, an anti-suit injunction will be granted to restrain the actual or threatened foreign proceedings unless there are “</w:t>
      </w:r>
      <w:r w:rsidRPr="005F7E1B">
        <w:rPr>
          <w:rFonts w:ascii="Minion Pro" w:hAnsi="Minion Pro" w:cs="Arial"/>
          <w:i/>
        </w:rPr>
        <w:t>strong reasons</w:t>
      </w:r>
      <w:r w:rsidRPr="005F7E1B">
        <w:rPr>
          <w:rFonts w:ascii="Minion Pro" w:hAnsi="Minion Pro" w:cs="Arial"/>
        </w:rPr>
        <w:t>” to permit those proceedings to continue.</w:t>
      </w:r>
      <w:r w:rsidRPr="005F7E1B">
        <w:rPr>
          <w:rStyle w:val="FootnoteReference"/>
          <w:rFonts w:ascii="Minion Pro" w:hAnsi="Minion Pro" w:cs="Arial"/>
        </w:rPr>
        <w:footnoteReference w:id="38"/>
      </w:r>
      <w:r w:rsidRPr="005F7E1B">
        <w:rPr>
          <w:rFonts w:ascii="Minion Pro" w:hAnsi="Minion Pro" w:cs="Arial"/>
        </w:rPr>
        <w:t xml:space="preserve"> Millet LJ emphasised in </w:t>
      </w:r>
      <w:r w:rsidRPr="005F7E1B">
        <w:rPr>
          <w:rFonts w:ascii="Minion Pro" w:hAnsi="Minion Pro" w:cs="Arial"/>
          <w:i/>
        </w:rPr>
        <w:t>The Angelic Grace</w:t>
      </w:r>
      <w:r w:rsidRPr="005F7E1B">
        <w:rPr>
          <w:rFonts w:ascii="Minion Pro" w:hAnsi="Minion Pro" w:cs="Arial"/>
        </w:rPr>
        <w:t>, in relation to arbitration clauses, that “</w:t>
      </w:r>
      <w:r w:rsidRPr="005F7E1B">
        <w:rPr>
          <w:rFonts w:ascii="Minion Pro" w:hAnsi="Minion Pro" w:cs="Arial"/>
          <w:i/>
        </w:rPr>
        <w:t xml:space="preserve">there is no good reason for diffidence in granting an injunction to restrain foreign proceedings on the clear and simple ground that the defendant has promised not to </w:t>
      </w:r>
      <w:proofErr w:type="spellStart"/>
      <w:r w:rsidRPr="005F7E1B">
        <w:rPr>
          <w:rFonts w:ascii="Minion Pro" w:hAnsi="Minion Pro" w:cs="Arial"/>
          <w:i/>
        </w:rPr>
        <w:t>bri</w:t>
      </w:r>
      <w:proofErr w:type="spellEnd"/>
      <w:r w:rsidRPr="005F7E1B">
        <w:rPr>
          <w:rFonts w:ascii="Minion Pro" w:hAnsi="Minion Pro" w:cs="Arial"/>
          <w:i/>
        </w:rPr>
        <w:t xml:space="preserve"> them</w:t>
      </w:r>
      <w:r w:rsidRPr="005F7E1B">
        <w:rPr>
          <w:rFonts w:ascii="Minion Pro" w:hAnsi="Minion Pro" w:cs="Arial"/>
        </w:rPr>
        <w:t>”.</w:t>
      </w:r>
      <w:r w:rsidRPr="005F7E1B">
        <w:rPr>
          <w:rStyle w:val="FootnoteReference"/>
          <w:rFonts w:ascii="Minion Pro" w:hAnsi="Minion Pro" w:cs="Arial"/>
        </w:rPr>
        <w:footnoteReference w:id="39"/>
      </w:r>
      <w:r w:rsidRPr="005F7E1B">
        <w:rPr>
          <w:rFonts w:ascii="Minion Pro" w:hAnsi="Minion Pro" w:cs="Arial"/>
        </w:rPr>
        <w:t xml:space="preserve"> </w:t>
      </w:r>
    </w:p>
    <w:p w:rsidR="00124080" w:rsidRPr="005F7E1B" w:rsidRDefault="00124080" w:rsidP="00124080">
      <w:pPr>
        <w:widowControl/>
        <w:numPr>
          <w:ilvl w:val="1"/>
          <w:numId w:val="1"/>
        </w:numPr>
        <w:suppressAutoHyphens w:val="0"/>
        <w:spacing w:after="240" w:line="360" w:lineRule="auto"/>
        <w:jc w:val="both"/>
        <w:rPr>
          <w:rFonts w:ascii="Minion Pro" w:hAnsi="Minion Pro" w:cs="Arial"/>
        </w:rPr>
      </w:pPr>
      <w:r w:rsidRPr="005F7E1B">
        <w:rPr>
          <w:rFonts w:ascii="Minion Pro" w:hAnsi="Minion Pro" w:cs="Arial"/>
        </w:rPr>
        <w:t>If there is no valid and applicable exclusive jurisdiction clause or arbitration agreement, an anti-suit injunction will normally only be granted if the threatened or actual foreign proceedings are, or would be, vexatious or oppressive for some reason, which requires the party applying for the injunction to demonstrate that: (</w:t>
      </w:r>
      <w:proofErr w:type="spellStart"/>
      <w:r w:rsidRPr="005F7E1B">
        <w:rPr>
          <w:rFonts w:ascii="Minion Pro" w:hAnsi="Minion Pro" w:cs="Arial"/>
        </w:rPr>
        <w:t>i</w:t>
      </w:r>
      <w:proofErr w:type="spellEnd"/>
      <w:r w:rsidRPr="005F7E1B">
        <w:rPr>
          <w:rFonts w:ascii="Minion Pro" w:hAnsi="Minion Pro" w:cs="Arial"/>
        </w:rPr>
        <w:t>) England is clearly the appropriate forum for the resolution of the dispute; and (ii) justice requires that the pursuit of the foreign proceedings be restrained.</w:t>
      </w:r>
      <w:r w:rsidRPr="005F7E1B">
        <w:rPr>
          <w:rStyle w:val="FootnoteReference"/>
          <w:rFonts w:ascii="Minion Pro" w:hAnsi="Minion Pro" w:cs="Arial"/>
        </w:rPr>
        <w:footnoteReference w:id="40"/>
      </w:r>
      <w:r w:rsidRPr="005F7E1B">
        <w:rPr>
          <w:rFonts w:ascii="Minion Pro" w:hAnsi="Minion Pro" w:cs="Arial"/>
        </w:rPr>
        <w:t xml:space="preserve"> This second element requires the party applying for the injunction to demonstrate, for example, that the foreign proceedings have been brought in bad faith. In </w:t>
      </w:r>
      <w:r w:rsidRPr="005F7E1B">
        <w:rPr>
          <w:rFonts w:ascii="Minion Pro" w:hAnsi="Minion Pro" w:cs="Arial"/>
          <w:i/>
          <w:lang w:val="en-US"/>
        </w:rPr>
        <w:t>Deutsche Bank AG and another v Highland Crusader Offshore Partners LP</w:t>
      </w:r>
      <w:r w:rsidRPr="005F7E1B">
        <w:rPr>
          <w:rFonts w:ascii="Minion Pro" w:hAnsi="Minion Pro" w:cs="Arial"/>
          <w:lang w:val="en-US"/>
        </w:rPr>
        <w:t xml:space="preserve">, </w:t>
      </w:r>
      <w:proofErr w:type="spellStart"/>
      <w:r w:rsidRPr="005F7E1B">
        <w:rPr>
          <w:rFonts w:ascii="Minion Pro" w:hAnsi="Minion Pro" w:cs="Arial"/>
          <w:lang w:val="en-US"/>
        </w:rPr>
        <w:t>Toulson</w:t>
      </w:r>
      <w:proofErr w:type="spellEnd"/>
      <w:r w:rsidRPr="005F7E1B">
        <w:rPr>
          <w:rFonts w:ascii="Minion Pro" w:hAnsi="Minion Pro" w:cs="Arial"/>
          <w:lang w:val="en-US"/>
        </w:rPr>
        <w:t xml:space="preserve"> LJ </w:t>
      </w:r>
      <w:proofErr w:type="spellStart"/>
      <w:r w:rsidRPr="005F7E1B">
        <w:rPr>
          <w:rFonts w:ascii="Minion Pro" w:hAnsi="Minion Pro" w:cs="Arial"/>
          <w:lang w:val="en-US"/>
        </w:rPr>
        <w:t>emphasised</w:t>
      </w:r>
      <w:proofErr w:type="spellEnd"/>
      <w:r w:rsidRPr="005F7E1B">
        <w:rPr>
          <w:rFonts w:ascii="Minion Pro" w:hAnsi="Minion Pro" w:cs="Arial"/>
          <w:lang w:val="en-US"/>
        </w:rPr>
        <w:t xml:space="preserve"> that “</w:t>
      </w:r>
      <w:r w:rsidRPr="005F7E1B">
        <w:rPr>
          <w:rFonts w:ascii="Minion Pro" w:hAnsi="Minion Pro" w:cs="Arial"/>
          <w:i/>
          <w:lang w:val="en-US"/>
        </w:rPr>
        <w:t>[t]he prosecution of parallel proceedings</w:t>
      </w:r>
      <w:r w:rsidRPr="005F7E1B">
        <w:rPr>
          <w:rFonts w:ascii="Minion Pro" w:hAnsi="Minion Pro" w:cs="Arial"/>
          <w:i/>
        </w:rPr>
        <w:t xml:space="preserve"> in different jurisdictions is undesirable but not necessarily vexatious or oppressive</w:t>
      </w:r>
      <w:r w:rsidRPr="005F7E1B">
        <w:rPr>
          <w:rFonts w:ascii="Minion Pro" w:hAnsi="Minion Pro" w:cs="Arial"/>
        </w:rPr>
        <w:t>”.</w:t>
      </w:r>
      <w:r w:rsidRPr="005F7E1B">
        <w:rPr>
          <w:rStyle w:val="FootnoteReference"/>
          <w:rFonts w:ascii="Minion Pro" w:hAnsi="Minion Pro" w:cs="Arial"/>
        </w:rPr>
        <w:footnoteReference w:id="41"/>
      </w:r>
    </w:p>
    <w:p w:rsidR="00124080" w:rsidRPr="005F7E1B" w:rsidRDefault="00124080" w:rsidP="00124080">
      <w:pPr>
        <w:widowControl/>
        <w:numPr>
          <w:ilvl w:val="1"/>
          <w:numId w:val="1"/>
        </w:numPr>
        <w:suppressAutoHyphens w:val="0"/>
        <w:spacing w:after="240" w:line="360" w:lineRule="auto"/>
        <w:jc w:val="both"/>
        <w:rPr>
          <w:rFonts w:ascii="Minion Pro" w:hAnsi="Minion Pro" w:cs="Arial"/>
        </w:rPr>
      </w:pPr>
      <w:r w:rsidRPr="005F7E1B">
        <w:rPr>
          <w:rFonts w:ascii="Minion Pro" w:hAnsi="Minion Pro" w:cs="Arial"/>
        </w:rPr>
        <w:t>An anti-suit injunction will not, however, be granted to restrain proceedings in another EU Member State, even where the foreign proceedings have been commenced in bad faith, because to do so would be contrary to the system of mutual trust established between national courts by the new Recast Brussels I Regulation</w:t>
      </w:r>
      <w:r w:rsidRPr="005F7E1B">
        <w:rPr>
          <w:rStyle w:val="FootnoteReference"/>
          <w:rFonts w:ascii="Minion Pro" w:hAnsi="Minion Pro" w:cs="Arial"/>
        </w:rPr>
        <w:footnoteReference w:id="42"/>
      </w:r>
      <w:r w:rsidRPr="005F7E1B">
        <w:rPr>
          <w:rFonts w:ascii="Minion Pro" w:hAnsi="Minion Pro" w:cs="Arial"/>
        </w:rPr>
        <w:t xml:space="preserve"> (which has applied since 10 January 2015) and its predecessors.</w:t>
      </w:r>
      <w:r w:rsidRPr="005F7E1B">
        <w:rPr>
          <w:rStyle w:val="FootnoteReference"/>
          <w:rFonts w:ascii="Minion Pro" w:hAnsi="Minion Pro" w:cs="Arial"/>
        </w:rPr>
        <w:footnoteReference w:id="43"/>
      </w:r>
      <w:r w:rsidRPr="005F7E1B">
        <w:rPr>
          <w:rFonts w:ascii="Minion Pro" w:hAnsi="Minion Pro" w:cs="Arial"/>
        </w:rPr>
        <w:t xml:space="preserve"> This applies even if the English proceedings are solely concerned with arbitration,</w:t>
      </w:r>
      <w:r w:rsidRPr="005F7E1B">
        <w:rPr>
          <w:rStyle w:val="FootnoteReference"/>
          <w:rFonts w:ascii="Minion Pro" w:hAnsi="Minion Pro" w:cs="Arial"/>
        </w:rPr>
        <w:footnoteReference w:id="44"/>
      </w:r>
      <w:r w:rsidRPr="005F7E1B">
        <w:rPr>
          <w:rFonts w:ascii="Minion Pro" w:hAnsi="Minion Pro" w:cs="Arial"/>
        </w:rPr>
        <w:t xml:space="preserve"> provided that the foreign proceedings fall within the scope of the Recast Brussels I Regulation.</w:t>
      </w:r>
      <w:r w:rsidRPr="005F7E1B">
        <w:rPr>
          <w:rStyle w:val="FootnoteReference"/>
          <w:rFonts w:ascii="Minion Pro" w:hAnsi="Minion Pro" w:cs="Arial"/>
        </w:rPr>
        <w:footnoteReference w:id="45"/>
      </w:r>
      <w:r w:rsidRPr="005F7E1B">
        <w:rPr>
          <w:rFonts w:ascii="Minion Pro" w:hAnsi="Minion Pro" w:cs="Arial"/>
        </w:rPr>
        <w:t xml:space="preserve"> However, it should be noted that Advocate-General </w:t>
      </w:r>
      <w:proofErr w:type="spellStart"/>
      <w:r w:rsidRPr="005F7E1B">
        <w:rPr>
          <w:rFonts w:ascii="Minion Pro" w:hAnsi="Minion Pro" w:cs="Arial"/>
        </w:rPr>
        <w:t>Wathelet</w:t>
      </w:r>
      <w:proofErr w:type="spellEnd"/>
      <w:r w:rsidRPr="005F7E1B">
        <w:rPr>
          <w:rFonts w:ascii="Minion Pro" w:hAnsi="Minion Pro" w:cs="Arial"/>
        </w:rPr>
        <w:t xml:space="preserve"> has recently suggested</w:t>
      </w:r>
      <w:r w:rsidRPr="005F7E1B">
        <w:rPr>
          <w:rStyle w:val="FootnoteReference"/>
          <w:rFonts w:ascii="Minion Pro" w:hAnsi="Minion Pro" w:cs="Arial"/>
        </w:rPr>
        <w:footnoteReference w:id="46"/>
      </w:r>
      <w:r w:rsidRPr="005F7E1B">
        <w:rPr>
          <w:rFonts w:ascii="Minion Pro" w:hAnsi="Minion Pro" w:cs="Arial"/>
        </w:rPr>
        <w:t xml:space="preserve"> that a national court is free to grant an anti-suit injunction restraining proceedings in another EU Member State brought in breach of an arbitration agreement</w:t>
      </w:r>
      <w:proofErr w:type="gramStart"/>
      <w:r w:rsidRPr="005F7E1B">
        <w:rPr>
          <w:rFonts w:ascii="Minion Pro" w:hAnsi="Minion Pro" w:cs="Arial"/>
        </w:rPr>
        <w:t>,</w:t>
      </w:r>
      <w:proofErr w:type="gramEnd"/>
      <w:r w:rsidRPr="005F7E1B">
        <w:rPr>
          <w:rStyle w:val="FootnoteReference"/>
          <w:rFonts w:ascii="Minion Pro" w:hAnsi="Minion Pro" w:cs="Arial"/>
        </w:rPr>
        <w:t xml:space="preserve"> </w:t>
      </w:r>
      <w:r w:rsidRPr="005F7E1B">
        <w:rPr>
          <w:rFonts w:ascii="Minion Pro" w:hAnsi="Minion Pro" w:cs="Arial"/>
        </w:rPr>
        <w:t>as a result of the new recital 12 of the Recast Brussels I Regulation.</w:t>
      </w:r>
      <w:r w:rsidRPr="005F7E1B">
        <w:rPr>
          <w:rStyle w:val="FootnoteReference"/>
          <w:rFonts w:ascii="Minion Pro" w:hAnsi="Minion Pro" w:cs="Arial"/>
        </w:rPr>
        <w:footnoteReference w:id="47"/>
      </w:r>
      <w:r w:rsidRPr="005F7E1B">
        <w:rPr>
          <w:rFonts w:ascii="Minion Pro" w:hAnsi="Minion Pro" w:cs="Arial"/>
        </w:rPr>
        <w:t xml:space="preserve"> The CJEU did not address this wider point; it merely noted that the original Brussels I Regulation applied in that case and stating that it was not contrary to that regulation </w:t>
      </w:r>
      <w:r w:rsidRPr="005F7E1B">
        <w:rPr>
          <w:rFonts w:ascii="Minion Pro" w:hAnsi="Minion Pro" w:cs="Arial"/>
          <w:lang w:val="en-US"/>
        </w:rPr>
        <w:t>for an arbitral tribunal seated within the EU to grant such an anti-suit injunction.</w:t>
      </w:r>
    </w:p>
    <w:p w:rsidR="00124080" w:rsidRPr="005F7E1B" w:rsidRDefault="00124080" w:rsidP="00124080">
      <w:pPr>
        <w:spacing w:after="240" w:line="360" w:lineRule="auto"/>
        <w:jc w:val="both"/>
        <w:rPr>
          <w:rFonts w:ascii="Minion Pro" w:hAnsi="Minion Pro" w:cs="Arial"/>
          <w:b/>
        </w:rPr>
      </w:pPr>
      <w:r w:rsidRPr="005F7E1B">
        <w:rPr>
          <w:rFonts w:ascii="Minion Pro" w:hAnsi="Minion Pro" w:cs="Arial"/>
          <w:b/>
        </w:rPr>
        <w:t>The exclusivity of jurisdiction clauses</w:t>
      </w:r>
    </w:p>
    <w:p w:rsidR="00124080" w:rsidRPr="005F7E1B" w:rsidRDefault="00124080" w:rsidP="00124080">
      <w:pPr>
        <w:widowControl/>
        <w:numPr>
          <w:ilvl w:val="0"/>
          <w:numId w:val="1"/>
        </w:numPr>
        <w:suppressAutoHyphens w:val="0"/>
        <w:spacing w:after="240" w:line="360" w:lineRule="auto"/>
        <w:jc w:val="both"/>
        <w:rPr>
          <w:rFonts w:ascii="Minion Pro" w:hAnsi="Minion Pro" w:cs="Arial"/>
        </w:rPr>
      </w:pPr>
      <w:r w:rsidRPr="005F7E1B">
        <w:rPr>
          <w:rFonts w:ascii="Minion Pro" w:hAnsi="Minion Pro" w:cs="Arial"/>
        </w:rPr>
        <w:t xml:space="preserve">One problem that may arise when seeking to obtain an anti-suit injunction to enforce a jurisdiction clause is uncertainty as to whether or not the jurisdiction clause is exclusive. If it is a non-exclusive jurisdiction clause, one must demonstrate that the foreign proceedings are vexatious or oppressive. The mere fact that there are parallel proceedings have been commenced will not be sufficient to satisfy this test. </w:t>
      </w:r>
    </w:p>
    <w:p w:rsidR="00124080" w:rsidRPr="005F7E1B" w:rsidRDefault="00124080" w:rsidP="00124080">
      <w:pPr>
        <w:widowControl/>
        <w:numPr>
          <w:ilvl w:val="0"/>
          <w:numId w:val="1"/>
        </w:numPr>
        <w:suppressAutoHyphens w:val="0"/>
        <w:spacing w:after="240" w:line="360" w:lineRule="auto"/>
        <w:jc w:val="both"/>
        <w:rPr>
          <w:rFonts w:ascii="Minion Pro" w:hAnsi="Minion Pro" w:cs="Arial"/>
        </w:rPr>
      </w:pPr>
      <w:r w:rsidRPr="005F7E1B">
        <w:rPr>
          <w:rFonts w:ascii="Minion Pro" w:hAnsi="Minion Pro" w:cs="Arial"/>
        </w:rPr>
        <w:t xml:space="preserve">The Court of Appeal recently discussed the proper interpretation of a jurisdiction clause in </w:t>
      </w:r>
      <w:proofErr w:type="spellStart"/>
      <w:r w:rsidRPr="005F7E1B">
        <w:rPr>
          <w:rFonts w:ascii="Minion Pro" w:hAnsi="Minion Pro" w:cs="Arial"/>
          <w:i/>
        </w:rPr>
        <w:t>Compania</w:t>
      </w:r>
      <w:proofErr w:type="spellEnd"/>
      <w:r w:rsidRPr="005F7E1B">
        <w:rPr>
          <w:rFonts w:ascii="Minion Pro" w:hAnsi="Minion Pro" w:cs="Arial"/>
          <w:i/>
        </w:rPr>
        <w:t xml:space="preserve"> </w:t>
      </w:r>
      <w:proofErr w:type="spellStart"/>
      <w:r w:rsidRPr="005F7E1B">
        <w:rPr>
          <w:rFonts w:ascii="Minion Pro" w:hAnsi="Minion Pro" w:cs="Arial"/>
          <w:i/>
        </w:rPr>
        <w:t>Sud</w:t>
      </w:r>
      <w:proofErr w:type="spellEnd"/>
      <w:r w:rsidRPr="005F7E1B">
        <w:rPr>
          <w:rFonts w:ascii="Minion Pro" w:hAnsi="Minion Pro" w:cs="Arial"/>
          <w:i/>
        </w:rPr>
        <w:t xml:space="preserve"> Americana de </w:t>
      </w:r>
      <w:proofErr w:type="spellStart"/>
      <w:r w:rsidRPr="005F7E1B">
        <w:rPr>
          <w:rFonts w:ascii="Minion Pro" w:hAnsi="Minion Pro" w:cs="Arial"/>
          <w:i/>
        </w:rPr>
        <w:t>Vapores</w:t>
      </w:r>
      <w:proofErr w:type="spellEnd"/>
      <w:r w:rsidRPr="005F7E1B">
        <w:rPr>
          <w:rFonts w:ascii="Minion Pro" w:hAnsi="Minion Pro" w:cs="Arial"/>
          <w:i/>
        </w:rPr>
        <w:t xml:space="preserve"> SA v </w:t>
      </w:r>
      <w:proofErr w:type="spellStart"/>
      <w:r w:rsidRPr="005F7E1B">
        <w:rPr>
          <w:rFonts w:ascii="Minion Pro" w:hAnsi="Minion Pro" w:cs="Arial"/>
          <w:i/>
        </w:rPr>
        <w:t>Hin</w:t>
      </w:r>
      <w:proofErr w:type="spellEnd"/>
      <w:r w:rsidRPr="005F7E1B">
        <w:rPr>
          <w:rFonts w:ascii="Minion Pro" w:hAnsi="Minion Pro" w:cs="Arial"/>
          <w:i/>
        </w:rPr>
        <w:t>-Pro International Logistics Ltd</w:t>
      </w:r>
      <w:r w:rsidRPr="005F7E1B">
        <w:rPr>
          <w:rFonts w:ascii="Minion Pro" w:hAnsi="Minion Pro" w:cs="Arial"/>
        </w:rPr>
        <w:t>.</w:t>
      </w:r>
      <w:r w:rsidRPr="005F7E1B">
        <w:rPr>
          <w:rStyle w:val="FootnoteReference"/>
          <w:rFonts w:ascii="Minion Pro" w:hAnsi="Minion Pro" w:cs="Arial"/>
        </w:rPr>
        <w:footnoteReference w:id="48"/>
      </w:r>
      <w:r w:rsidRPr="005F7E1B">
        <w:rPr>
          <w:rFonts w:ascii="Minion Pro" w:hAnsi="Minion Pro" w:cs="Arial"/>
        </w:rPr>
        <w:t xml:space="preserve"> In that case, a freight forwarder, </w:t>
      </w:r>
      <w:proofErr w:type="spellStart"/>
      <w:r w:rsidRPr="005F7E1B">
        <w:rPr>
          <w:rFonts w:ascii="Minion Pro" w:hAnsi="Minion Pro" w:cs="Arial"/>
        </w:rPr>
        <w:t>Hin</w:t>
      </w:r>
      <w:proofErr w:type="spellEnd"/>
      <w:r w:rsidRPr="005F7E1B">
        <w:rPr>
          <w:rFonts w:ascii="Minion Pro" w:hAnsi="Minion Pro" w:cs="Arial"/>
        </w:rPr>
        <w:t xml:space="preserve">-Pro, brought 23 sets of proceedings in China against a carrier, CSAV, for breach of 70 bills of lading. </w:t>
      </w:r>
      <w:proofErr w:type="spellStart"/>
      <w:r w:rsidRPr="005F7E1B">
        <w:rPr>
          <w:rFonts w:ascii="Minion Pro" w:hAnsi="Minion Pro" w:cs="Arial"/>
        </w:rPr>
        <w:t>Hin</w:t>
      </w:r>
      <w:proofErr w:type="spellEnd"/>
      <w:r w:rsidRPr="005F7E1B">
        <w:rPr>
          <w:rFonts w:ascii="Minion Pro" w:hAnsi="Minion Pro" w:cs="Arial"/>
        </w:rPr>
        <w:t>-Pro claimed damages against CSAV, including the value of the cargo, on the basis that the cargo had wrongly been delivered without production of original bills of lading at ports in Venezuela.</w:t>
      </w:r>
      <w:r w:rsidRPr="005F7E1B">
        <w:rPr>
          <w:rFonts w:ascii="Minion Pro" w:eastAsia="MS Mincho" w:hAnsi="Minion Pro" w:cs="Arial"/>
        </w:rPr>
        <w:t xml:space="preserve"> </w:t>
      </w:r>
      <w:r w:rsidRPr="005F7E1B">
        <w:rPr>
          <w:rFonts w:ascii="Minion Pro" w:hAnsi="Minion Pro" w:cs="Arial"/>
        </w:rPr>
        <w:t xml:space="preserve">CSAV unsuccessfully challenged the jurisdiction of the Chinese courts on the basis that the bills of lading all contained an English jurisdiction clause. CSAV then brought a claim in the English Commercial Court seeking an anti-suit injunction to restrain pursuit of the Chinese proceedings. </w:t>
      </w:r>
    </w:p>
    <w:p w:rsidR="00124080" w:rsidRPr="005F7E1B" w:rsidRDefault="00124080" w:rsidP="00124080">
      <w:pPr>
        <w:widowControl/>
        <w:numPr>
          <w:ilvl w:val="0"/>
          <w:numId w:val="1"/>
        </w:numPr>
        <w:suppressAutoHyphens w:val="0"/>
        <w:spacing w:after="240" w:line="360" w:lineRule="auto"/>
        <w:jc w:val="both"/>
        <w:rPr>
          <w:rFonts w:ascii="Minion Pro" w:hAnsi="Minion Pro" w:cs="Arial"/>
        </w:rPr>
      </w:pPr>
      <w:r w:rsidRPr="005F7E1B">
        <w:rPr>
          <w:rFonts w:ascii="Minion Pro" w:hAnsi="Minion Pro" w:cs="Arial"/>
        </w:rPr>
        <w:t>The jurisdiction clause in the bills of lading was in an unusual form. It stated:</w:t>
      </w:r>
    </w:p>
    <w:p w:rsidR="00124080" w:rsidRPr="005F7E1B" w:rsidRDefault="00124080" w:rsidP="00124080">
      <w:pPr>
        <w:spacing w:after="240"/>
        <w:ind w:left="1440"/>
        <w:jc w:val="both"/>
        <w:rPr>
          <w:rFonts w:ascii="Minion Pro" w:hAnsi="Minion Pro" w:cs="Arial"/>
        </w:rPr>
      </w:pPr>
      <w:r w:rsidRPr="005F7E1B">
        <w:rPr>
          <w:rFonts w:ascii="Minion Pro" w:hAnsi="Minion Pro" w:cs="Arial"/>
        </w:rPr>
        <w:t xml:space="preserve"> “Law and jurisdiction.</w:t>
      </w:r>
    </w:p>
    <w:p w:rsidR="00124080" w:rsidRPr="005F7E1B" w:rsidRDefault="00124080" w:rsidP="00124080">
      <w:pPr>
        <w:spacing w:after="240"/>
        <w:ind w:left="1440"/>
        <w:jc w:val="both"/>
        <w:rPr>
          <w:rFonts w:ascii="Minion Pro" w:hAnsi="Minion Pro" w:cs="Arial"/>
        </w:rPr>
      </w:pPr>
      <w:r w:rsidRPr="005F7E1B">
        <w:rPr>
          <w:rFonts w:ascii="Minion Pro" w:hAnsi="Minion Pro" w:cs="Arial"/>
        </w:rPr>
        <w:t>This Bill of Lading and any claim or dispute arising hereunder shall be subject to English law and the jurisdiction of the English High Court of Justice in London. If, notwithstanding the foregoing, any proceedings are commenced in another jurisdiction, such proceedings shall be referred to ordinary courts of law. In the case of Chile, arbitrators shall not be competent to deal with any such disputes and proceedings shall be referred to the Chilean Ordinary Courts.”</w:t>
      </w:r>
    </w:p>
    <w:p w:rsidR="00124080" w:rsidRPr="005F7E1B" w:rsidRDefault="00124080" w:rsidP="00124080">
      <w:pPr>
        <w:widowControl/>
        <w:numPr>
          <w:ilvl w:val="0"/>
          <w:numId w:val="1"/>
        </w:numPr>
        <w:suppressAutoHyphens w:val="0"/>
        <w:spacing w:after="240" w:line="360" w:lineRule="auto"/>
        <w:jc w:val="both"/>
        <w:rPr>
          <w:rFonts w:ascii="Minion Pro" w:hAnsi="Minion Pro" w:cs="Arial"/>
        </w:rPr>
      </w:pPr>
      <w:r w:rsidRPr="005F7E1B">
        <w:rPr>
          <w:rFonts w:ascii="Minion Pro" w:hAnsi="Minion Pro" w:cs="Arial"/>
        </w:rPr>
        <w:t>Cooke J held that this constituted an exclusive English jurisdiction clause.</w:t>
      </w:r>
      <w:r w:rsidRPr="005F7E1B">
        <w:rPr>
          <w:rStyle w:val="FootnoteReference"/>
          <w:rFonts w:ascii="Minion Pro" w:hAnsi="Minion Pro" w:cs="Arial"/>
        </w:rPr>
        <w:footnoteReference w:id="49"/>
      </w:r>
      <w:r w:rsidRPr="005F7E1B">
        <w:rPr>
          <w:rFonts w:ascii="Minion Pro" w:hAnsi="Minion Pro" w:cs="Arial"/>
        </w:rPr>
        <w:t xml:space="preserve"> This was based on the proposition that: “</w:t>
      </w:r>
      <w:r w:rsidRPr="005F7E1B">
        <w:rPr>
          <w:rFonts w:ascii="Minion Pro" w:hAnsi="Minion Pro" w:cs="Arial"/>
          <w:i/>
        </w:rPr>
        <w:t>An agreement to English law and jurisdiction, absent any other relevant provision in the contract, is generally to be taken not only as an agreement to the mandatory application of English law, but also to the exclusive jurisdiction of the English court</w:t>
      </w:r>
      <w:r w:rsidRPr="005F7E1B">
        <w:rPr>
          <w:rFonts w:ascii="Minion Pro" w:hAnsi="Minion Pro" w:cs="Arial"/>
        </w:rPr>
        <w:t>”.</w:t>
      </w:r>
      <w:r w:rsidRPr="005F7E1B">
        <w:rPr>
          <w:rStyle w:val="FootnoteReference"/>
          <w:rFonts w:ascii="Minion Pro" w:hAnsi="Minion Pro" w:cs="Arial"/>
        </w:rPr>
        <w:footnoteReference w:id="50"/>
      </w:r>
      <w:r w:rsidRPr="005F7E1B">
        <w:rPr>
          <w:rFonts w:ascii="Minion Pro" w:hAnsi="Minion Pro" w:cs="Arial"/>
        </w:rPr>
        <w:t xml:space="preserve"> As Cooke J said: “</w:t>
      </w:r>
      <w:r w:rsidRPr="005F7E1B">
        <w:rPr>
          <w:rFonts w:ascii="Minion Pro" w:hAnsi="Minion Pro" w:cs="Arial"/>
          <w:i/>
        </w:rPr>
        <w:t>Self-evidently, English courts would be seen by the parties as best able to apply the provisions of English law which the parties agreed to be applicable in the circumstances</w:t>
      </w:r>
      <w:r w:rsidRPr="005F7E1B">
        <w:rPr>
          <w:rFonts w:ascii="Minion Pro" w:hAnsi="Minion Pro" w:cs="Arial"/>
        </w:rPr>
        <w:t>”.</w:t>
      </w:r>
      <w:r w:rsidRPr="005F7E1B">
        <w:rPr>
          <w:rStyle w:val="FootnoteReference"/>
          <w:rFonts w:ascii="Minion Pro" w:hAnsi="Minion Pro" w:cs="Arial"/>
        </w:rPr>
        <w:footnoteReference w:id="51"/>
      </w:r>
      <w:r w:rsidRPr="005F7E1B">
        <w:rPr>
          <w:rFonts w:ascii="Minion Pro" w:hAnsi="Minion Pro" w:cs="Arial"/>
        </w:rPr>
        <w:t> </w:t>
      </w:r>
    </w:p>
    <w:p w:rsidR="00124080" w:rsidRPr="005F7E1B" w:rsidRDefault="00124080" w:rsidP="00124080">
      <w:pPr>
        <w:widowControl/>
        <w:numPr>
          <w:ilvl w:val="0"/>
          <w:numId w:val="1"/>
        </w:numPr>
        <w:suppressAutoHyphens w:val="0"/>
        <w:spacing w:after="240" w:line="360" w:lineRule="auto"/>
        <w:jc w:val="both"/>
        <w:rPr>
          <w:rFonts w:ascii="Minion Pro" w:hAnsi="Minion Pro" w:cs="Arial"/>
        </w:rPr>
      </w:pPr>
      <w:r w:rsidRPr="005F7E1B">
        <w:rPr>
          <w:rFonts w:ascii="Minion Pro" w:hAnsi="Minion Pro" w:cs="Arial"/>
        </w:rPr>
        <w:t xml:space="preserve">It was held that the final two sentences of the jurisdiction clause in the bills of lading in question did not change any of this because they merely provided for a fall-back position in the event that the courts of a foreign country failed to recognise the effectiveness of the first part of the jurisdiction clause. On that basis, and applying the principle set out in </w:t>
      </w:r>
      <w:r w:rsidRPr="005F7E1B">
        <w:rPr>
          <w:rFonts w:ascii="Minion Pro" w:hAnsi="Minion Pro" w:cs="Arial"/>
          <w:i/>
        </w:rPr>
        <w:t>The Angelic Grace</w:t>
      </w:r>
      <w:r w:rsidRPr="005F7E1B">
        <w:rPr>
          <w:rFonts w:ascii="Minion Pro" w:hAnsi="Minion Pro" w:cs="Arial"/>
        </w:rPr>
        <w:t xml:space="preserve"> (viz. that strong reasons are needed if an exclusive jurisdiction clause is not to be enforced), Cooke J granted an anti-suit injunction to restrain the pursuit of the Chinese proceedings.</w:t>
      </w:r>
    </w:p>
    <w:p w:rsidR="00124080" w:rsidRPr="005F7E1B" w:rsidRDefault="00124080" w:rsidP="00124080">
      <w:pPr>
        <w:widowControl/>
        <w:numPr>
          <w:ilvl w:val="0"/>
          <w:numId w:val="1"/>
        </w:numPr>
        <w:suppressAutoHyphens w:val="0"/>
        <w:spacing w:after="240" w:line="360" w:lineRule="auto"/>
        <w:jc w:val="both"/>
        <w:rPr>
          <w:rFonts w:ascii="Minion Pro" w:hAnsi="Minion Pro" w:cs="Arial"/>
        </w:rPr>
      </w:pPr>
      <w:r w:rsidRPr="005F7E1B">
        <w:rPr>
          <w:rFonts w:ascii="Minion Pro" w:hAnsi="Minion Pro" w:cs="Arial"/>
        </w:rPr>
        <w:t xml:space="preserve">The fact that, if proceedings were to be begun by </w:t>
      </w:r>
      <w:proofErr w:type="spellStart"/>
      <w:r w:rsidRPr="005F7E1B">
        <w:rPr>
          <w:rFonts w:ascii="Minion Pro" w:hAnsi="Minion Pro" w:cs="Arial"/>
        </w:rPr>
        <w:t>Hin</w:t>
      </w:r>
      <w:proofErr w:type="spellEnd"/>
      <w:r w:rsidRPr="005F7E1B">
        <w:rPr>
          <w:rFonts w:ascii="Minion Pro" w:hAnsi="Minion Pro" w:cs="Arial"/>
        </w:rPr>
        <w:t xml:space="preserve">-Pro in England (in accordance with the jurisdiction clause), the claim would be time barred as a result of the Hague Rules was held not to be a good reason to refuse an anti-suit injunction. Cooke J noted that </w:t>
      </w:r>
      <w:proofErr w:type="spellStart"/>
      <w:r w:rsidRPr="005F7E1B">
        <w:rPr>
          <w:rFonts w:ascii="Minion Pro" w:hAnsi="Minion Pro" w:cs="Arial"/>
        </w:rPr>
        <w:t>Hin</w:t>
      </w:r>
      <w:proofErr w:type="spellEnd"/>
      <w:r w:rsidRPr="005F7E1B">
        <w:rPr>
          <w:rFonts w:ascii="Minion Pro" w:hAnsi="Minion Pro" w:cs="Arial"/>
        </w:rPr>
        <w:t xml:space="preserve">-Pro had commenced proceedings in China knowing that CSAV regarded the clause as an exclusive jurisdiction clause, and despite the fact that CSAV had previously obtained an anti-suit injunction against </w:t>
      </w:r>
      <w:proofErr w:type="spellStart"/>
      <w:r w:rsidRPr="005F7E1B">
        <w:rPr>
          <w:rFonts w:ascii="Minion Pro" w:hAnsi="Minion Pro" w:cs="Arial"/>
        </w:rPr>
        <w:t>Hin</w:t>
      </w:r>
      <w:proofErr w:type="spellEnd"/>
      <w:r w:rsidRPr="005F7E1B">
        <w:rPr>
          <w:rFonts w:ascii="Minion Pro" w:hAnsi="Minion Pro" w:cs="Arial"/>
        </w:rPr>
        <w:t>-Pro from an English court on the basis of the same clause in other bills of lading.</w:t>
      </w:r>
    </w:p>
    <w:p w:rsidR="00124080" w:rsidRPr="005F7E1B" w:rsidRDefault="00124080" w:rsidP="00124080">
      <w:pPr>
        <w:widowControl/>
        <w:numPr>
          <w:ilvl w:val="0"/>
          <w:numId w:val="1"/>
        </w:numPr>
        <w:suppressAutoHyphens w:val="0"/>
        <w:spacing w:after="240" w:line="360" w:lineRule="auto"/>
        <w:jc w:val="both"/>
        <w:rPr>
          <w:rFonts w:ascii="Minion Pro" w:hAnsi="Minion Pro" w:cs="Arial"/>
        </w:rPr>
      </w:pPr>
      <w:r w:rsidRPr="005F7E1B">
        <w:rPr>
          <w:rFonts w:ascii="Minion Pro" w:hAnsi="Minion Pro" w:cs="Arial"/>
        </w:rPr>
        <w:t xml:space="preserve">Cooke J also awarded CSAV damages for breach of the jurisdiction clause, including all sums paid and to be paid as a result of judgments of the Chinese courts. He held that the relevant counterfactual for the purposes of assessing damages was not a scenario in which </w:t>
      </w:r>
      <w:proofErr w:type="spellStart"/>
      <w:r w:rsidRPr="005F7E1B">
        <w:rPr>
          <w:rFonts w:ascii="Minion Pro" w:hAnsi="Minion Pro" w:cs="Arial"/>
        </w:rPr>
        <w:t>Hin</w:t>
      </w:r>
      <w:proofErr w:type="spellEnd"/>
      <w:r w:rsidRPr="005F7E1B">
        <w:rPr>
          <w:rFonts w:ascii="Minion Pro" w:hAnsi="Minion Pro" w:cs="Arial"/>
        </w:rPr>
        <w:t>-Pro had sued in England, but one in which it had not sued at all.</w:t>
      </w:r>
      <w:r w:rsidRPr="005F7E1B">
        <w:rPr>
          <w:rFonts w:ascii="Minion Pro" w:eastAsia="MS Mincho" w:hAnsi="Minion Pro" w:cs="Arial"/>
        </w:rPr>
        <w:t xml:space="preserve"> </w:t>
      </w:r>
      <w:r w:rsidRPr="005F7E1B">
        <w:rPr>
          <w:rFonts w:ascii="Minion Pro" w:hAnsi="Minion Pro" w:cs="Arial"/>
        </w:rPr>
        <w:t>Cooke J based that decision on the fact that the relevant breach was not a failure to bring a claim in England, but the wrongful bringing of a claim in China.</w:t>
      </w:r>
      <w:r w:rsidRPr="005F7E1B">
        <w:rPr>
          <w:rStyle w:val="FootnoteReference"/>
          <w:rFonts w:ascii="Minion Pro" w:hAnsi="Minion Pro" w:cs="Arial"/>
        </w:rPr>
        <w:footnoteReference w:id="52"/>
      </w:r>
      <w:r w:rsidRPr="005F7E1B">
        <w:rPr>
          <w:rFonts w:ascii="Minion Pro" w:hAnsi="Minion Pro" w:cs="Arial"/>
        </w:rPr>
        <w:t xml:space="preserve"> The court, he said, was not required to speculate on what the result might have been if a claim had been brought by </w:t>
      </w:r>
      <w:proofErr w:type="spellStart"/>
      <w:r w:rsidRPr="005F7E1B">
        <w:rPr>
          <w:rFonts w:ascii="Minion Pro" w:hAnsi="Minion Pro" w:cs="Arial"/>
        </w:rPr>
        <w:t>Hin</w:t>
      </w:r>
      <w:proofErr w:type="spellEnd"/>
      <w:r w:rsidRPr="005F7E1B">
        <w:rPr>
          <w:rFonts w:ascii="Minion Pro" w:hAnsi="Minion Pro" w:cs="Arial"/>
        </w:rPr>
        <w:t>-Pro in England.</w:t>
      </w:r>
    </w:p>
    <w:p w:rsidR="00124080" w:rsidRPr="005F7E1B" w:rsidRDefault="00124080" w:rsidP="00124080">
      <w:pPr>
        <w:widowControl/>
        <w:numPr>
          <w:ilvl w:val="0"/>
          <w:numId w:val="1"/>
        </w:numPr>
        <w:suppressAutoHyphens w:val="0"/>
        <w:spacing w:after="240" w:line="360" w:lineRule="auto"/>
        <w:jc w:val="both"/>
        <w:rPr>
          <w:rFonts w:ascii="Minion Pro" w:hAnsi="Minion Pro" w:cs="Arial"/>
        </w:rPr>
      </w:pPr>
      <w:r w:rsidRPr="005F7E1B">
        <w:rPr>
          <w:rFonts w:ascii="Minion Pro" w:hAnsi="Minion Pro" w:cs="Arial"/>
        </w:rPr>
        <w:t>The Court of Appeal recently upheld Cooke J’s decision that the clause in question was an exclusive English jurisdiction clause. Christopher Clarke LJ emphasised that the jurisdiction clause contained imperative language (“</w:t>
      </w:r>
      <w:r w:rsidRPr="005F7E1B">
        <w:rPr>
          <w:rFonts w:ascii="Minion Pro" w:hAnsi="Minion Pro" w:cs="Arial"/>
          <w:i/>
        </w:rPr>
        <w:t>shall be subject to … the jurisdiction of the English High Court</w:t>
      </w:r>
      <w:r w:rsidRPr="005F7E1B">
        <w:rPr>
          <w:rFonts w:ascii="Minion Pro" w:hAnsi="Minion Pro" w:cs="Arial"/>
        </w:rPr>
        <w:t>”). He also noted that, whilst non-exclusive jurisdiction clauses do have value, the natural commercial purpose of the clause was to provide for an exclusive forum for disputes between the parties. As Christopher Clarke LJ said:</w:t>
      </w:r>
      <w:r w:rsidRPr="005F7E1B">
        <w:rPr>
          <w:rStyle w:val="FootnoteReference"/>
          <w:rFonts w:ascii="Minion Pro" w:hAnsi="Minion Pro" w:cs="Arial"/>
        </w:rPr>
        <w:footnoteReference w:id="53"/>
      </w:r>
    </w:p>
    <w:p w:rsidR="00124080" w:rsidRPr="005F7E1B" w:rsidRDefault="00124080" w:rsidP="00124080">
      <w:pPr>
        <w:spacing w:after="240"/>
        <w:ind w:left="1440"/>
        <w:jc w:val="both"/>
        <w:rPr>
          <w:rFonts w:ascii="Minion Pro" w:hAnsi="Minion Pro" w:cs="Arial"/>
        </w:rPr>
      </w:pPr>
      <w:r w:rsidRPr="005F7E1B">
        <w:rPr>
          <w:rFonts w:ascii="Minion Pro" w:hAnsi="Minion Pro" w:cs="Arial"/>
        </w:rPr>
        <w:t xml:space="preserve"> “If ‘shall be subject to’ makes English law mandatory (as it does) the parties must as it seems to me … be taken to have intended (absent any convincing reason to the contrary that the same should apply to English jurisdiction. I do not think that the reasonable commercial man would understand the purpose of the clause to be confined to a submission to English jurisdiction, if invoked, or to an underscoring of the convenience of litigation here.”</w:t>
      </w:r>
    </w:p>
    <w:p w:rsidR="00124080" w:rsidRPr="005F7E1B" w:rsidRDefault="00124080" w:rsidP="00124080">
      <w:pPr>
        <w:spacing w:after="240" w:line="360" w:lineRule="auto"/>
        <w:jc w:val="both"/>
        <w:rPr>
          <w:rFonts w:ascii="Minion Pro" w:hAnsi="Minion Pro" w:cs="Arial"/>
          <w:b/>
        </w:rPr>
      </w:pPr>
      <w:r w:rsidRPr="005F7E1B">
        <w:rPr>
          <w:rFonts w:ascii="Minion Pro" w:hAnsi="Minion Pro" w:cs="Arial"/>
          <w:b/>
        </w:rPr>
        <w:t xml:space="preserve">The incorporation of exclusive jurisdiction clauses </w:t>
      </w:r>
    </w:p>
    <w:p w:rsidR="00124080" w:rsidRPr="005F7E1B" w:rsidRDefault="00124080" w:rsidP="00124080">
      <w:pPr>
        <w:widowControl/>
        <w:numPr>
          <w:ilvl w:val="0"/>
          <w:numId w:val="1"/>
        </w:numPr>
        <w:suppressAutoHyphens w:val="0"/>
        <w:spacing w:after="240" w:line="360" w:lineRule="auto"/>
        <w:jc w:val="both"/>
        <w:rPr>
          <w:rFonts w:ascii="Minion Pro" w:hAnsi="Minion Pro" w:cs="Arial"/>
        </w:rPr>
      </w:pPr>
      <w:r w:rsidRPr="005F7E1B">
        <w:rPr>
          <w:rFonts w:ascii="Minion Pro" w:hAnsi="Minion Pro" w:cs="Arial"/>
        </w:rPr>
        <w:t xml:space="preserve">A further problem that may arise when one seeks to obtain an anti-suit injunction in order to enforce an exclusive forum clause is uncertainty as to whether the clause is incorporated into the relevant contract. The Court of Appeal recently considered this issue in the context of bills of lading in </w:t>
      </w:r>
      <w:proofErr w:type="spellStart"/>
      <w:r w:rsidRPr="005F7E1B">
        <w:rPr>
          <w:rFonts w:ascii="Minion Pro" w:hAnsi="Minion Pro" w:cs="Arial"/>
          <w:i/>
        </w:rPr>
        <w:t>Caresse</w:t>
      </w:r>
      <w:proofErr w:type="spellEnd"/>
      <w:r w:rsidRPr="005F7E1B">
        <w:rPr>
          <w:rFonts w:ascii="Minion Pro" w:hAnsi="Minion Pro" w:cs="Arial"/>
          <w:i/>
        </w:rPr>
        <w:t xml:space="preserve"> Navigation Ltd v Office National de </w:t>
      </w:r>
      <w:proofErr w:type="spellStart"/>
      <w:r w:rsidRPr="005F7E1B">
        <w:rPr>
          <w:rFonts w:ascii="Minion Pro" w:hAnsi="Minion Pro" w:cs="Arial"/>
          <w:i/>
        </w:rPr>
        <w:t>l’Electricité</w:t>
      </w:r>
      <w:proofErr w:type="spellEnd"/>
      <w:r w:rsidRPr="005F7E1B">
        <w:rPr>
          <w:rFonts w:ascii="Minion Pro" w:hAnsi="Minion Pro" w:cs="Arial"/>
          <w:i/>
        </w:rPr>
        <w:t xml:space="preserve"> and others (The Channel Ranger).</w:t>
      </w:r>
      <w:r w:rsidRPr="005F7E1B">
        <w:rPr>
          <w:rStyle w:val="FootnoteReference"/>
          <w:rFonts w:ascii="Minion Pro" w:hAnsi="Minion Pro" w:cs="Arial"/>
        </w:rPr>
        <w:footnoteReference w:id="54"/>
      </w:r>
      <w:r w:rsidRPr="005F7E1B">
        <w:rPr>
          <w:rFonts w:ascii="Minion Pro" w:hAnsi="Minion Pro" w:cs="Arial"/>
        </w:rPr>
        <w:t xml:space="preserve"> </w:t>
      </w:r>
    </w:p>
    <w:p w:rsidR="00124080" w:rsidRPr="005F7E1B" w:rsidRDefault="00124080" w:rsidP="00124080">
      <w:pPr>
        <w:widowControl/>
        <w:numPr>
          <w:ilvl w:val="0"/>
          <w:numId w:val="1"/>
        </w:numPr>
        <w:suppressAutoHyphens w:val="0"/>
        <w:spacing w:after="240" w:line="360" w:lineRule="auto"/>
        <w:jc w:val="both"/>
        <w:rPr>
          <w:rFonts w:ascii="Minion Pro" w:hAnsi="Minion Pro" w:cs="Arial"/>
        </w:rPr>
      </w:pPr>
      <w:r w:rsidRPr="005F7E1B">
        <w:rPr>
          <w:rFonts w:ascii="Minion Pro" w:hAnsi="Minion Pro" w:cs="Arial"/>
        </w:rPr>
        <w:t xml:space="preserve">A consignee and its insurers brought a claim in Morocco against a </w:t>
      </w:r>
      <w:proofErr w:type="spellStart"/>
      <w:r w:rsidRPr="005F7E1B">
        <w:rPr>
          <w:rFonts w:ascii="Minion Pro" w:hAnsi="Minion Pro" w:cs="Arial"/>
        </w:rPr>
        <w:t>shipowner</w:t>
      </w:r>
      <w:proofErr w:type="spellEnd"/>
      <w:r w:rsidRPr="005F7E1B">
        <w:rPr>
          <w:rFonts w:ascii="Minion Pro" w:hAnsi="Minion Pro" w:cs="Arial"/>
        </w:rPr>
        <w:t xml:space="preserve">, </w:t>
      </w:r>
      <w:proofErr w:type="spellStart"/>
      <w:r w:rsidRPr="005F7E1B">
        <w:rPr>
          <w:rFonts w:ascii="Minion Pro" w:hAnsi="Minion Pro" w:cs="Arial"/>
        </w:rPr>
        <w:t>Caresse</w:t>
      </w:r>
      <w:proofErr w:type="spellEnd"/>
      <w:r w:rsidRPr="005F7E1B">
        <w:rPr>
          <w:rFonts w:ascii="Minion Pro" w:hAnsi="Minion Pro" w:cs="Arial"/>
        </w:rPr>
        <w:t xml:space="preserve"> Navigation, seeking damages for breach of a contract evidenced by a bill of lading as a result of damage to a cargo of coal. The bill of lading stated at clause 1: “</w:t>
      </w:r>
      <w:r w:rsidRPr="005F7E1B">
        <w:rPr>
          <w:rFonts w:ascii="Minion Pro" w:hAnsi="Minion Pro" w:cs="Arial"/>
          <w:i/>
        </w:rPr>
        <w:t xml:space="preserve">Freight payable as per </w:t>
      </w:r>
      <w:proofErr w:type="spellStart"/>
      <w:r w:rsidRPr="005F7E1B">
        <w:rPr>
          <w:rFonts w:ascii="Minion Pro" w:hAnsi="Minion Pro" w:cs="Arial"/>
          <w:i/>
        </w:rPr>
        <w:t>charterparty</w:t>
      </w:r>
      <w:proofErr w:type="spellEnd"/>
      <w:r w:rsidRPr="005F7E1B">
        <w:rPr>
          <w:rFonts w:ascii="Minion Pro" w:hAnsi="Minion Pro" w:cs="Arial"/>
          <w:i/>
        </w:rPr>
        <w:t xml:space="preserve">. All terms, conditions, liberties and exceptions of the </w:t>
      </w:r>
      <w:proofErr w:type="spellStart"/>
      <w:r w:rsidRPr="005F7E1B">
        <w:rPr>
          <w:rFonts w:ascii="Minion Pro" w:hAnsi="Minion Pro" w:cs="Arial"/>
          <w:i/>
        </w:rPr>
        <w:t>charterparty</w:t>
      </w:r>
      <w:proofErr w:type="spellEnd"/>
      <w:r w:rsidRPr="005F7E1B">
        <w:rPr>
          <w:rFonts w:ascii="Minion Pro" w:hAnsi="Minion Pro" w:cs="Arial"/>
          <w:i/>
        </w:rPr>
        <w:t xml:space="preserve">, dated as overleaf, including the law and </w:t>
      </w:r>
      <w:r w:rsidRPr="005F7E1B">
        <w:rPr>
          <w:rFonts w:ascii="Minion Pro" w:hAnsi="Minion Pro" w:cs="Arial"/>
          <w:i/>
          <w:u w:val="single"/>
        </w:rPr>
        <w:t>arbitration</w:t>
      </w:r>
      <w:r w:rsidRPr="005F7E1B">
        <w:rPr>
          <w:rFonts w:ascii="Minion Pro" w:hAnsi="Minion Pro" w:cs="Arial"/>
          <w:i/>
        </w:rPr>
        <w:t xml:space="preserve"> clause, are herewith incorporated</w:t>
      </w:r>
      <w:r w:rsidRPr="005F7E1B">
        <w:rPr>
          <w:rFonts w:ascii="Minion Pro" w:hAnsi="Minion Pro" w:cs="Arial"/>
        </w:rPr>
        <w:t xml:space="preserve">” (emphasis added). The relevant </w:t>
      </w:r>
      <w:proofErr w:type="spellStart"/>
      <w:r w:rsidRPr="005F7E1B">
        <w:rPr>
          <w:rFonts w:ascii="Minion Pro" w:hAnsi="Minion Pro" w:cs="Arial"/>
        </w:rPr>
        <w:t>charterparty</w:t>
      </w:r>
      <w:proofErr w:type="spellEnd"/>
      <w:r w:rsidRPr="005F7E1B">
        <w:rPr>
          <w:rFonts w:ascii="Minion Pro" w:hAnsi="Minion Pro" w:cs="Arial"/>
        </w:rPr>
        <w:t xml:space="preserve"> was a voyage charter, which included the following term: “</w:t>
      </w:r>
      <w:r w:rsidRPr="005F7E1B">
        <w:rPr>
          <w:rFonts w:ascii="Minion Pro" w:hAnsi="Minion Pro" w:cs="Arial"/>
          <w:i/>
        </w:rPr>
        <w:t xml:space="preserve">This </w:t>
      </w:r>
      <w:proofErr w:type="spellStart"/>
      <w:r w:rsidRPr="005F7E1B">
        <w:rPr>
          <w:rFonts w:ascii="Minion Pro" w:hAnsi="Minion Pro" w:cs="Arial"/>
          <w:i/>
        </w:rPr>
        <w:t>charterparty</w:t>
      </w:r>
      <w:proofErr w:type="spellEnd"/>
      <w:r w:rsidRPr="005F7E1B">
        <w:rPr>
          <w:rFonts w:ascii="Minion Pro" w:hAnsi="Minion Pro" w:cs="Arial"/>
          <w:i/>
        </w:rPr>
        <w:t xml:space="preserve"> shall be governed by English law, and any dispute arising out of or in connection with this charter shall be submitted to </w:t>
      </w:r>
      <w:r w:rsidRPr="005F7E1B">
        <w:rPr>
          <w:rFonts w:ascii="Minion Pro" w:hAnsi="Minion Pro" w:cs="Arial"/>
          <w:i/>
          <w:u w:val="single"/>
        </w:rPr>
        <w:t>the exclusive jurisdiction of the High Court of Justice of England and Wales</w:t>
      </w:r>
      <w:r w:rsidRPr="005F7E1B">
        <w:rPr>
          <w:rFonts w:ascii="Minion Pro" w:hAnsi="Minion Pro" w:cs="Arial"/>
        </w:rPr>
        <w:t>” (emphasis added).</w:t>
      </w:r>
    </w:p>
    <w:p w:rsidR="00124080" w:rsidRPr="005F7E1B" w:rsidRDefault="00124080" w:rsidP="00124080">
      <w:pPr>
        <w:widowControl/>
        <w:numPr>
          <w:ilvl w:val="0"/>
          <w:numId w:val="1"/>
        </w:numPr>
        <w:suppressAutoHyphens w:val="0"/>
        <w:spacing w:after="240" w:line="360" w:lineRule="auto"/>
        <w:jc w:val="both"/>
        <w:rPr>
          <w:rFonts w:ascii="Minion Pro" w:hAnsi="Minion Pro" w:cs="Arial"/>
        </w:rPr>
      </w:pPr>
      <w:r w:rsidRPr="005F7E1B">
        <w:rPr>
          <w:rFonts w:ascii="Minion Pro" w:hAnsi="Minion Pro" w:cs="Arial"/>
        </w:rPr>
        <w:t xml:space="preserve">Males J granted an anti-suit injunction to restrain pursuit of the Moroccan proceedings, on the basis that the bill of lading incorporated the exclusive jurisdiction clause contained in the </w:t>
      </w:r>
      <w:proofErr w:type="spellStart"/>
      <w:r w:rsidRPr="005F7E1B">
        <w:rPr>
          <w:rFonts w:ascii="Minion Pro" w:hAnsi="Minion Pro" w:cs="Arial"/>
        </w:rPr>
        <w:t>charterparty</w:t>
      </w:r>
      <w:proofErr w:type="spellEnd"/>
      <w:r w:rsidRPr="005F7E1B">
        <w:rPr>
          <w:rFonts w:ascii="Minion Pro" w:hAnsi="Minion Pro" w:cs="Arial"/>
        </w:rPr>
        <w:t>.</w:t>
      </w:r>
      <w:r w:rsidRPr="005F7E1B">
        <w:rPr>
          <w:rStyle w:val="FootnoteReference"/>
          <w:rFonts w:ascii="Minion Pro" w:hAnsi="Minion Pro" w:cs="Arial"/>
        </w:rPr>
        <w:footnoteReference w:id="55"/>
      </w:r>
      <w:r w:rsidRPr="005F7E1B">
        <w:rPr>
          <w:rFonts w:ascii="Minion Pro" w:hAnsi="Minion Pro" w:cs="Arial"/>
        </w:rPr>
        <w:t xml:space="preserve"> The Court of Appeal upheld that decision. It was held that the wording of the bill of lading was sufficient to incorporate not only the part of the clause dealing with choice of law, but also the exclusive English jurisdiction clause.</w:t>
      </w:r>
    </w:p>
    <w:p w:rsidR="00124080" w:rsidRPr="005F7E1B" w:rsidRDefault="00124080" w:rsidP="00124080">
      <w:pPr>
        <w:widowControl/>
        <w:numPr>
          <w:ilvl w:val="0"/>
          <w:numId w:val="1"/>
        </w:numPr>
        <w:suppressAutoHyphens w:val="0"/>
        <w:spacing w:after="240" w:line="360" w:lineRule="auto"/>
        <w:jc w:val="both"/>
        <w:rPr>
          <w:rFonts w:ascii="Minion Pro" w:hAnsi="Minion Pro" w:cs="Arial"/>
        </w:rPr>
      </w:pPr>
      <w:r w:rsidRPr="005F7E1B">
        <w:rPr>
          <w:rFonts w:ascii="Minion Pro" w:hAnsi="Minion Pro" w:cs="Arial"/>
        </w:rPr>
        <w:t xml:space="preserve">The consignee relied on the rule that general words intended to incorporate the terms of a </w:t>
      </w:r>
      <w:proofErr w:type="spellStart"/>
      <w:r w:rsidRPr="005F7E1B">
        <w:rPr>
          <w:rFonts w:ascii="Minion Pro" w:hAnsi="Minion Pro" w:cs="Arial"/>
        </w:rPr>
        <w:t>charterparty</w:t>
      </w:r>
      <w:proofErr w:type="spellEnd"/>
      <w:r w:rsidRPr="005F7E1B">
        <w:rPr>
          <w:rFonts w:ascii="Minion Pro" w:hAnsi="Minion Pro" w:cs="Arial"/>
        </w:rPr>
        <w:t xml:space="preserve"> into a bill of lading contract incorporate only terms that are directly “</w:t>
      </w:r>
      <w:r w:rsidRPr="005F7E1B">
        <w:rPr>
          <w:rFonts w:ascii="Minion Pro" w:hAnsi="Minion Pro" w:cs="Arial"/>
          <w:i/>
        </w:rPr>
        <w:t>germane to the receipt, carriage or delivery of the cargo or the payment of freight</w:t>
      </w:r>
      <w:r w:rsidRPr="005F7E1B">
        <w:rPr>
          <w:rFonts w:ascii="Minion Pro" w:hAnsi="Minion Pro" w:cs="Arial"/>
        </w:rPr>
        <w:t>”, and not ancillary terms such as jurisdiction clauses.</w:t>
      </w:r>
      <w:r w:rsidRPr="005F7E1B">
        <w:rPr>
          <w:rStyle w:val="FootnoteReference"/>
          <w:rFonts w:ascii="Minion Pro" w:hAnsi="Minion Pro" w:cs="Arial"/>
        </w:rPr>
        <w:footnoteReference w:id="56"/>
      </w:r>
      <w:r w:rsidRPr="005F7E1B">
        <w:rPr>
          <w:rFonts w:ascii="Minion Pro" w:hAnsi="Minion Pro" w:cs="Arial"/>
        </w:rPr>
        <w:t xml:space="preserve"> The Court of Appeal held that the authorities stating that ancillary clauses such as arbitration or jurisdiction clauses will not be incorporated into a bill of lading by general words were not of assistance in this case because it was plain that the parties intended to incorporate at least one kind of ancillary clause into the </w:t>
      </w:r>
      <w:proofErr w:type="spellStart"/>
      <w:r w:rsidRPr="005F7E1B">
        <w:rPr>
          <w:rFonts w:ascii="Minion Pro" w:hAnsi="Minion Pro" w:cs="Arial"/>
        </w:rPr>
        <w:t>charterparty</w:t>
      </w:r>
      <w:proofErr w:type="spellEnd"/>
      <w:r w:rsidRPr="005F7E1B">
        <w:rPr>
          <w:rFonts w:ascii="Minion Pro" w:hAnsi="Minion Pro" w:cs="Arial"/>
        </w:rPr>
        <w:t>.</w:t>
      </w:r>
    </w:p>
    <w:p w:rsidR="00124080" w:rsidRPr="005F7E1B" w:rsidRDefault="00124080" w:rsidP="00124080">
      <w:pPr>
        <w:widowControl/>
        <w:numPr>
          <w:ilvl w:val="0"/>
          <w:numId w:val="1"/>
        </w:numPr>
        <w:suppressAutoHyphens w:val="0"/>
        <w:spacing w:after="240" w:line="360" w:lineRule="auto"/>
        <w:jc w:val="both"/>
        <w:rPr>
          <w:rFonts w:ascii="Minion Pro" w:hAnsi="Minion Pro" w:cs="Arial"/>
        </w:rPr>
      </w:pPr>
      <w:proofErr w:type="spellStart"/>
      <w:r w:rsidRPr="005F7E1B">
        <w:rPr>
          <w:rFonts w:ascii="Minion Pro" w:hAnsi="Minion Pro" w:cs="Arial"/>
        </w:rPr>
        <w:t>Beatson</w:t>
      </w:r>
      <w:proofErr w:type="spellEnd"/>
      <w:r w:rsidRPr="005F7E1B">
        <w:rPr>
          <w:rFonts w:ascii="Minion Pro" w:hAnsi="Minion Pro" w:cs="Arial"/>
        </w:rPr>
        <w:t xml:space="preserve"> LJ (with whom Sir Robin Jacob and Lord Dyson MR agreed) noted that: “</w:t>
      </w:r>
      <w:r w:rsidRPr="005F7E1B">
        <w:rPr>
          <w:rFonts w:ascii="Minion Pro" w:hAnsi="Minion Pro" w:cs="Arial"/>
          <w:i/>
        </w:rPr>
        <w:t xml:space="preserve">English law has long recognised the particular need for certainty that follows from the negotiable nature of a bill of lading, which may come into the hands of a person in another jurisdiction who has no ready means of ascertaining the terms of the </w:t>
      </w:r>
      <w:proofErr w:type="spellStart"/>
      <w:r w:rsidRPr="005F7E1B">
        <w:rPr>
          <w:rFonts w:ascii="Minion Pro" w:hAnsi="Minion Pro" w:cs="Arial"/>
          <w:i/>
        </w:rPr>
        <w:t>charterparty</w:t>
      </w:r>
      <w:proofErr w:type="spellEnd"/>
      <w:r w:rsidRPr="005F7E1B">
        <w:rPr>
          <w:rFonts w:ascii="Minion Pro" w:hAnsi="Minion Pro" w:cs="Arial"/>
        </w:rPr>
        <w:t>”.</w:t>
      </w:r>
      <w:r w:rsidRPr="005F7E1B">
        <w:rPr>
          <w:rStyle w:val="FootnoteReference"/>
          <w:rFonts w:ascii="Minion Pro" w:hAnsi="Minion Pro" w:cs="Arial"/>
        </w:rPr>
        <w:footnoteReference w:id="57"/>
      </w:r>
      <w:r w:rsidRPr="005F7E1B">
        <w:rPr>
          <w:rFonts w:ascii="Minion Pro" w:hAnsi="Minion Pro" w:cs="Arial"/>
        </w:rPr>
        <w:t xml:space="preserve"> However, </w:t>
      </w:r>
      <w:proofErr w:type="spellStart"/>
      <w:r w:rsidRPr="005F7E1B">
        <w:rPr>
          <w:rFonts w:ascii="Minion Pro" w:hAnsi="Minion Pro" w:cs="Arial"/>
        </w:rPr>
        <w:t>Beatson</w:t>
      </w:r>
      <w:proofErr w:type="spellEnd"/>
      <w:r w:rsidRPr="005F7E1B">
        <w:rPr>
          <w:rFonts w:ascii="Minion Pro" w:hAnsi="Minion Pro" w:cs="Arial"/>
        </w:rPr>
        <w:t xml:space="preserve"> LJ said that in context, and having regard to normal principles of contractual interpretation, the reference in this bill of lading to an arbitration clause should be construed as a reference to the exclusive jurisdiction clause in the </w:t>
      </w:r>
      <w:proofErr w:type="spellStart"/>
      <w:r w:rsidRPr="005F7E1B">
        <w:rPr>
          <w:rFonts w:ascii="Minion Pro" w:hAnsi="Minion Pro" w:cs="Arial"/>
        </w:rPr>
        <w:t>charterparty</w:t>
      </w:r>
      <w:proofErr w:type="spellEnd"/>
      <w:r w:rsidRPr="005F7E1B">
        <w:rPr>
          <w:rFonts w:ascii="Minion Pro" w:hAnsi="Minion Pro" w:cs="Arial"/>
        </w:rPr>
        <w:t xml:space="preserve">. That was the only clause to which the parties could reasonably have intended the words to refer. </w:t>
      </w:r>
    </w:p>
    <w:p w:rsidR="00124080" w:rsidRPr="005F7E1B" w:rsidRDefault="00124080" w:rsidP="00124080">
      <w:pPr>
        <w:widowControl/>
        <w:numPr>
          <w:ilvl w:val="0"/>
          <w:numId w:val="1"/>
        </w:numPr>
        <w:suppressAutoHyphens w:val="0"/>
        <w:spacing w:after="240" w:line="360" w:lineRule="auto"/>
        <w:jc w:val="both"/>
        <w:rPr>
          <w:rFonts w:ascii="Minion Pro" w:hAnsi="Minion Pro" w:cs="Arial"/>
        </w:rPr>
      </w:pPr>
      <w:r w:rsidRPr="005F7E1B">
        <w:rPr>
          <w:rFonts w:ascii="Minion Pro" w:hAnsi="Minion Pro" w:cs="Arial"/>
        </w:rPr>
        <w:t xml:space="preserve">It was emphasised that the original parties to the bill of lading in the case must have been aware that the </w:t>
      </w:r>
      <w:proofErr w:type="spellStart"/>
      <w:r w:rsidRPr="005F7E1B">
        <w:rPr>
          <w:rFonts w:ascii="Minion Pro" w:hAnsi="Minion Pro" w:cs="Arial"/>
        </w:rPr>
        <w:t>charterparty</w:t>
      </w:r>
      <w:proofErr w:type="spellEnd"/>
      <w:r w:rsidRPr="005F7E1B">
        <w:rPr>
          <w:rFonts w:ascii="Minion Pro" w:hAnsi="Minion Pro" w:cs="Arial"/>
        </w:rPr>
        <w:t xml:space="preserve"> did not contain an arbitration clause, so it was unrealistic to interpret the clause in the bill as stating “</w:t>
      </w:r>
      <w:r w:rsidRPr="005F7E1B">
        <w:rPr>
          <w:rFonts w:ascii="Minion Pro" w:hAnsi="Minion Pro" w:cs="Arial"/>
          <w:i/>
        </w:rPr>
        <w:t>arbitration clause, if any</w:t>
      </w:r>
      <w:r w:rsidRPr="005F7E1B">
        <w:rPr>
          <w:rFonts w:ascii="Minion Pro" w:hAnsi="Minion Pro" w:cs="Arial"/>
        </w:rPr>
        <w:t>”.</w:t>
      </w:r>
    </w:p>
    <w:p w:rsidR="00124080" w:rsidRPr="005F7E1B" w:rsidRDefault="00124080" w:rsidP="00124080">
      <w:pPr>
        <w:spacing w:after="240" w:line="360" w:lineRule="auto"/>
        <w:jc w:val="both"/>
        <w:rPr>
          <w:rFonts w:ascii="Minion Pro" w:hAnsi="Minion Pro" w:cs="Arial"/>
          <w:b/>
        </w:rPr>
      </w:pPr>
      <w:r w:rsidRPr="005F7E1B">
        <w:rPr>
          <w:rFonts w:ascii="Minion Pro" w:hAnsi="Minion Pro" w:cs="Arial"/>
          <w:b/>
        </w:rPr>
        <w:t>Vexatious or oppressive proceedings</w:t>
      </w:r>
    </w:p>
    <w:p w:rsidR="00124080" w:rsidRPr="005F7E1B" w:rsidRDefault="00124080" w:rsidP="00124080">
      <w:pPr>
        <w:widowControl/>
        <w:numPr>
          <w:ilvl w:val="0"/>
          <w:numId w:val="1"/>
        </w:numPr>
        <w:suppressAutoHyphens w:val="0"/>
        <w:spacing w:after="240" w:line="360" w:lineRule="auto"/>
        <w:jc w:val="both"/>
        <w:rPr>
          <w:rFonts w:ascii="Minion Pro" w:hAnsi="Minion Pro" w:cs="Arial"/>
        </w:rPr>
      </w:pPr>
      <w:r w:rsidRPr="005F7E1B">
        <w:rPr>
          <w:rFonts w:ascii="Minion Pro" w:hAnsi="Minion Pro" w:cs="Arial"/>
        </w:rPr>
        <w:t xml:space="preserve">The recent judgment of the Commercial Court in </w:t>
      </w:r>
      <w:proofErr w:type="spellStart"/>
      <w:r w:rsidRPr="005F7E1B">
        <w:rPr>
          <w:rFonts w:ascii="Minion Pro" w:hAnsi="Minion Pro" w:cs="Arial"/>
          <w:i/>
        </w:rPr>
        <w:t>Shipowners’</w:t>
      </w:r>
      <w:proofErr w:type="spellEnd"/>
      <w:r w:rsidRPr="005F7E1B">
        <w:rPr>
          <w:rFonts w:ascii="Minion Pro" w:hAnsi="Minion Pro" w:cs="Arial"/>
          <w:i/>
        </w:rPr>
        <w:t xml:space="preserve"> Mutual Protection and Indemnity Association v Containerships Denizcilik </w:t>
      </w:r>
      <w:proofErr w:type="spellStart"/>
      <w:r w:rsidRPr="005F7E1B">
        <w:rPr>
          <w:rFonts w:ascii="Minion Pro" w:hAnsi="Minion Pro" w:cs="Arial"/>
          <w:i/>
        </w:rPr>
        <w:t>Nakliyat</w:t>
      </w:r>
      <w:proofErr w:type="spellEnd"/>
      <w:r w:rsidRPr="005F7E1B">
        <w:rPr>
          <w:rFonts w:ascii="Minion Pro" w:hAnsi="Minion Pro" w:cs="Arial"/>
          <w:i/>
        </w:rPr>
        <w:t xml:space="preserve"> </w:t>
      </w:r>
      <w:proofErr w:type="spellStart"/>
      <w:r w:rsidRPr="005F7E1B">
        <w:rPr>
          <w:rFonts w:ascii="Minion Pro" w:hAnsi="Minion Pro" w:cs="Arial"/>
          <w:i/>
        </w:rPr>
        <w:t>ve</w:t>
      </w:r>
      <w:proofErr w:type="spellEnd"/>
      <w:r w:rsidRPr="005F7E1B">
        <w:rPr>
          <w:rFonts w:ascii="Minion Pro" w:hAnsi="Minion Pro" w:cs="Arial"/>
          <w:i/>
        </w:rPr>
        <w:t xml:space="preserve"> </w:t>
      </w:r>
      <w:proofErr w:type="spellStart"/>
      <w:r w:rsidRPr="005F7E1B">
        <w:rPr>
          <w:rFonts w:ascii="Minion Pro" w:hAnsi="Minion Pro" w:cs="Arial"/>
          <w:i/>
        </w:rPr>
        <w:t>Ticaret</w:t>
      </w:r>
      <w:proofErr w:type="spellEnd"/>
      <w:r w:rsidRPr="005F7E1B">
        <w:rPr>
          <w:rFonts w:ascii="Minion Pro" w:hAnsi="Minion Pro" w:cs="Arial"/>
          <w:i/>
        </w:rPr>
        <w:t xml:space="preserve"> AS (The Yusuf </w:t>
      </w:r>
      <w:proofErr w:type="spellStart"/>
      <w:r w:rsidRPr="005F7E1B">
        <w:rPr>
          <w:rFonts w:ascii="Minion Pro" w:hAnsi="Minion Pro" w:cs="Arial"/>
          <w:i/>
        </w:rPr>
        <w:t>Cepnioglu</w:t>
      </w:r>
      <w:proofErr w:type="spellEnd"/>
      <w:r w:rsidRPr="005F7E1B">
        <w:rPr>
          <w:rFonts w:ascii="Minion Pro" w:hAnsi="Minion Pro" w:cs="Arial"/>
          <w:i/>
        </w:rPr>
        <w:t>)</w:t>
      </w:r>
      <w:r w:rsidRPr="005F7E1B">
        <w:rPr>
          <w:rStyle w:val="FootnoteReference"/>
          <w:rFonts w:ascii="Minion Pro" w:hAnsi="Minion Pro" w:cs="Arial"/>
        </w:rPr>
        <w:footnoteReference w:id="58"/>
      </w:r>
      <w:r w:rsidRPr="005F7E1B">
        <w:rPr>
          <w:rFonts w:ascii="Minion Pro" w:hAnsi="Minion Pro" w:cs="Arial"/>
        </w:rPr>
        <w:t xml:space="preserve"> gives an illustration of the sort of circumstances in which an anti-suit injunction may be granted in the absence of an applicable exclusive forum clause.</w:t>
      </w:r>
    </w:p>
    <w:p w:rsidR="00124080" w:rsidRPr="005F7E1B" w:rsidRDefault="00124080" w:rsidP="00124080">
      <w:pPr>
        <w:widowControl/>
        <w:numPr>
          <w:ilvl w:val="0"/>
          <w:numId w:val="1"/>
        </w:numPr>
        <w:suppressAutoHyphens w:val="0"/>
        <w:spacing w:after="240" w:line="360" w:lineRule="auto"/>
        <w:jc w:val="both"/>
        <w:rPr>
          <w:rFonts w:ascii="Minion Pro" w:hAnsi="Minion Pro" w:cs="Arial"/>
        </w:rPr>
      </w:pPr>
      <w:r w:rsidRPr="005F7E1B">
        <w:rPr>
          <w:rFonts w:ascii="Minion Pro" w:hAnsi="Minion Pro" w:cs="Arial"/>
        </w:rPr>
        <w:t>In that case, after a vessel ran aground on the Greek island of Mykonos, the charterers commenced arbitration proceedings in London under a time charter against the vessel’s owner. The charterers, however, also commenced proceedings in Turkey against the owner’s P&amp;I Club, under a Turkish statute giving them a right of direct action against the Club.</w:t>
      </w:r>
    </w:p>
    <w:p w:rsidR="00124080" w:rsidRPr="005F7E1B" w:rsidRDefault="00124080" w:rsidP="00124080">
      <w:pPr>
        <w:widowControl/>
        <w:numPr>
          <w:ilvl w:val="0"/>
          <w:numId w:val="1"/>
        </w:numPr>
        <w:suppressAutoHyphens w:val="0"/>
        <w:spacing w:after="240" w:line="360" w:lineRule="auto"/>
        <w:jc w:val="both"/>
        <w:rPr>
          <w:rFonts w:ascii="Minion Pro" w:hAnsi="Minion Pro" w:cs="Arial"/>
        </w:rPr>
      </w:pPr>
      <w:r w:rsidRPr="005F7E1B">
        <w:rPr>
          <w:rFonts w:ascii="Minion Pro" w:hAnsi="Minion Pro" w:cs="Arial"/>
        </w:rPr>
        <w:t xml:space="preserve">The charters applied in England for an anti-suit injunction to restrain the pursuit of the Turkish proceedings. </w:t>
      </w:r>
      <w:proofErr w:type="spellStart"/>
      <w:r w:rsidRPr="005F7E1B">
        <w:rPr>
          <w:rFonts w:ascii="Minion Pro" w:hAnsi="Minion Pro" w:cs="Arial"/>
        </w:rPr>
        <w:t>Teare</w:t>
      </w:r>
      <w:proofErr w:type="spellEnd"/>
      <w:r w:rsidRPr="005F7E1B">
        <w:rPr>
          <w:rFonts w:ascii="Minion Pro" w:hAnsi="Minion Pro" w:cs="Arial"/>
        </w:rPr>
        <w:t xml:space="preserve"> J held that the right of direct action under the Turkish statute was in substance a claim to enforce the contract between the owners and the P&amp;I Club (which contained a London arbitration clause).</w:t>
      </w:r>
    </w:p>
    <w:p w:rsidR="00124080" w:rsidRPr="005F7E1B" w:rsidRDefault="00124080" w:rsidP="00124080">
      <w:pPr>
        <w:widowControl/>
        <w:numPr>
          <w:ilvl w:val="0"/>
          <w:numId w:val="1"/>
        </w:numPr>
        <w:suppressAutoHyphens w:val="0"/>
        <w:spacing w:after="240" w:line="360" w:lineRule="auto"/>
        <w:jc w:val="both"/>
        <w:rPr>
          <w:rFonts w:ascii="Minion Pro" w:hAnsi="Minion Pro" w:cs="Arial"/>
        </w:rPr>
      </w:pPr>
      <w:r w:rsidRPr="005F7E1B">
        <w:rPr>
          <w:rFonts w:ascii="Minion Pro" w:hAnsi="Minion Pro" w:cs="Arial"/>
        </w:rPr>
        <w:t xml:space="preserve">It was held that the rule set out in </w:t>
      </w:r>
      <w:r w:rsidRPr="005F7E1B">
        <w:rPr>
          <w:rFonts w:ascii="Minion Pro" w:hAnsi="Minion Pro" w:cs="Arial"/>
          <w:i/>
        </w:rPr>
        <w:t>The Angelic Grace</w:t>
      </w:r>
      <w:r w:rsidRPr="005F7E1B">
        <w:rPr>
          <w:rFonts w:ascii="Minion Pro" w:hAnsi="Minion Pro" w:cs="Arial"/>
        </w:rPr>
        <w:t xml:space="preserve"> (i.e. that an anti-suit injunction to enforce an exclusive forum clause should be granted unless there are strong reasons not to do so) could not apply where the defendant was not actually a party to the contract containing an exclusive jurisdiction or arbitration clause, which was the case here given that the charterers were not a party to the contract between the owners and the P&amp;I Club.</w:t>
      </w:r>
    </w:p>
    <w:p w:rsidR="00124080" w:rsidRPr="005F7E1B" w:rsidRDefault="00124080" w:rsidP="00124080">
      <w:pPr>
        <w:widowControl/>
        <w:numPr>
          <w:ilvl w:val="0"/>
          <w:numId w:val="1"/>
        </w:numPr>
        <w:suppressAutoHyphens w:val="0"/>
        <w:spacing w:after="240" w:line="360" w:lineRule="auto"/>
        <w:jc w:val="both"/>
        <w:rPr>
          <w:rFonts w:ascii="Minion Pro" w:hAnsi="Minion Pro" w:cs="Arial"/>
        </w:rPr>
      </w:pPr>
      <w:r w:rsidRPr="005F7E1B">
        <w:rPr>
          <w:rFonts w:ascii="Minion Pro" w:hAnsi="Minion Pro" w:cs="Arial"/>
        </w:rPr>
        <w:t xml:space="preserve">However, </w:t>
      </w:r>
      <w:proofErr w:type="spellStart"/>
      <w:r w:rsidRPr="005F7E1B">
        <w:rPr>
          <w:rFonts w:ascii="Minion Pro" w:hAnsi="Minion Pro" w:cs="Arial"/>
        </w:rPr>
        <w:t>Teare</w:t>
      </w:r>
      <w:proofErr w:type="spellEnd"/>
      <w:r w:rsidRPr="005F7E1B">
        <w:rPr>
          <w:rFonts w:ascii="Minion Pro" w:hAnsi="Minion Pro" w:cs="Arial"/>
        </w:rPr>
        <w:t xml:space="preserve"> J nevertheless granted an anti-suit injunction. He held</w:t>
      </w:r>
      <w:r w:rsidRPr="005F7E1B">
        <w:rPr>
          <w:rStyle w:val="FootnoteReference"/>
          <w:rFonts w:ascii="Minion Pro" w:hAnsi="Minion Pro" w:cs="Arial"/>
        </w:rPr>
        <w:footnoteReference w:id="59"/>
      </w:r>
      <w:r w:rsidRPr="005F7E1B">
        <w:rPr>
          <w:rFonts w:ascii="Minion Pro" w:hAnsi="Minion Pro" w:cs="Arial"/>
        </w:rPr>
        <w:t xml:space="preserve"> that England was clearly the appropriate forum for the resolution of the dispute and that the Turkish proceedings were vexatious and oppressive. On the latter issue, he held that one should focus on the effect of the foreign proceedings on the party seeking the injunction. In this case the Turkish proceedings were held to be vexatious and oppressive because they were in substance an attempt to enforce the contract between the owners and the P&amp;I Club whilst ignoring the arbitration clause contained in that contract. </w:t>
      </w:r>
      <w:proofErr w:type="spellStart"/>
      <w:r w:rsidRPr="005F7E1B">
        <w:rPr>
          <w:rFonts w:ascii="Minion Pro" w:hAnsi="Minion Pro" w:cs="Arial"/>
        </w:rPr>
        <w:t>Teare</w:t>
      </w:r>
      <w:proofErr w:type="spellEnd"/>
      <w:r w:rsidRPr="005F7E1B">
        <w:rPr>
          <w:rFonts w:ascii="Minion Pro" w:hAnsi="Minion Pro" w:cs="Arial"/>
        </w:rPr>
        <w:t xml:space="preserve"> J also emphasised that there was a real risk that the Turkish proceedings would deprive the P&amp;I Club of the effect of the paid to be paid clause in the contract (which the Turkish court was likely to disregard).</w:t>
      </w:r>
    </w:p>
    <w:p w:rsidR="00124080" w:rsidRPr="005F7E1B" w:rsidRDefault="00124080" w:rsidP="00124080">
      <w:pPr>
        <w:widowControl/>
        <w:numPr>
          <w:ilvl w:val="0"/>
          <w:numId w:val="1"/>
        </w:numPr>
        <w:suppressAutoHyphens w:val="0"/>
        <w:spacing w:after="240" w:line="360" w:lineRule="auto"/>
        <w:jc w:val="both"/>
        <w:rPr>
          <w:rFonts w:ascii="Minion Pro" w:hAnsi="Minion Pro" w:cs="Arial"/>
        </w:rPr>
      </w:pPr>
      <w:r w:rsidRPr="005F7E1B">
        <w:rPr>
          <w:rFonts w:ascii="Minion Pro" w:hAnsi="Minion Pro" w:cs="Arial"/>
        </w:rPr>
        <w:t xml:space="preserve">However, </w:t>
      </w:r>
      <w:r w:rsidRPr="005F7E1B">
        <w:rPr>
          <w:rFonts w:ascii="Minion Pro" w:hAnsi="Minion Pro" w:cs="Arial"/>
          <w:i/>
        </w:rPr>
        <w:t xml:space="preserve">Golden Endurance Shipping SA v RMA </w:t>
      </w:r>
      <w:proofErr w:type="spellStart"/>
      <w:r w:rsidRPr="005F7E1B">
        <w:rPr>
          <w:rFonts w:ascii="Minion Pro" w:hAnsi="Minion Pro" w:cs="Arial"/>
          <w:i/>
        </w:rPr>
        <w:t>Watnaya</w:t>
      </w:r>
      <w:proofErr w:type="spellEnd"/>
      <w:r w:rsidRPr="005F7E1B">
        <w:rPr>
          <w:rFonts w:ascii="Minion Pro" w:hAnsi="Minion Pro" w:cs="Arial"/>
          <w:i/>
        </w:rPr>
        <w:t xml:space="preserve"> SA and others</w:t>
      </w:r>
      <w:r w:rsidRPr="005F7E1B">
        <w:rPr>
          <w:rFonts w:ascii="Minion Pro" w:hAnsi="Minion Pro" w:cs="Arial"/>
        </w:rPr>
        <w:t xml:space="preserve"> (</w:t>
      </w:r>
      <w:r w:rsidRPr="005F7E1B">
        <w:rPr>
          <w:rFonts w:ascii="Minion Pro" w:hAnsi="Minion Pro" w:cs="Arial"/>
          <w:i/>
        </w:rPr>
        <w:t>The Golden Endurance)</w:t>
      </w:r>
      <w:r w:rsidRPr="005F7E1B">
        <w:rPr>
          <w:rStyle w:val="FootnoteReference"/>
          <w:rFonts w:ascii="Minion Pro" w:hAnsi="Minion Pro" w:cs="Arial"/>
        </w:rPr>
        <w:footnoteReference w:id="60"/>
      </w:r>
      <w:r w:rsidRPr="005F7E1B">
        <w:rPr>
          <w:rFonts w:ascii="Minion Pro" w:hAnsi="Minion Pro" w:cs="Arial"/>
        </w:rPr>
        <w:t xml:space="preserve"> demonstrates the difficulties that can be faced by a party seeking to obtain an anti-suit injunction in the absence of an exclusive forum clause. In that case, the claimant </w:t>
      </w:r>
      <w:proofErr w:type="spellStart"/>
      <w:r w:rsidRPr="005F7E1B">
        <w:rPr>
          <w:rFonts w:ascii="Minion Pro" w:hAnsi="Minion Pro" w:cs="Arial"/>
        </w:rPr>
        <w:t>shipowner</w:t>
      </w:r>
      <w:proofErr w:type="spellEnd"/>
      <w:r w:rsidRPr="005F7E1B">
        <w:rPr>
          <w:rFonts w:ascii="Minion Pro" w:hAnsi="Minion Pro" w:cs="Arial"/>
        </w:rPr>
        <w:t>, Golden Endurance, shipped a cargo of wheat bran pellets from Gabon, Ghana and Togo to Morocco. The cargo was damaged during the voyage due to insects and mould. The insurers of the defendant consignee brought a claim in Morocco against Golden Endurance seeking damages.</w:t>
      </w:r>
    </w:p>
    <w:p w:rsidR="00124080" w:rsidRPr="005F7E1B" w:rsidRDefault="00124080" w:rsidP="00124080">
      <w:pPr>
        <w:widowControl/>
        <w:numPr>
          <w:ilvl w:val="0"/>
          <w:numId w:val="1"/>
        </w:numPr>
        <w:suppressAutoHyphens w:val="0"/>
        <w:spacing w:after="240" w:line="360" w:lineRule="auto"/>
        <w:jc w:val="both"/>
        <w:rPr>
          <w:rFonts w:ascii="Minion Pro" w:hAnsi="Minion Pro" w:cs="Arial"/>
        </w:rPr>
      </w:pPr>
      <w:r w:rsidRPr="005F7E1B">
        <w:rPr>
          <w:rFonts w:ascii="Minion Pro" w:hAnsi="Minion Pro" w:cs="Arial"/>
        </w:rPr>
        <w:t xml:space="preserve">Golden Endurance brought a claim in England seeking a declaration of non-liability and an anti-suit injunction to restrain the pursuit of the Moroccan proceedings. If the claim had proceeded in Morocco, the Moroccan courts would have applied the Hamburg Rules whereas the English court would apply the Hague Rules, which were more favourable to Golden Endurance. </w:t>
      </w:r>
    </w:p>
    <w:p w:rsidR="00124080" w:rsidRPr="005F7E1B" w:rsidRDefault="00124080" w:rsidP="00124080">
      <w:pPr>
        <w:widowControl/>
        <w:numPr>
          <w:ilvl w:val="0"/>
          <w:numId w:val="1"/>
        </w:numPr>
        <w:suppressAutoHyphens w:val="0"/>
        <w:spacing w:after="240" w:line="360" w:lineRule="auto"/>
        <w:jc w:val="both"/>
        <w:rPr>
          <w:rFonts w:ascii="Minion Pro" w:hAnsi="Minion Pro" w:cs="Arial"/>
        </w:rPr>
      </w:pPr>
      <w:r w:rsidRPr="005F7E1B">
        <w:rPr>
          <w:rFonts w:ascii="Minion Pro" w:hAnsi="Minion Pro" w:cs="Arial"/>
        </w:rPr>
        <w:t>An interim anti-suit injunction was granted in respect of one of the bills of lading on the basis that it incorporated both an English law clause and a London arbitration clause. The two other bills of lading were held to incorporate an English law clause but no arbitration clause or jurisdiction clause.</w:t>
      </w:r>
    </w:p>
    <w:p w:rsidR="00124080" w:rsidRPr="005F7E1B" w:rsidRDefault="00124080" w:rsidP="00124080">
      <w:pPr>
        <w:widowControl/>
        <w:numPr>
          <w:ilvl w:val="0"/>
          <w:numId w:val="1"/>
        </w:numPr>
        <w:suppressAutoHyphens w:val="0"/>
        <w:spacing w:after="240" w:line="360" w:lineRule="auto"/>
        <w:jc w:val="both"/>
        <w:rPr>
          <w:rFonts w:ascii="Minion Pro" w:hAnsi="Minion Pro" w:cs="Arial"/>
        </w:rPr>
      </w:pPr>
      <w:r w:rsidRPr="005F7E1B">
        <w:rPr>
          <w:rFonts w:ascii="Minion Pro" w:hAnsi="Minion Pro" w:cs="Arial"/>
        </w:rPr>
        <w:t xml:space="preserve">Burton J held that England was clearly the appropriate forum for the resolution of the dispute concerning those two bills of lading on the basis that the contracts were governed by English law. He referred to Lord </w:t>
      </w:r>
      <w:proofErr w:type="spellStart"/>
      <w:r w:rsidRPr="005F7E1B">
        <w:rPr>
          <w:rFonts w:ascii="Minion Pro" w:hAnsi="Minion Pro" w:cs="Arial"/>
        </w:rPr>
        <w:t>Mance’s</w:t>
      </w:r>
      <w:proofErr w:type="spellEnd"/>
      <w:r w:rsidRPr="005F7E1B">
        <w:rPr>
          <w:rFonts w:ascii="Minion Pro" w:hAnsi="Minion Pro" w:cs="Arial"/>
        </w:rPr>
        <w:t xml:space="preserve"> judgment in </w:t>
      </w:r>
      <w:r w:rsidRPr="005F7E1B">
        <w:rPr>
          <w:rFonts w:ascii="Minion Pro" w:hAnsi="Minion Pro" w:cs="Arial"/>
          <w:i/>
        </w:rPr>
        <w:t xml:space="preserve">VTB Capital Plc v </w:t>
      </w:r>
      <w:proofErr w:type="spellStart"/>
      <w:r w:rsidRPr="005F7E1B">
        <w:rPr>
          <w:rFonts w:ascii="Minion Pro" w:hAnsi="Minion Pro" w:cs="Arial"/>
          <w:i/>
        </w:rPr>
        <w:t>Nutritek</w:t>
      </w:r>
      <w:proofErr w:type="spellEnd"/>
      <w:r w:rsidRPr="005F7E1B">
        <w:rPr>
          <w:rFonts w:ascii="Minion Pro" w:hAnsi="Minion Pro" w:cs="Arial"/>
          <w:i/>
        </w:rPr>
        <w:t xml:space="preserve"> International Corp.</w:t>
      </w:r>
      <w:r w:rsidRPr="005F7E1B">
        <w:rPr>
          <w:rFonts w:ascii="Minion Pro" w:hAnsi="Minion Pro" w:cs="Arial"/>
        </w:rPr>
        <w:t>, where the latter said that “</w:t>
      </w:r>
      <w:r w:rsidRPr="005F7E1B">
        <w:rPr>
          <w:rFonts w:ascii="Minion Pro" w:hAnsi="Minion Pro" w:cs="Arial"/>
          <w:i/>
        </w:rPr>
        <w:t>other things being equal, a case should be tried in the country whose law applies</w:t>
      </w:r>
      <w:r w:rsidRPr="005F7E1B">
        <w:rPr>
          <w:rFonts w:ascii="Minion Pro" w:hAnsi="Minion Pro" w:cs="Arial"/>
        </w:rPr>
        <w:t>”.</w:t>
      </w:r>
      <w:r w:rsidRPr="005F7E1B">
        <w:rPr>
          <w:rStyle w:val="FootnoteReference"/>
          <w:rFonts w:ascii="Minion Pro" w:hAnsi="Minion Pro" w:cs="Arial"/>
        </w:rPr>
        <w:footnoteReference w:id="61"/>
      </w:r>
      <w:r w:rsidRPr="005F7E1B">
        <w:rPr>
          <w:rFonts w:ascii="Minion Pro" w:hAnsi="Minion Pro" w:cs="Arial"/>
        </w:rPr>
        <w:t xml:space="preserve"> Burton J emphasised that Golden Endurance would lose significant advantages if the claim proceeded in Morocco and the Hamburg Rules were to be applied.</w:t>
      </w:r>
    </w:p>
    <w:p w:rsidR="00124080" w:rsidRPr="005F7E1B" w:rsidRDefault="00124080" w:rsidP="00124080">
      <w:pPr>
        <w:widowControl/>
        <w:numPr>
          <w:ilvl w:val="0"/>
          <w:numId w:val="1"/>
        </w:numPr>
        <w:suppressAutoHyphens w:val="0"/>
        <w:spacing w:after="240" w:line="360" w:lineRule="auto"/>
        <w:jc w:val="both"/>
        <w:rPr>
          <w:rFonts w:ascii="Minion Pro" w:hAnsi="Minion Pro" w:cs="Arial"/>
        </w:rPr>
      </w:pPr>
      <w:r w:rsidRPr="005F7E1B">
        <w:rPr>
          <w:rFonts w:ascii="Minion Pro" w:hAnsi="Minion Pro" w:cs="Arial"/>
        </w:rPr>
        <w:t xml:space="preserve">However, Burton J refused to grant an anti-suit injunction in respect of the contracts evidenced by these two bills of lading. Whilst England was the natural forum for the dispute and refusing an injunction would give rise to parallel proceedings in England and Morocco concerning the same issues, there was no basis for saying that the Moroccan proceedings were vexatious or oppressive. Burton J emphasised that in </w:t>
      </w:r>
      <w:r w:rsidRPr="005F7E1B">
        <w:rPr>
          <w:rFonts w:ascii="Minion Pro" w:hAnsi="Minion Pro" w:cs="Arial"/>
          <w:i/>
        </w:rPr>
        <w:t>Deutsche Bank v Highland Crusader Offshore Partners</w:t>
      </w:r>
      <w:r w:rsidRPr="005F7E1B">
        <w:rPr>
          <w:rFonts w:ascii="Minion Pro" w:hAnsi="Minion Pro" w:cs="Arial"/>
        </w:rPr>
        <w:t xml:space="preserve">, </w:t>
      </w:r>
      <w:proofErr w:type="spellStart"/>
      <w:r w:rsidRPr="005F7E1B">
        <w:rPr>
          <w:rFonts w:ascii="Minion Pro" w:hAnsi="Minion Pro" w:cs="Arial"/>
        </w:rPr>
        <w:t>Toulson</w:t>
      </w:r>
      <w:proofErr w:type="spellEnd"/>
      <w:r w:rsidRPr="005F7E1B">
        <w:rPr>
          <w:rFonts w:ascii="Minion Pro" w:hAnsi="Minion Pro" w:cs="Arial"/>
        </w:rPr>
        <w:t xml:space="preserve"> LJ had clearly stated that: “</w:t>
      </w:r>
      <w:r w:rsidRPr="005F7E1B">
        <w:rPr>
          <w:rFonts w:ascii="Minion Pro" w:hAnsi="Minion Pro" w:cs="Arial"/>
          <w:i/>
        </w:rPr>
        <w:t>it does not follow that because parallel proceedings are undesirable they are necessarily oppressive</w:t>
      </w:r>
      <w:r w:rsidRPr="005F7E1B">
        <w:rPr>
          <w:rFonts w:ascii="Minion Pro" w:hAnsi="Minion Pro" w:cs="Arial"/>
        </w:rPr>
        <w:t>”.</w:t>
      </w:r>
      <w:r w:rsidRPr="005F7E1B">
        <w:rPr>
          <w:rStyle w:val="FootnoteReference"/>
          <w:rFonts w:ascii="Minion Pro" w:hAnsi="Minion Pro" w:cs="Arial"/>
        </w:rPr>
        <w:footnoteReference w:id="62"/>
      </w:r>
      <w:r w:rsidRPr="005F7E1B">
        <w:rPr>
          <w:rFonts w:ascii="Minion Pro" w:hAnsi="Minion Pro" w:cs="Arial"/>
        </w:rPr>
        <w:t xml:space="preserve"> The fact that the Moroccan courts would not apply the Hague Rules did not render the Moroccan proceedings vexatious or oppressive.</w:t>
      </w:r>
    </w:p>
    <w:p w:rsidR="00124080" w:rsidRPr="005F7E1B" w:rsidRDefault="00124080" w:rsidP="00124080">
      <w:pPr>
        <w:numPr>
          <w:ilvl w:val="0"/>
          <w:numId w:val="1"/>
        </w:numPr>
        <w:spacing w:after="240" w:line="360" w:lineRule="auto"/>
        <w:jc w:val="both"/>
        <w:rPr>
          <w:rFonts w:ascii="Minion Pro" w:hAnsi="Minion Pro" w:cs="Arial"/>
        </w:rPr>
      </w:pPr>
      <w:r w:rsidRPr="005F7E1B">
        <w:rPr>
          <w:rFonts w:ascii="Minion Pro" w:hAnsi="Minion Pro" w:cs="Arial"/>
        </w:rPr>
        <w:t xml:space="preserve">Post </w:t>
      </w:r>
      <w:r w:rsidRPr="005F7E1B">
        <w:rPr>
          <w:rFonts w:ascii="Minion Pro" w:hAnsi="Minion Pro" w:cs="Arial"/>
          <w:i/>
        </w:rPr>
        <w:t>Gazprom</w:t>
      </w:r>
      <w:r w:rsidRPr="005F7E1B">
        <w:rPr>
          <w:rFonts w:ascii="Minion Pro" w:hAnsi="Minion Pro" w:cs="Arial"/>
        </w:rPr>
        <w:t>, it is likely that there will be an increase in anti-suit injunctions sought from and/or granted by English tribunals rather than the commercial court, at least where there is a European element. As with anti-suit injunctions, there is the prospect at least in theory of different tribunals being asked to issue anti-arbitration injunctions against each other.</w:t>
      </w:r>
    </w:p>
    <w:p w:rsidR="00124080" w:rsidRPr="005F7E1B" w:rsidRDefault="00124080" w:rsidP="00124080">
      <w:pPr>
        <w:numPr>
          <w:ilvl w:val="0"/>
          <w:numId w:val="1"/>
        </w:numPr>
        <w:spacing w:after="240" w:line="360" w:lineRule="auto"/>
        <w:jc w:val="both"/>
        <w:rPr>
          <w:rFonts w:ascii="Minion Pro" w:hAnsi="Minion Pro" w:cs="Arial"/>
        </w:rPr>
      </w:pPr>
      <w:r w:rsidRPr="005F7E1B">
        <w:rPr>
          <w:rFonts w:ascii="Minion Pro" w:hAnsi="Minion Pro" w:cs="Arial"/>
        </w:rPr>
        <w:t xml:space="preserve">The Cross Border Insolvency Rules are playing an increasingly prominent role in maritime disputes. Their scope and applicability are beyond the scope of this talk but they may have the effect </w:t>
      </w:r>
      <w:proofErr w:type="gramStart"/>
      <w:r w:rsidRPr="005F7E1B">
        <w:rPr>
          <w:rFonts w:ascii="Minion Pro" w:hAnsi="Minion Pro" w:cs="Arial"/>
        </w:rPr>
        <w:t>of  staying</w:t>
      </w:r>
      <w:proofErr w:type="gramEnd"/>
      <w:r w:rsidRPr="005F7E1B">
        <w:rPr>
          <w:rFonts w:ascii="Minion Pro" w:hAnsi="Minion Pro" w:cs="Arial"/>
        </w:rPr>
        <w:t xml:space="preserve"> English court proceedings or arbitrations which are otherwise well  founded. Where a foreign party is insolvent there may be a dispute as to whether certain actions are by their nature concerned with contractual claims or insolvency.  The bankruptcy of the Danish </w:t>
      </w:r>
      <w:proofErr w:type="gramStart"/>
      <w:r w:rsidRPr="005F7E1B">
        <w:rPr>
          <w:rFonts w:ascii="Minion Pro" w:hAnsi="Minion Pro" w:cs="Arial"/>
        </w:rPr>
        <w:t>bunker  supplier</w:t>
      </w:r>
      <w:proofErr w:type="gramEnd"/>
      <w:r w:rsidRPr="005F7E1B">
        <w:rPr>
          <w:rFonts w:ascii="Minion Pro" w:hAnsi="Minion Pro" w:cs="Arial"/>
        </w:rPr>
        <w:t xml:space="preserve"> O.W. Supply &amp; Trading is currently giving rise to much litigation in numerous jurisdictions.  In </w:t>
      </w:r>
      <w:proofErr w:type="spellStart"/>
      <w:r w:rsidRPr="005F7E1B">
        <w:rPr>
          <w:rFonts w:ascii="Minion Pro" w:hAnsi="Minion Pro" w:cs="Arial"/>
          <w:i/>
        </w:rPr>
        <w:t>Swissmarine</w:t>
      </w:r>
      <w:proofErr w:type="spellEnd"/>
      <w:r w:rsidRPr="005F7E1B">
        <w:rPr>
          <w:rFonts w:ascii="Minion Pro" w:hAnsi="Minion Pro" w:cs="Arial"/>
          <w:i/>
        </w:rPr>
        <w:t xml:space="preserve"> v O.W. Supply &amp; Trading</w:t>
      </w:r>
      <w:r w:rsidRPr="005F7E1B">
        <w:rPr>
          <w:rFonts w:ascii="Minion Pro" w:hAnsi="Minion Pro" w:cs="Arial"/>
        </w:rPr>
        <w:t xml:space="preserve"> [2015] </w:t>
      </w:r>
      <w:proofErr w:type="gramStart"/>
      <w:r w:rsidRPr="005F7E1B">
        <w:rPr>
          <w:rFonts w:ascii="Minion Pro" w:hAnsi="Minion Pro" w:cs="Arial"/>
        </w:rPr>
        <w:t>EWHC  1571</w:t>
      </w:r>
      <w:proofErr w:type="gramEnd"/>
      <w:r w:rsidRPr="005F7E1B">
        <w:rPr>
          <w:rFonts w:ascii="Minion Pro" w:hAnsi="Minion Pro" w:cs="Arial"/>
        </w:rPr>
        <w:t xml:space="preserve"> (</w:t>
      </w:r>
      <w:proofErr w:type="spellStart"/>
      <w:r w:rsidRPr="005F7E1B">
        <w:rPr>
          <w:rFonts w:ascii="Minion Pro" w:hAnsi="Minion Pro" w:cs="Arial"/>
        </w:rPr>
        <w:t>Comm</w:t>
      </w:r>
      <w:proofErr w:type="spellEnd"/>
      <w:r w:rsidRPr="005F7E1B">
        <w:rPr>
          <w:rFonts w:ascii="Minion Pro" w:hAnsi="Minion Pro" w:cs="Arial"/>
        </w:rPr>
        <w:t>) the claimant sought an anti-suit injunction to restrain Danish proceedings relying on an English jurisdiction clause in an underlying ISDA Master Agreement. The application failed, primarily on the basis that the Danish claim was concerned with insolvency and not contractual claims.</w:t>
      </w:r>
    </w:p>
    <w:p w:rsidR="00124080" w:rsidRPr="005F7E1B" w:rsidRDefault="00124080" w:rsidP="00124080">
      <w:pPr>
        <w:spacing w:after="240" w:line="360" w:lineRule="auto"/>
        <w:ind w:left="1701"/>
        <w:jc w:val="both"/>
        <w:rPr>
          <w:rFonts w:ascii="Minion Pro" w:hAnsi="Minion Pro" w:cs="Arial"/>
          <w:sz w:val="22"/>
        </w:rPr>
      </w:pPr>
    </w:p>
    <w:p w:rsidR="00124080" w:rsidRPr="005F7E1B" w:rsidRDefault="00124080" w:rsidP="00124080">
      <w:pPr>
        <w:spacing w:line="360" w:lineRule="auto"/>
        <w:jc w:val="right"/>
      </w:pPr>
      <w:r>
        <w:t>RICHARD LORD QC</w:t>
      </w:r>
    </w:p>
    <w:p w:rsidR="00124080" w:rsidRPr="005F7E1B" w:rsidRDefault="00124080" w:rsidP="00124080">
      <w:pPr>
        <w:spacing w:line="360" w:lineRule="auto"/>
        <w:jc w:val="right"/>
      </w:pPr>
      <w:r w:rsidRPr="005F7E1B">
        <w:t>BRICK COURT CHAMBERS</w:t>
      </w:r>
    </w:p>
    <w:p w:rsidR="00124080" w:rsidRPr="005F7E1B" w:rsidRDefault="00124080" w:rsidP="00124080">
      <w:pPr>
        <w:spacing w:line="360" w:lineRule="auto"/>
        <w:jc w:val="right"/>
      </w:pPr>
      <w:r w:rsidRPr="005F7E1B">
        <w:t>10</w:t>
      </w:r>
      <w:r w:rsidRPr="007B20CA">
        <w:rPr>
          <w:vertAlign w:val="superscript"/>
        </w:rPr>
        <w:t>th</w:t>
      </w:r>
      <w:r>
        <w:t xml:space="preserve"> </w:t>
      </w:r>
      <w:r w:rsidRPr="005F7E1B">
        <w:t>JUNE 2015</w:t>
      </w:r>
    </w:p>
    <w:p w:rsidR="00124080" w:rsidRPr="005F7E1B" w:rsidRDefault="00464D2F" w:rsidP="00124080">
      <w:pPr>
        <w:spacing w:after="240"/>
        <w:ind w:left="4320" w:firstLine="720"/>
        <w:jc w:val="both"/>
        <w:rPr>
          <w:rFonts w:ascii="Minion Pro" w:hAnsi="Minion Pro" w:cs="Arial"/>
        </w:rPr>
      </w:pPr>
      <w:hyperlink r:id="rId9" w:history="1">
        <w:r w:rsidR="00124080" w:rsidRPr="001B02CC">
          <w:rPr>
            <w:rStyle w:val="Hyperlink"/>
            <w:rFonts w:ascii="Minion Pro" w:hAnsi="Minion Pro" w:cs="Arial"/>
          </w:rPr>
          <w:t>richard.lord@brickcourt.co.uk</w:t>
        </w:r>
      </w:hyperlink>
      <w:r w:rsidR="00124080" w:rsidRPr="005F7E1B">
        <w:rPr>
          <w:rFonts w:ascii="Minion Pro" w:hAnsi="Minion Pro" w:cs="Arial"/>
        </w:rPr>
        <w:t xml:space="preserve"> </w:t>
      </w:r>
    </w:p>
    <w:p w:rsidR="00124080" w:rsidRPr="005F7E1B" w:rsidRDefault="00464D2F" w:rsidP="00124080">
      <w:pPr>
        <w:spacing w:after="240"/>
        <w:ind w:left="5040"/>
        <w:jc w:val="both"/>
        <w:rPr>
          <w:rFonts w:ascii="Minion Pro" w:hAnsi="Minion Pro" w:cs="Arial"/>
        </w:rPr>
      </w:pPr>
      <w:hyperlink r:id="rId10" w:history="1">
        <w:r w:rsidR="00124080" w:rsidRPr="001B02CC">
          <w:rPr>
            <w:rStyle w:val="Hyperlink"/>
            <w:rFonts w:ascii="Minion Pro" w:hAnsi="Minion Pro" w:cs="Arial"/>
          </w:rPr>
          <w:t>michael.bolding@brickcourt.co.uk</w:t>
        </w:r>
      </w:hyperlink>
    </w:p>
    <w:p w:rsidR="00E35380" w:rsidRPr="00464D2F" w:rsidRDefault="00464D2F" w:rsidP="00464D2F">
      <w:pPr>
        <w:spacing w:after="240"/>
        <w:ind w:left="5040"/>
        <w:jc w:val="both"/>
        <w:rPr>
          <w:rFonts w:ascii="Minion Pro" w:hAnsi="Minion Pro" w:cs="Arial"/>
        </w:rPr>
      </w:pPr>
      <w:hyperlink r:id="rId11" w:history="1">
        <w:r w:rsidR="00124080" w:rsidRPr="001B02CC">
          <w:rPr>
            <w:rStyle w:val="Hyperlink"/>
            <w:rFonts w:ascii="Minion Pro" w:hAnsi="Minion Pro" w:cs="Arial"/>
          </w:rPr>
          <w:t>emily.mackenzie@brickcourt.co.uk</w:t>
        </w:r>
      </w:hyperlink>
      <w:bookmarkStart w:id="3" w:name="_GoBack"/>
      <w:bookmarkEnd w:id="3"/>
    </w:p>
    <w:sectPr w:rsidR="00E35380" w:rsidRPr="00464D2F" w:rsidSect="00EC0C2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080" w:rsidRDefault="00124080" w:rsidP="00124080">
      <w:r>
        <w:separator/>
      </w:r>
    </w:p>
  </w:endnote>
  <w:endnote w:type="continuationSeparator" w:id="0">
    <w:p w:rsidR="00124080" w:rsidRDefault="00124080" w:rsidP="0012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C7A" w:rsidRDefault="00464D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C7A" w:rsidRDefault="00464D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C7A" w:rsidRDefault="00464D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080" w:rsidRDefault="00124080" w:rsidP="00124080">
      <w:r>
        <w:separator/>
      </w:r>
    </w:p>
  </w:footnote>
  <w:footnote w:type="continuationSeparator" w:id="0">
    <w:p w:rsidR="00124080" w:rsidRDefault="00124080" w:rsidP="00124080">
      <w:r>
        <w:continuationSeparator/>
      </w:r>
    </w:p>
  </w:footnote>
  <w:footnote w:id="1">
    <w:p w:rsidR="00124080" w:rsidRPr="00720F1D" w:rsidRDefault="00124080" w:rsidP="00124080">
      <w:pPr>
        <w:pStyle w:val="FootnoteText"/>
        <w:spacing w:after="120"/>
        <w:ind w:left="567" w:hanging="567"/>
        <w:jc w:val="both"/>
        <w:rPr>
          <w:rFonts w:ascii="Arial" w:hAnsi="Arial" w:cs="Arial"/>
        </w:rPr>
      </w:pPr>
      <w:r w:rsidRPr="00720F1D">
        <w:rPr>
          <w:rStyle w:val="FootnoteReference"/>
          <w:rFonts w:ascii="Arial" w:hAnsi="Arial" w:cs="Arial"/>
        </w:rPr>
        <w:footnoteRef/>
      </w:r>
      <w:r w:rsidRPr="00720F1D">
        <w:rPr>
          <w:rFonts w:ascii="Arial" w:hAnsi="Arial" w:cs="Arial"/>
        </w:rPr>
        <w:t xml:space="preserve"> </w:t>
      </w:r>
      <w:r>
        <w:rPr>
          <w:rFonts w:ascii="Arial" w:hAnsi="Arial" w:cs="Arial"/>
        </w:rPr>
        <w:tab/>
      </w:r>
      <w:r w:rsidRPr="00720F1D">
        <w:rPr>
          <w:rFonts w:ascii="Arial" w:hAnsi="Arial" w:cs="Arial"/>
        </w:rPr>
        <w:t xml:space="preserve">For a recent example see </w:t>
      </w:r>
      <w:proofErr w:type="spellStart"/>
      <w:r w:rsidRPr="00720F1D">
        <w:rPr>
          <w:rFonts w:ascii="Arial" w:hAnsi="Arial" w:cs="Arial"/>
          <w:bCs/>
          <w:i/>
          <w:kern w:val="36"/>
        </w:rPr>
        <w:t>Wah</w:t>
      </w:r>
      <w:proofErr w:type="spellEnd"/>
      <w:r w:rsidRPr="00720F1D">
        <w:rPr>
          <w:rFonts w:ascii="Arial" w:hAnsi="Arial" w:cs="Arial"/>
          <w:bCs/>
          <w:i/>
          <w:kern w:val="36"/>
        </w:rPr>
        <w:t xml:space="preserve"> v Grant Thornton International Ltd</w:t>
      </w:r>
      <w:r w:rsidRPr="00720F1D">
        <w:rPr>
          <w:rFonts w:ascii="Arial" w:hAnsi="Arial" w:cs="Arial"/>
          <w:bCs/>
          <w:kern w:val="36"/>
        </w:rPr>
        <w:t xml:space="preserve"> [2013] 1 Lloyd's Rep. 11</w:t>
      </w:r>
    </w:p>
  </w:footnote>
  <w:footnote w:id="2">
    <w:p w:rsidR="00124080" w:rsidRPr="00720F1D" w:rsidRDefault="00124080" w:rsidP="00124080">
      <w:pPr>
        <w:pStyle w:val="FootnoteText"/>
        <w:spacing w:after="120"/>
        <w:ind w:left="567" w:hanging="567"/>
        <w:jc w:val="both"/>
        <w:rPr>
          <w:rFonts w:ascii="Arial" w:hAnsi="Arial" w:cs="Arial"/>
        </w:rPr>
      </w:pPr>
      <w:r w:rsidRPr="00720F1D">
        <w:rPr>
          <w:rStyle w:val="FootnoteReference"/>
          <w:rFonts w:ascii="Arial" w:hAnsi="Arial" w:cs="Arial"/>
        </w:rPr>
        <w:footnoteRef/>
      </w:r>
      <w:r w:rsidRPr="00720F1D">
        <w:rPr>
          <w:rFonts w:ascii="Arial" w:hAnsi="Arial" w:cs="Arial"/>
        </w:rPr>
        <w:t xml:space="preserve"> </w:t>
      </w:r>
      <w:r>
        <w:rPr>
          <w:rFonts w:ascii="Arial" w:hAnsi="Arial" w:cs="Arial"/>
        </w:rPr>
        <w:tab/>
      </w:r>
      <w:r w:rsidRPr="00720F1D">
        <w:rPr>
          <w:rFonts w:ascii="Arial" w:hAnsi="Arial" w:cs="Arial"/>
        </w:rPr>
        <w:t xml:space="preserve">For a recent example see </w:t>
      </w:r>
      <w:r w:rsidRPr="00720F1D">
        <w:rPr>
          <w:rFonts w:ascii="Arial" w:hAnsi="Arial" w:cs="Arial"/>
          <w:bCs/>
          <w:i/>
          <w:kern w:val="36"/>
        </w:rPr>
        <w:t xml:space="preserve">Toyota Tsusho Sugar Trading Ltd v </w:t>
      </w:r>
      <w:proofErr w:type="spellStart"/>
      <w:r w:rsidRPr="00720F1D">
        <w:rPr>
          <w:rFonts w:ascii="Arial" w:hAnsi="Arial" w:cs="Arial"/>
          <w:bCs/>
          <w:i/>
          <w:kern w:val="36"/>
        </w:rPr>
        <w:t>Prolat</w:t>
      </w:r>
      <w:proofErr w:type="spellEnd"/>
      <w:r w:rsidRPr="00720F1D">
        <w:rPr>
          <w:rFonts w:ascii="Arial" w:hAnsi="Arial" w:cs="Arial"/>
          <w:bCs/>
          <w:i/>
          <w:kern w:val="36"/>
        </w:rPr>
        <w:t xml:space="preserve"> S.R.L</w:t>
      </w:r>
      <w:r w:rsidRPr="00720F1D">
        <w:rPr>
          <w:rFonts w:ascii="Arial" w:hAnsi="Arial" w:cs="Arial"/>
          <w:bCs/>
          <w:kern w:val="36"/>
        </w:rPr>
        <w:t xml:space="preserve"> [2014] EWHC 3649</w:t>
      </w:r>
    </w:p>
  </w:footnote>
  <w:footnote w:id="3">
    <w:p w:rsidR="00124080" w:rsidRPr="00720F1D" w:rsidRDefault="00124080" w:rsidP="00124080">
      <w:pPr>
        <w:pStyle w:val="FootnoteText"/>
        <w:spacing w:after="120"/>
        <w:ind w:left="567" w:hanging="567"/>
        <w:jc w:val="both"/>
        <w:rPr>
          <w:rFonts w:ascii="Arial" w:hAnsi="Arial" w:cs="Arial"/>
        </w:rPr>
      </w:pPr>
      <w:r w:rsidRPr="00720F1D">
        <w:rPr>
          <w:rStyle w:val="FootnoteReference"/>
          <w:rFonts w:ascii="Arial" w:hAnsi="Arial" w:cs="Arial"/>
        </w:rPr>
        <w:footnoteRef/>
      </w:r>
      <w:r w:rsidRPr="00720F1D">
        <w:rPr>
          <w:rFonts w:ascii="Arial" w:hAnsi="Arial" w:cs="Arial"/>
        </w:rPr>
        <w:t xml:space="preserve"> </w:t>
      </w:r>
      <w:r>
        <w:rPr>
          <w:rFonts w:ascii="Arial" w:hAnsi="Arial" w:cs="Arial"/>
        </w:rPr>
        <w:tab/>
      </w:r>
      <w:r w:rsidRPr="00720F1D">
        <w:rPr>
          <w:rFonts w:ascii="Arial" w:hAnsi="Arial" w:cs="Arial"/>
        </w:rPr>
        <w:t>[2010] 2 Lloyd's Rep. 691</w:t>
      </w:r>
    </w:p>
  </w:footnote>
  <w:footnote w:id="4">
    <w:p w:rsidR="00124080" w:rsidRPr="00720F1D" w:rsidRDefault="00124080" w:rsidP="00124080">
      <w:pPr>
        <w:pStyle w:val="FootnoteText"/>
        <w:spacing w:after="120"/>
        <w:ind w:left="567" w:hanging="567"/>
        <w:jc w:val="both"/>
        <w:rPr>
          <w:rFonts w:ascii="Arial" w:hAnsi="Arial" w:cs="Arial"/>
        </w:rPr>
      </w:pPr>
      <w:r w:rsidRPr="00720F1D">
        <w:rPr>
          <w:rStyle w:val="FootnoteReference"/>
          <w:rFonts w:ascii="Arial" w:hAnsi="Arial" w:cs="Arial"/>
        </w:rPr>
        <w:footnoteRef/>
      </w:r>
      <w:r w:rsidRPr="00720F1D">
        <w:rPr>
          <w:rFonts w:ascii="Arial" w:hAnsi="Arial" w:cs="Arial"/>
        </w:rPr>
        <w:t xml:space="preserve"> </w:t>
      </w:r>
      <w:r>
        <w:rPr>
          <w:rFonts w:ascii="Arial" w:hAnsi="Arial" w:cs="Arial"/>
        </w:rPr>
        <w:tab/>
      </w:r>
      <w:r w:rsidRPr="00720F1D">
        <w:rPr>
          <w:rFonts w:ascii="Arial" w:hAnsi="Arial" w:cs="Arial"/>
        </w:rPr>
        <w:t>On 17 February 2011 the Paris Court of Appeal concluded that under French law the Government of Pakistan was bound by the arbitration clause</w:t>
      </w:r>
      <w:r>
        <w:rPr>
          <w:rFonts w:ascii="Arial" w:hAnsi="Arial" w:cs="Arial"/>
        </w:rPr>
        <w:t>.</w:t>
      </w:r>
    </w:p>
  </w:footnote>
  <w:footnote w:id="5">
    <w:p w:rsidR="00124080" w:rsidRPr="00720F1D" w:rsidRDefault="00124080" w:rsidP="00124080">
      <w:pPr>
        <w:pStyle w:val="FootnoteText"/>
        <w:spacing w:after="120"/>
        <w:ind w:left="567" w:hanging="567"/>
        <w:jc w:val="both"/>
        <w:rPr>
          <w:rFonts w:ascii="Arial" w:hAnsi="Arial" w:cs="Arial"/>
        </w:rPr>
      </w:pPr>
      <w:r w:rsidRPr="00720F1D">
        <w:rPr>
          <w:rStyle w:val="FootnoteReference"/>
          <w:rFonts w:ascii="Arial" w:hAnsi="Arial" w:cs="Arial"/>
        </w:rPr>
        <w:footnoteRef/>
      </w:r>
      <w:r w:rsidRPr="00720F1D">
        <w:rPr>
          <w:rFonts w:ascii="Arial" w:hAnsi="Arial" w:cs="Arial"/>
        </w:rPr>
        <w:t xml:space="preserve"> </w:t>
      </w:r>
      <w:r>
        <w:rPr>
          <w:rFonts w:ascii="Arial" w:hAnsi="Arial" w:cs="Arial"/>
        </w:rPr>
        <w:tab/>
      </w:r>
      <w:r w:rsidRPr="00720F1D">
        <w:rPr>
          <w:rFonts w:ascii="Arial" w:hAnsi="Arial" w:cs="Arial"/>
        </w:rPr>
        <w:t xml:space="preserve">Where the courts have referred to such a concept it is usually with disfavour: </w:t>
      </w:r>
      <w:bookmarkStart w:id="1" w:name="para12"/>
      <w:proofErr w:type="spellStart"/>
      <w:r w:rsidRPr="00720F1D">
        <w:rPr>
          <w:rFonts w:ascii="Arial" w:hAnsi="Arial" w:cs="Arial"/>
          <w:bCs/>
          <w:i/>
        </w:rPr>
        <w:t>Naviera</w:t>
      </w:r>
      <w:proofErr w:type="spellEnd"/>
      <w:r w:rsidRPr="00720F1D">
        <w:rPr>
          <w:rFonts w:ascii="Arial" w:hAnsi="Arial" w:cs="Arial"/>
          <w:bCs/>
          <w:i/>
        </w:rPr>
        <w:t xml:space="preserve"> </w:t>
      </w:r>
      <w:proofErr w:type="spellStart"/>
      <w:r w:rsidRPr="00720F1D">
        <w:rPr>
          <w:rFonts w:ascii="Arial" w:hAnsi="Arial" w:cs="Arial"/>
          <w:bCs/>
          <w:i/>
        </w:rPr>
        <w:t>Amazonica</w:t>
      </w:r>
      <w:proofErr w:type="spellEnd"/>
      <w:r w:rsidRPr="00720F1D">
        <w:rPr>
          <w:rFonts w:ascii="Arial" w:hAnsi="Arial" w:cs="Arial"/>
          <w:bCs/>
          <w:i/>
        </w:rPr>
        <w:t xml:space="preserve"> </w:t>
      </w:r>
      <w:proofErr w:type="spellStart"/>
      <w:r w:rsidRPr="00720F1D">
        <w:rPr>
          <w:rFonts w:ascii="Arial" w:hAnsi="Arial" w:cs="Arial"/>
          <w:bCs/>
          <w:i/>
        </w:rPr>
        <w:t>Peruana</w:t>
      </w:r>
      <w:proofErr w:type="spellEnd"/>
      <w:r w:rsidRPr="00720F1D">
        <w:rPr>
          <w:rFonts w:ascii="Arial" w:hAnsi="Arial" w:cs="Arial"/>
          <w:bCs/>
          <w:i/>
        </w:rPr>
        <w:t xml:space="preserve"> SA v </w:t>
      </w:r>
      <w:proofErr w:type="spellStart"/>
      <w:r w:rsidRPr="00720F1D">
        <w:rPr>
          <w:rFonts w:ascii="Arial" w:hAnsi="Arial" w:cs="Arial"/>
          <w:bCs/>
          <w:i/>
        </w:rPr>
        <w:t>Compania</w:t>
      </w:r>
      <w:proofErr w:type="spellEnd"/>
      <w:r w:rsidRPr="00720F1D">
        <w:rPr>
          <w:rFonts w:ascii="Arial" w:hAnsi="Arial" w:cs="Arial"/>
          <w:i/>
        </w:rPr>
        <w:t xml:space="preserve"> </w:t>
      </w:r>
      <w:proofErr w:type="spellStart"/>
      <w:r w:rsidRPr="00720F1D">
        <w:rPr>
          <w:rFonts w:ascii="Arial" w:hAnsi="Arial" w:cs="Arial"/>
          <w:bCs/>
          <w:i/>
        </w:rPr>
        <w:t>Internacionale</w:t>
      </w:r>
      <w:proofErr w:type="spellEnd"/>
      <w:r w:rsidRPr="00720F1D">
        <w:rPr>
          <w:rFonts w:ascii="Arial" w:hAnsi="Arial" w:cs="Arial"/>
          <w:bCs/>
          <w:i/>
        </w:rPr>
        <w:t xml:space="preserve"> De </w:t>
      </w:r>
      <w:proofErr w:type="spellStart"/>
      <w:r w:rsidRPr="00720F1D">
        <w:rPr>
          <w:rFonts w:ascii="Arial" w:hAnsi="Arial" w:cs="Arial"/>
          <w:bCs/>
          <w:i/>
        </w:rPr>
        <w:t>Seguros</w:t>
      </w:r>
      <w:proofErr w:type="spellEnd"/>
      <w:r w:rsidRPr="00720F1D">
        <w:rPr>
          <w:rFonts w:ascii="Arial" w:hAnsi="Arial" w:cs="Arial"/>
          <w:bCs/>
          <w:i/>
        </w:rPr>
        <w:t xml:space="preserve"> Del Peru</w:t>
      </w:r>
      <w:r w:rsidRPr="00720F1D">
        <w:rPr>
          <w:rFonts w:ascii="Arial" w:hAnsi="Arial" w:cs="Arial"/>
        </w:rPr>
        <w:t xml:space="preserve"> [1988] 1 Lloyds Rep 116</w:t>
      </w:r>
      <w:bookmarkEnd w:id="1"/>
    </w:p>
  </w:footnote>
  <w:footnote w:id="6">
    <w:p w:rsidR="00124080" w:rsidRPr="00720F1D" w:rsidRDefault="00124080" w:rsidP="00124080">
      <w:pPr>
        <w:pStyle w:val="FootnoteText"/>
        <w:spacing w:after="120"/>
        <w:ind w:left="567" w:hanging="567"/>
        <w:jc w:val="both"/>
        <w:rPr>
          <w:rFonts w:ascii="Arial" w:hAnsi="Arial" w:cs="Arial"/>
        </w:rPr>
      </w:pPr>
      <w:r w:rsidRPr="00720F1D">
        <w:rPr>
          <w:rStyle w:val="FootnoteReference"/>
          <w:rFonts w:ascii="Arial" w:hAnsi="Arial" w:cs="Arial"/>
        </w:rPr>
        <w:footnoteRef/>
      </w:r>
      <w:r w:rsidRPr="00720F1D">
        <w:rPr>
          <w:rFonts w:ascii="Arial" w:hAnsi="Arial" w:cs="Arial"/>
        </w:rPr>
        <w:t xml:space="preserve"> </w:t>
      </w:r>
      <w:r>
        <w:rPr>
          <w:rFonts w:ascii="Arial" w:hAnsi="Arial" w:cs="Arial"/>
        </w:rPr>
        <w:tab/>
      </w:r>
      <w:r w:rsidRPr="00720F1D">
        <w:rPr>
          <w:rFonts w:ascii="Arial" w:hAnsi="Arial" w:cs="Arial"/>
          <w:bCs/>
        </w:rPr>
        <w:t>[2007] 2 Lloyd's Rep. 56</w:t>
      </w:r>
    </w:p>
  </w:footnote>
  <w:footnote w:id="7">
    <w:p w:rsidR="00124080" w:rsidRPr="00720F1D" w:rsidRDefault="00124080" w:rsidP="00124080">
      <w:pPr>
        <w:pStyle w:val="FootnoteText"/>
        <w:spacing w:after="120"/>
        <w:ind w:left="567" w:hanging="567"/>
        <w:jc w:val="both"/>
        <w:rPr>
          <w:rFonts w:ascii="Arial" w:hAnsi="Arial" w:cs="Arial"/>
        </w:rPr>
      </w:pPr>
      <w:r w:rsidRPr="00720F1D">
        <w:rPr>
          <w:rStyle w:val="FootnoteReference"/>
          <w:rFonts w:ascii="Arial" w:hAnsi="Arial" w:cs="Arial"/>
        </w:rPr>
        <w:footnoteRef/>
      </w:r>
      <w:r w:rsidRPr="00720F1D">
        <w:rPr>
          <w:rFonts w:ascii="Arial" w:hAnsi="Arial" w:cs="Arial"/>
        </w:rPr>
        <w:t xml:space="preserve">  </w:t>
      </w:r>
      <w:r>
        <w:rPr>
          <w:rFonts w:ascii="Arial" w:hAnsi="Arial" w:cs="Arial"/>
        </w:rPr>
        <w:tab/>
      </w:r>
      <w:r w:rsidRPr="00720F1D">
        <w:rPr>
          <w:rFonts w:ascii="Arial" w:hAnsi="Arial" w:cs="Arial"/>
        </w:rPr>
        <w:t>[2007] 1 Lloyd's Rep. 193</w:t>
      </w:r>
    </w:p>
  </w:footnote>
  <w:footnote w:id="8">
    <w:p w:rsidR="00124080" w:rsidRPr="00720F1D" w:rsidRDefault="00124080" w:rsidP="00124080">
      <w:pPr>
        <w:shd w:val="clear" w:color="auto" w:fill="FFFFFF"/>
        <w:spacing w:after="120"/>
        <w:ind w:left="567" w:hanging="567"/>
        <w:jc w:val="both"/>
        <w:outlineLvl w:val="4"/>
        <w:rPr>
          <w:rFonts w:ascii="Arial" w:hAnsi="Arial" w:cs="Arial"/>
          <w:color w:val="000000"/>
          <w:kern w:val="0"/>
          <w:sz w:val="20"/>
          <w:szCs w:val="20"/>
        </w:rPr>
      </w:pPr>
      <w:r w:rsidRPr="00720F1D">
        <w:rPr>
          <w:rStyle w:val="FootnoteReference"/>
          <w:rFonts w:ascii="Arial" w:hAnsi="Arial" w:cs="Arial"/>
          <w:sz w:val="20"/>
          <w:szCs w:val="20"/>
        </w:rPr>
        <w:footnoteRef/>
      </w:r>
      <w:r w:rsidRPr="00720F1D">
        <w:rPr>
          <w:rFonts w:ascii="Arial" w:hAnsi="Arial" w:cs="Arial"/>
          <w:sz w:val="20"/>
          <w:szCs w:val="20"/>
        </w:rPr>
        <w:t xml:space="preserve"> </w:t>
      </w:r>
      <w:r>
        <w:rPr>
          <w:rFonts w:ascii="Arial" w:hAnsi="Arial" w:cs="Arial"/>
          <w:sz w:val="20"/>
          <w:szCs w:val="20"/>
        </w:rPr>
        <w:tab/>
      </w:r>
      <w:r w:rsidRPr="00720F1D">
        <w:rPr>
          <w:rFonts w:ascii="Arial" w:hAnsi="Arial" w:cs="Arial"/>
          <w:color w:val="000000"/>
          <w:kern w:val="0"/>
          <w:sz w:val="20"/>
          <w:szCs w:val="20"/>
        </w:rPr>
        <w:t xml:space="preserve">30 </w:t>
      </w:r>
      <w:r w:rsidRPr="00720F1D">
        <w:rPr>
          <w:rFonts w:ascii="Arial" w:hAnsi="Arial" w:cs="Arial"/>
          <w:b/>
          <w:color w:val="000000"/>
          <w:kern w:val="0"/>
          <w:sz w:val="20"/>
          <w:szCs w:val="20"/>
        </w:rPr>
        <w:t>Competence of tribunal to rule on its own jurisdiction</w:t>
      </w:r>
      <w:r w:rsidRPr="00720F1D">
        <w:rPr>
          <w:rFonts w:ascii="Arial" w:hAnsi="Arial" w:cs="Arial"/>
          <w:color w:val="000000"/>
          <w:kern w:val="0"/>
          <w:sz w:val="20"/>
          <w:szCs w:val="20"/>
        </w:rPr>
        <w:t>.</w:t>
      </w:r>
      <w:r w:rsidRPr="00720F1D">
        <w:rPr>
          <w:rFonts w:ascii="Arial" w:hAnsi="Arial" w:cs="Arial"/>
          <w:b/>
          <w:bCs/>
          <w:vanish/>
          <w:color w:val="FFFFFF"/>
          <w:kern w:val="0"/>
          <w:sz w:val="20"/>
          <w:szCs w:val="20"/>
        </w:rPr>
        <w:t>E+W+N.I.</w:t>
      </w:r>
    </w:p>
    <w:p w:rsidR="00124080" w:rsidRPr="00720F1D" w:rsidRDefault="00124080" w:rsidP="00124080">
      <w:pPr>
        <w:widowControl/>
        <w:shd w:val="clear" w:color="auto" w:fill="FFFFFF"/>
        <w:suppressAutoHyphens w:val="0"/>
        <w:spacing w:after="120"/>
        <w:ind w:left="567"/>
        <w:jc w:val="both"/>
        <w:rPr>
          <w:rFonts w:ascii="Arial" w:hAnsi="Arial" w:cs="Arial"/>
          <w:color w:val="000000"/>
          <w:kern w:val="0"/>
          <w:sz w:val="20"/>
          <w:szCs w:val="20"/>
        </w:rPr>
      </w:pPr>
      <w:r>
        <w:rPr>
          <w:rFonts w:ascii="Arial" w:hAnsi="Arial" w:cs="Arial"/>
          <w:color w:val="000000"/>
          <w:kern w:val="0"/>
          <w:sz w:val="20"/>
          <w:szCs w:val="20"/>
        </w:rPr>
        <w:t xml:space="preserve">(1) </w:t>
      </w:r>
      <w:r w:rsidRPr="00720F1D">
        <w:rPr>
          <w:rFonts w:ascii="Arial" w:hAnsi="Arial" w:cs="Arial"/>
          <w:color w:val="000000"/>
          <w:kern w:val="0"/>
          <w:sz w:val="20"/>
          <w:szCs w:val="20"/>
        </w:rPr>
        <w:t>Unless otherwise agreed by the parties, the arbitral tribunal may rule on its own substantive jurisdiction, that is, as to— (a) whether there is a valid arbitration agreement...</w:t>
      </w:r>
    </w:p>
  </w:footnote>
  <w:footnote w:id="9">
    <w:p w:rsidR="00124080" w:rsidRDefault="00124080" w:rsidP="00124080">
      <w:pPr>
        <w:shd w:val="clear" w:color="auto" w:fill="FFFFFF"/>
        <w:spacing w:after="120"/>
        <w:ind w:left="567" w:hanging="567"/>
        <w:jc w:val="both"/>
        <w:outlineLvl w:val="4"/>
        <w:rPr>
          <w:rFonts w:ascii="Arial" w:hAnsi="Arial" w:cs="Arial"/>
          <w:color w:val="000000"/>
          <w:kern w:val="0"/>
          <w:sz w:val="20"/>
          <w:szCs w:val="20"/>
        </w:rPr>
      </w:pPr>
      <w:r w:rsidRPr="00720F1D">
        <w:rPr>
          <w:rStyle w:val="FootnoteReference"/>
          <w:rFonts w:ascii="Arial" w:hAnsi="Arial" w:cs="Arial"/>
          <w:sz w:val="20"/>
          <w:szCs w:val="20"/>
        </w:rPr>
        <w:footnoteRef/>
      </w:r>
      <w:r w:rsidRPr="00720F1D">
        <w:rPr>
          <w:rFonts w:ascii="Arial" w:hAnsi="Arial" w:cs="Arial"/>
          <w:sz w:val="20"/>
          <w:szCs w:val="20"/>
        </w:rPr>
        <w:t xml:space="preserve">  </w:t>
      </w:r>
      <w:r>
        <w:rPr>
          <w:rFonts w:ascii="Arial" w:hAnsi="Arial" w:cs="Arial"/>
          <w:sz w:val="20"/>
          <w:szCs w:val="20"/>
        </w:rPr>
        <w:tab/>
      </w:r>
      <w:r w:rsidRPr="00720F1D">
        <w:rPr>
          <w:rFonts w:ascii="Arial" w:hAnsi="Arial" w:cs="Arial"/>
          <w:color w:val="000000"/>
          <w:kern w:val="0"/>
          <w:sz w:val="20"/>
          <w:szCs w:val="20"/>
        </w:rPr>
        <w:t xml:space="preserve">32 </w:t>
      </w:r>
      <w:r w:rsidRPr="00720F1D">
        <w:rPr>
          <w:rFonts w:ascii="Arial" w:hAnsi="Arial" w:cs="Arial"/>
          <w:b/>
          <w:color w:val="000000"/>
          <w:kern w:val="0"/>
          <w:sz w:val="20"/>
          <w:szCs w:val="20"/>
        </w:rPr>
        <w:t>Determination of preliminary point of jurisdiction</w:t>
      </w:r>
      <w:r w:rsidRPr="00720F1D">
        <w:rPr>
          <w:rFonts w:ascii="Arial" w:hAnsi="Arial" w:cs="Arial"/>
          <w:color w:val="000000"/>
          <w:kern w:val="0"/>
          <w:sz w:val="20"/>
          <w:szCs w:val="20"/>
        </w:rPr>
        <w:t>.</w:t>
      </w:r>
      <w:r w:rsidRPr="00720F1D">
        <w:rPr>
          <w:rFonts w:ascii="Arial" w:hAnsi="Arial" w:cs="Arial"/>
          <w:b/>
          <w:bCs/>
          <w:vanish/>
          <w:color w:val="FFFFFF"/>
          <w:kern w:val="0"/>
          <w:sz w:val="20"/>
          <w:szCs w:val="20"/>
        </w:rPr>
        <w:t>E+W+N.I.</w:t>
      </w:r>
      <w:r w:rsidRPr="00720F1D">
        <w:rPr>
          <w:rFonts w:ascii="Arial" w:hAnsi="Arial" w:cs="Arial"/>
          <w:color w:val="000000"/>
          <w:kern w:val="0"/>
          <w:sz w:val="20"/>
          <w:szCs w:val="20"/>
        </w:rPr>
        <w:t xml:space="preserve"> </w:t>
      </w:r>
    </w:p>
    <w:p w:rsidR="00124080" w:rsidRPr="00EA3412" w:rsidRDefault="00124080" w:rsidP="00124080">
      <w:pPr>
        <w:shd w:val="clear" w:color="auto" w:fill="FFFFFF"/>
        <w:spacing w:after="120"/>
        <w:ind w:left="567"/>
        <w:jc w:val="both"/>
        <w:outlineLvl w:val="4"/>
        <w:rPr>
          <w:rFonts w:ascii="Arial" w:hAnsi="Arial" w:cs="Arial"/>
          <w:color w:val="000000"/>
          <w:kern w:val="0"/>
          <w:sz w:val="20"/>
          <w:szCs w:val="20"/>
        </w:rPr>
      </w:pPr>
      <w:r w:rsidRPr="00720F1D">
        <w:rPr>
          <w:rFonts w:ascii="Arial" w:hAnsi="Arial" w:cs="Arial"/>
          <w:color w:val="000000"/>
          <w:kern w:val="0"/>
          <w:sz w:val="20"/>
          <w:szCs w:val="20"/>
        </w:rPr>
        <w:t>(1)</w:t>
      </w:r>
      <w:r>
        <w:rPr>
          <w:rFonts w:ascii="Arial" w:hAnsi="Arial" w:cs="Arial"/>
          <w:color w:val="000000"/>
          <w:kern w:val="0"/>
          <w:sz w:val="20"/>
          <w:szCs w:val="20"/>
        </w:rPr>
        <w:t xml:space="preserve"> </w:t>
      </w:r>
      <w:r w:rsidRPr="00720F1D">
        <w:rPr>
          <w:rFonts w:ascii="Arial" w:hAnsi="Arial" w:cs="Arial"/>
          <w:color w:val="000000"/>
          <w:kern w:val="0"/>
          <w:sz w:val="20"/>
          <w:szCs w:val="20"/>
        </w:rPr>
        <w:t>The court may, on the application of a party to arbitral proceedings (upon notice to the other parties), determine any question as to the substantive j</w:t>
      </w:r>
      <w:r>
        <w:rPr>
          <w:rFonts w:ascii="Arial" w:hAnsi="Arial" w:cs="Arial"/>
          <w:color w:val="000000"/>
          <w:kern w:val="0"/>
          <w:sz w:val="20"/>
          <w:szCs w:val="20"/>
        </w:rPr>
        <w:t>urisdiction of the tribunal..</w:t>
      </w:r>
      <w:r w:rsidRPr="00720F1D">
        <w:rPr>
          <w:rFonts w:ascii="Arial" w:hAnsi="Arial" w:cs="Arial"/>
          <w:color w:val="000000"/>
          <w:kern w:val="0"/>
          <w:sz w:val="20"/>
          <w:szCs w:val="20"/>
        </w:rPr>
        <w:t>.</w:t>
      </w:r>
      <w:r>
        <w:rPr>
          <w:rFonts w:ascii="Arial" w:hAnsi="Arial" w:cs="Arial"/>
          <w:color w:val="000000"/>
          <w:kern w:val="0"/>
          <w:sz w:val="20"/>
          <w:szCs w:val="20"/>
        </w:rPr>
        <w:t xml:space="preserve"> </w:t>
      </w:r>
      <w:r w:rsidRPr="00720F1D">
        <w:rPr>
          <w:rFonts w:ascii="Arial" w:hAnsi="Arial" w:cs="Arial"/>
          <w:color w:val="000000"/>
          <w:kern w:val="0"/>
          <w:sz w:val="20"/>
          <w:szCs w:val="20"/>
        </w:rPr>
        <w:t>(2)</w:t>
      </w:r>
      <w:r>
        <w:rPr>
          <w:rFonts w:ascii="Arial" w:hAnsi="Arial" w:cs="Arial"/>
          <w:color w:val="000000"/>
          <w:kern w:val="0"/>
          <w:sz w:val="20"/>
          <w:szCs w:val="20"/>
        </w:rPr>
        <w:t xml:space="preserve"> </w:t>
      </w:r>
      <w:r w:rsidRPr="00720F1D">
        <w:rPr>
          <w:rFonts w:ascii="Arial" w:hAnsi="Arial" w:cs="Arial"/>
          <w:color w:val="000000"/>
          <w:kern w:val="0"/>
          <w:sz w:val="20"/>
          <w:szCs w:val="20"/>
        </w:rPr>
        <w:t>An application under this section shall not be considered unless (a)</w:t>
      </w:r>
      <w:r>
        <w:rPr>
          <w:rFonts w:ascii="Arial" w:hAnsi="Arial" w:cs="Arial"/>
          <w:color w:val="000000"/>
          <w:kern w:val="0"/>
          <w:sz w:val="20"/>
          <w:szCs w:val="20"/>
        </w:rPr>
        <w:t xml:space="preserve"> </w:t>
      </w:r>
      <w:r w:rsidRPr="00720F1D">
        <w:rPr>
          <w:rFonts w:ascii="Arial" w:hAnsi="Arial" w:cs="Arial"/>
          <w:color w:val="000000"/>
          <w:kern w:val="0"/>
          <w:sz w:val="20"/>
          <w:szCs w:val="20"/>
        </w:rPr>
        <w:t>it is made with the agreement in writing of all the other</w:t>
      </w:r>
      <w:r>
        <w:rPr>
          <w:rFonts w:ascii="Arial" w:hAnsi="Arial" w:cs="Arial"/>
          <w:color w:val="000000"/>
          <w:kern w:val="0"/>
          <w:sz w:val="20"/>
          <w:szCs w:val="20"/>
        </w:rPr>
        <w:t xml:space="preserve"> parties to the proceedings, or</w:t>
      </w:r>
      <w:r w:rsidRPr="00720F1D">
        <w:rPr>
          <w:rFonts w:ascii="Arial" w:hAnsi="Arial" w:cs="Arial"/>
          <w:color w:val="000000"/>
          <w:kern w:val="0"/>
          <w:sz w:val="20"/>
          <w:szCs w:val="20"/>
        </w:rPr>
        <w:t xml:space="preserve"> (b)</w:t>
      </w:r>
      <w:r>
        <w:rPr>
          <w:rFonts w:ascii="Arial" w:hAnsi="Arial" w:cs="Arial"/>
          <w:color w:val="000000"/>
          <w:kern w:val="0"/>
          <w:sz w:val="20"/>
          <w:szCs w:val="20"/>
        </w:rPr>
        <w:t xml:space="preserve"> </w:t>
      </w:r>
      <w:r w:rsidRPr="00720F1D">
        <w:rPr>
          <w:rFonts w:ascii="Arial" w:hAnsi="Arial" w:cs="Arial"/>
          <w:color w:val="000000"/>
          <w:kern w:val="0"/>
          <w:sz w:val="20"/>
          <w:szCs w:val="20"/>
        </w:rPr>
        <w:t>it is made with the permission of the tribunal</w:t>
      </w:r>
      <w:r>
        <w:rPr>
          <w:rFonts w:ascii="Arial" w:hAnsi="Arial" w:cs="Arial"/>
          <w:color w:val="000000"/>
          <w:kern w:val="0"/>
          <w:sz w:val="20"/>
          <w:szCs w:val="20"/>
        </w:rPr>
        <w:t>...</w:t>
      </w:r>
    </w:p>
  </w:footnote>
  <w:footnote w:id="10">
    <w:p w:rsidR="00124080" w:rsidRPr="00720F1D" w:rsidRDefault="00124080" w:rsidP="00124080">
      <w:pPr>
        <w:pStyle w:val="FootnoteText"/>
        <w:spacing w:after="120"/>
        <w:ind w:left="567" w:hanging="567"/>
        <w:jc w:val="both"/>
        <w:rPr>
          <w:rFonts w:ascii="Arial" w:hAnsi="Arial" w:cs="Arial"/>
        </w:rPr>
      </w:pPr>
      <w:r w:rsidRPr="00720F1D">
        <w:rPr>
          <w:rStyle w:val="FootnoteReference"/>
          <w:rFonts w:ascii="Arial" w:hAnsi="Arial" w:cs="Arial"/>
        </w:rPr>
        <w:footnoteRef/>
      </w:r>
      <w:r w:rsidRPr="00720F1D">
        <w:rPr>
          <w:rFonts w:ascii="Arial" w:hAnsi="Arial" w:cs="Arial"/>
        </w:rPr>
        <w:t xml:space="preserve"> </w:t>
      </w:r>
      <w:r>
        <w:rPr>
          <w:rFonts w:ascii="Arial" w:hAnsi="Arial" w:cs="Arial"/>
        </w:rPr>
        <w:tab/>
      </w:r>
      <w:r w:rsidRPr="00720F1D">
        <w:rPr>
          <w:rFonts w:ascii="Arial" w:hAnsi="Arial" w:cs="Arial"/>
        </w:rPr>
        <w:t>[2000] 2 Lloyd's Rep. 1</w:t>
      </w:r>
    </w:p>
  </w:footnote>
  <w:footnote w:id="11">
    <w:p w:rsidR="00124080" w:rsidRPr="00720F1D" w:rsidRDefault="00124080" w:rsidP="00124080">
      <w:pPr>
        <w:pStyle w:val="FootnoteText"/>
        <w:spacing w:after="120"/>
        <w:ind w:left="567" w:hanging="567"/>
        <w:jc w:val="both"/>
        <w:rPr>
          <w:rFonts w:ascii="Arial" w:hAnsi="Arial" w:cs="Arial"/>
        </w:rPr>
      </w:pPr>
      <w:r w:rsidRPr="00720F1D">
        <w:rPr>
          <w:rStyle w:val="FootnoteReference"/>
          <w:rFonts w:ascii="Arial" w:hAnsi="Arial" w:cs="Arial"/>
        </w:rPr>
        <w:footnoteRef/>
      </w:r>
      <w:r w:rsidRPr="00720F1D">
        <w:rPr>
          <w:rFonts w:ascii="Arial" w:hAnsi="Arial" w:cs="Arial"/>
        </w:rPr>
        <w:t xml:space="preserve">  </w:t>
      </w:r>
      <w:r>
        <w:rPr>
          <w:rFonts w:ascii="Arial" w:hAnsi="Arial" w:cs="Arial"/>
        </w:rPr>
        <w:tab/>
      </w:r>
      <w:r w:rsidRPr="00720F1D">
        <w:rPr>
          <w:rFonts w:ascii="Arial" w:hAnsi="Arial" w:cs="Arial"/>
        </w:rPr>
        <w:t>[2011] 2 Lloyd's Rep. 233 paras 99-105, holding that there was generally jurisdiction vested in the court to rule on such matters but leaving it unclear as to when it might be appropriate to exercise its discretion to assume that jurisdiction</w:t>
      </w:r>
    </w:p>
  </w:footnote>
  <w:footnote w:id="12">
    <w:p w:rsidR="00124080" w:rsidRPr="00720F1D" w:rsidRDefault="00124080" w:rsidP="00124080">
      <w:pPr>
        <w:pStyle w:val="FootnoteText"/>
        <w:spacing w:after="120"/>
        <w:ind w:left="567" w:hanging="567"/>
        <w:jc w:val="both"/>
        <w:rPr>
          <w:rFonts w:ascii="Arial" w:hAnsi="Arial" w:cs="Arial"/>
        </w:rPr>
      </w:pPr>
      <w:r w:rsidRPr="00720F1D">
        <w:rPr>
          <w:rStyle w:val="FootnoteReference"/>
          <w:rFonts w:ascii="Arial" w:hAnsi="Arial" w:cs="Arial"/>
        </w:rPr>
        <w:footnoteRef/>
      </w:r>
      <w:r w:rsidRPr="00720F1D">
        <w:rPr>
          <w:rFonts w:ascii="Arial" w:hAnsi="Arial" w:cs="Arial"/>
        </w:rPr>
        <w:t xml:space="preserve"> </w:t>
      </w:r>
      <w:r>
        <w:rPr>
          <w:rFonts w:ascii="Arial" w:hAnsi="Arial" w:cs="Arial"/>
        </w:rPr>
        <w:tab/>
      </w:r>
      <w:r w:rsidRPr="00720F1D">
        <w:rPr>
          <w:rFonts w:ascii="Arial" w:hAnsi="Arial" w:cs="Arial"/>
        </w:rPr>
        <w:t>[2013] UKSC 35</w:t>
      </w:r>
    </w:p>
  </w:footnote>
  <w:footnote w:id="13">
    <w:p w:rsidR="00124080" w:rsidRPr="00AE5E5F" w:rsidRDefault="00124080" w:rsidP="00124080">
      <w:pPr>
        <w:pStyle w:val="FootnoteText"/>
        <w:spacing w:after="120"/>
        <w:ind w:left="567" w:hanging="567"/>
        <w:jc w:val="both"/>
        <w:rPr>
          <w:rFonts w:ascii="Arial" w:hAnsi="Arial" w:cs="Arial"/>
        </w:rPr>
      </w:pPr>
      <w:r w:rsidRPr="00AE5E5F">
        <w:rPr>
          <w:rStyle w:val="FootnoteReference"/>
          <w:rFonts w:ascii="Arial" w:hAnsi="Arial" w:cs="Arial"/>
        </w:rPr>
        <w:footnoteRef/>
      </w:r>
      <w:r w:rsidRPr="00AE5E5F">
        <w:rPr>
          <w:rFonts w:ascii="Arial" w:hAnsi="Arial" w:cs="Arial"/>
        </w:rPr>
        <w:t xml:space="preserve"> </w:t>
      </w:r>
      <w:r>
        <w:rPr>
          <w:rFonts w:ascii="Arial" w:hAnsi="Arial" w:cs="Arial"/>
        </w:rPr>
        <w:tab/>
      </w:r>
      <w:r w:rsidRPr="00AE5E5F">
        <w:rPr>
          <w:rFonts w:ascii="Arial" w:hAnsi="Arial" w:cs="Arial"/>
        </w:rPr>
        <w:t xml:space="preserve">See </w:t>
      </w:r>
      <w:proofErr w:type="spellStart"/>
      <w:r w:rsidRPr="00AE5E5F">
        <w:rPr>
          <w:rFonts w:ascii="Arial" w:hAnsi="Arial" w:cs="Arial"/>
        </w:rPr>
        <w:t>eg</w:t>
      </w:r>
      <w:proofErr w:type="spellEnd"/>
      <w:r w:rsidRPr="00AE5E5F">
        <w:rPr>
          <w:rFonts w:ascii="Arial" w:hAnsi="Arial" w:cs="Arial"/>
        </w:rPr>
        <w:t xml:space="preserve"> CGU v </w:t>
      </w:r>
      <w:proofErr w:type="spellStart"/>
      <w:r w:rsidRPr="00AE5E5F">
        <w:rPr>
          <w:rFonts w:ascii="Arial" w:hAnsi="Arial" w:cs="Arial"/>
        </w:rPr>
        <w:t>Astrazenca</w:t>
      </w:r>
      <w:proofErr w:type="spellEnd"/>
      <w:r w:rsidRPr="00AE5E5F">
        <w:rPr>
          <w:rFonts w:ascii="Arial" w:hAnsi="Arial" w:cs="Arial"/>
        </w:rPr>
        <w:t xml:space="preserve"> [2006] 1 </w:t>
      </w:r>
      <w:r>
        <w:rPr>
          <w:rFonts w:ascii="Arial" w:hAnsi="Arial" w:cs="Arial"/>
        </w:rPr>
        <w:t>C</w:t>
      </w:r>
      <w:r w:rsidRPr="00AE5E5F">
        <w:rPr>
          <w:rFonts w:ascii="Arial" w:hAnsi="Arial" w:cs="Arial"/>
        </w:rPr>
        <w:t>.L.C</w:t>
      </w:r>
      <w:r>
        <w:rPr>
          <w:rFonts w:ascii="Arial" w:hAnsi="Arial" w:cs="Arial"/>
        </w:rPr>
        <w:t>.</w:t>
      </w:r>
      <w:r w:rsidRPr="00AE5E5F">
        <w:rPr>
          <w:rFonts w:ascii="Arial" w:hAnsi="Arial" w:cs="Arial"/>
        </w:rPr>
        <w:t xml:space="preserve"> 162</w:t>
      </w:r>
    </w:p>
  </w:footnote>
  <w:footnote w:id="14">
    <w:p w:rsidR="00124080" w:rsidRPr="00720F1D" w:rsidRDefault="00124080" w:rsidP="00124080">
      <w:pPr>
        <w:pStyle w:val="FootnoteText"/>
        <w:spacing w:after="120"/>
        <w:ind w:left="567" w:hanging="567"/>
        <w:jc w:val="both"/>
        <w:rPr>
          <w:rFonts w:ascii="Arial" w:hAnsi="Arial" w:cs="Arial"/>
        </w:rPr>
      </w:pPr>
      <w:r w:rsidRPr="00720F1D">
        <w:rPr>
          <w:rStyle w:val="FootnoteReference"/>
          <w:rFonts w:ascii="Arial" w:hAnsi="Arial" w:cs="Arial"/>
        </w:rPr>
        <w:footnoteRef/>
      </w:r>
      <w:r w:rsidRPr="00720F1D">
        <w:rPr>
          <w:rFonts w:ascii="Arial" w:hAnsi="Arial" w:cs="Arial"/>
        </w:rPr>
        <w:t xml:space="preserve"> </w:t>
      </w:r>
      <w:r>
        <w:rPr>
          <w:rFonts w:ascii="Arial" w:hAnsi="Arial" w:cs="Arial"/>
        </w:rPr>
        <w:tab/>
      </w:r>
      <w:r w:rsidRPr="00720F1D">
        <w:rPr>
          <w:rFonts w:ascii="Arial" w:hAnsi="Arial" w:cs="Arial"/>
        </w:rPr>
        <w:t>[2009] 1 Lloyd's Rep. 414</w:t>
      </w:r>
    </w:p>
  </w:footnote>
  <w:footnote w:id="15">
    <w:p w:rsidR="00124080" w:rsidRPr="00720F1D" w:rsidRDefault="00124080" w:rsidP="00124080">
      <w:pPr>
        <w:pStyle w:val="FootnoteText"/>
        <w:spacing w:after="120"/>
        <w:ind w:left="567" w:hanging="567"/>
        <w:jc w:val="both"/>
        <w:rPr>
          <w:rFonts w:ascii="Arial" w:hAnsi="Arial" w:cs="Arial"/>
        </w:rPr>
      </w:pPr>
      <w:r w:rsidRPr="00720F1D">
        <w:rPr>
          <w:rStyle w:val="FootnoteReference"/>
          <w:rFonts w:ascii="Arial" w:hAnsi="Arial" w:cs="Arial"/>
        </w:rPr>
        <w:footnoteRef/>
      </w:r>
      <w:r w:rsidRPr="00720F1D">
        <w:rPr>
          <w:rFonts w:ascii="Arial" w:hAnsi="Arial" w:cs="Arial"/>
        </w:rPr>
        <w:t xml:space="preserve"> </w:t>
      </w:r>
      <w:r>
        <w:rPr>
          <w:rFonts w:ascii="Arial" w:hAnsi="Arial" w:cs="Arial"/>
        </w:rPr>
        <w:tab/>
      </w:r>
      <w:r w:rsidRPr="00720F1D">
        <w:rPr>
          <w:rFonts w:ascii="Arial" w:hAnsi="Arial" w:cs="Arial"/>
        </w:rPr>
        <w:t>[2012] 1 Lloyd's Rep. 671</w:t>
      </w:r>
    </w:p>
  </w:footnote>
  <w:footnote w:id="16">
    <w:p w:rsidR="00124080" w:rsidRPr="00720F1D" w:rsidRDefault="00124080" w:rsidP="00124080">
      <w:pPr>
        <w:pStyle w:val="FootnoteText"/>
        <w:spacing w:after="120"/>
        <w:ind w:left="567" w:hanging="567"/>
        <w:jc w:val="both"/>
        <w:rPr>
          <w:rFonts w:ascii="Arial" w:hAnsi="Arial" w:cs="Arial"/>
        </w:rPr>
      </w:pPr>
      <w:r w:rsidRPr="00720F1D">
        <w:rPr>
          <w:rStyle w:val="FootnoteReference"/>
          <w:rFonts w:ascii="Arial" w:hAnsi="Arial" w:cs="Arial"/>
        </w:rPr>
        <w:footnoteRef/>
      </w:r>
      <w:r w:rsidRPr="00720F1D">
        <w:rPr>
          <w:rFonts w:ascii="Arial" w:hAnsi="Arial" w:cs="Arial"/>
        </w:rPr>
        <w:t xml:space="preserve"> </w:t>
      </w:r>
      <w:r w:rsidRPr="00720F1D">
        <w:rPr>
          <w:rFonts w:ascii="Arial" w:hAnsi="Arial" w:cs="Arial"/>
          <w:bCs/>
        </w:rPr>
        <w:t xml:space="preserve"> </w:t>
      </w:r>
      <w:r>
        <w:rPr>
          <w:rFonts w:ascii="Arial" w:hAnsi="Arial" w:cs="Arial"/>
          <w:bCs/>
        </w:rPr>
        <w:tab/>
      </w:r>
      <w:r w:rsidRPr="00720F1D">
        <w:rPr>
          <w:rFonts w:ascii="Arial" w:hAnsi="Arial" w:cs="Arial"/>
          <w:bCs/>
        </w:rPr>
        <w:t xml:space="preserve">[2008] 1 Lloyd's Rep. 254. For recent examples of the application of this doctrine in the context of   respectively illegality and bribery see </w:t>
      </w:r>
      <w:r w:rsidRPr="00720F1D">
        <w:rPr>
          <w:rFonts w:ascii="Arial" w:hAnsi="Arial" w:cs="Arial"/>
          <w:bCs/>
          <w:i/>
        </w:rPr>
        <w:t xml:space="preserve">Beijing </w:t>
      </w:r>
      <w:proofErr w:type="spellStart"/>
      <w:r w:rsidRPr="00720F1D">
        <w:rPr>
          <w:rFonts w:ascii="Arial" w:hAnsi="Arial" w:cs="Arial"/>
          <w:bCs/>
          <w:i/>
        </w:rPr>
        <w:t>Jianlong</w:t>
      </w:r>
      <w:proofErr w:type="spellEnd"/>
      <w:r w:rsidRPr="00720F1D">
        <w:rPr>
          <w:rFonts w:ascii="Arial" w:hAnsi="Arial" w:cs="Arial"/>
          <w:bCs/>
          <w:i/>
        </w:rPr>
        <w:t xml:space="preserve"> Heavy Industry Group v Golden Ocean Group Ltd and Others</w:t>
      </w:r>
      <w:r w:rsidRPr="00720F1D">
        <w:rPr>
          <w:rFonts w:ascii="Arial" w:hAnsi="Arial" w:cs="Arial"/>
          <w:bCs/>
        </w:rPr>
        <w:t xml:space="preserve"> [2013] EWHC 10  </w:t>
      </w:r>
      <w:r w:rsidRPr="00720F1D">
        <w:rPr>
          <w:rFonts w:ascii="Arial" w:hAnsi="Arial" w:cs="Arial"/>
          <w:bCs/>
          <w:i/>
        </w:rPr>
        <w:t>Y v Y</w:t>
      </w:r>
      <w:r w:rsidRPr="00720F1D">
        <w:rPr>
          <w:rFonts w:ascii="Arial" w:hAnsi="Arial" w:cs="Arial"/>
          <w:bCs/>
        </w:rPr>
        <w:t xml:space="preserve"> [2015] EWHC 395</w:t>
      </w:r>
    </w:p>
  </w:footnote>
  <w:footnote w:id="17">
    <w:p w:rsidR="00124080" w:rsidRPr="00720F1D" w:rsidRDefault="00124080" w:rsidP="00124080">
      <w:pPr>
        <w:pStyle w:val="FootnoteText"/>
        <w:spacing w:after="120"/>
        <w:ind w:left="567" w:hanging="567"/>
        <w:jc w:val="both"/>
        <w:rPr>
          <w:rFonts w:ascii="Arial" w:hAnsi="Arial" w:cs="Arial"/>
        </w:rPr>
      </w:pPr>
      <w:r w:rsidRPr="00720F1D">
        <w:rPr>
          <w:rStyle w:val="FootnoteReference"/>
          <w:rFonts w:ascii="Arial" w:hAnsi="Arial" w:cs="Arial"/>
        </w:rPr>
        <w:footnoteRef/>
      </w:r>
      <w:r w:rsidRPr="00720F1D">
        <w:rPr>
          <w:rFonts w:ascii="Arial" w:hAnsi="Arial" w:cs="Arial"/>
        </w:rPr>
        <w:t xml:space="preserve"> </w:t>
      </w:r>
      <w:r>
        <w:rPr>
          <w:rFonts w:ascii="Arial" w:hAnsi="Arial" w:cs="Arial"/>
        </w:rPr>
        <w:tab/>
      </w:r>
      <w:r w:rsidRPr="00720F1D">
        <w:rPr>
          <w:rFonts w:ascii="Arial" w:hAnsi="Arial" w:cs="Arial"/>
        </w:rPr>
        <w:t>A question discussed in some detail in Chapter 1 of “</w:t>
      </w:r>
      <w:r w:rsidRPr="00720F1D">
        <w:rPr>
          <w:rFonts w:ascii="Arial" w:hAnsi="Arial" w:cs="Arial"/>
          <w:i/>
        </w:rPr>
        <w:t xml:space="preserve">Bills of Lading incorporating </w:t>
      </w:r>
      <w:proofErr w:type="spellStart"/>
      <w:r w:rsidRPr="00720F1D">
        <w:rPr>
          <w:rFonts w:ascii="Arial" w:hAnsi="Arial" w:cs="Arial"/>
          <w:i/>
        </w:rPr>
        <w:t>charterparties</w:t>
      </w:r>
      <w:proofErr w:type="spellEnd"/>
      <w:r w:rsidRPr="00720F1D">
        <w:rPr>
          <w:rFonts w:ascii="Arial" w:hAnsi="Arial" w:cs="Arial"/>
        </w:rPr>
        <w:t xml:space="preserve">” </w:t>
      </w:r>
      <w:proofErr w:type="spellStart"/>
      <w:r w:rsidRPr="00720F1D">
        <w:rPr>
          <w:rFonts w:ascii="Arial" w:hAnsi="Arial" w:cs="Arial"/>
        </w:rPr>
        <w:t>Melis</w:t>
      </w:r>
      <w:proofErr w:type="spellEnd"/>
      <w:r w:rsidRPr="00720F1D">
        <w:rPr>
          <w:rFonts w:ascii="Arial" w:hAnsi="Arial" w:cs="Arial"/>
        </w:rPr>
        <w:t xml:space="preserve">  </w:t>
      </w:r>
      <w:proofErr w:type="spellStart"/>
      <w:r w:rsidRPr="00720F1D">
        <w:rPr>
          <w:rFonts w:ascii="Arial" w:hAnsi="Arial" w:cs="Arial"/>
        </w:rPr>
        <w:t>Özdel</w:t>
      </w:r>
      <w:proofErr w:type="spellEnd"/>
      <w:r w:rsidRPr="00720F1D">
        <w:rPr>
          <w:rFonts w:ascii="Arial" w:hAnsi="Arial" w:cs="Arial"/>
        </w:rPr>
        <w:t>, Hart 2015</w:t>
      </w:r>
    </w:p>
  </w:footnote>
  <w:footnote w:id="18">
    <w:p w:rsidR="00124080" w:rsidRPr="00720F1D" w:rsidRDefault="00124080" w:rsidP="00124080">
      <w:pPr>
        <w:pStyle w:val="FootnoteText"/>
        <w:spacing w:after="120"/>
        <w:ind w:left="567" w:hanging="567"/>
        <w:jc w:val="both"/>
        <w:rPr>
          <w:rFonts w:ascii="Arial" w:hAnsi="Arial" w:cs="Arial"/>
        </w:rPr>
      </w:pPr>
      <w:r w:rsidRPr="00720F1D">
        <w:rPr>
          <w:rStyle w:val="FootnoteReference"/>
          <w:rFonts w:ascii="Arial" w:hAnsi="Arial" w:cs="Arial"/>
        </w:rPr>
        <w:footnoteRef/>
      </w:r>
      <w:r w:rsidRPr="00720F1D">
        <w:rPr>
          <w:rFonts w:ascii="Arial" w:hAnsi="Arial" w:cs="Arial"/>
        </w:rPr>
        <w:t xml:space="preserve"> </w:t>
      </w:r>
      <w:r>
        <w:rPr>
          <w:rFonts w:ascii="Arial" w:hAnsi="Arial" w:cs="Arial"/>
        </w:rPr>
        <w:tab/>
      </w:r>
      <w:r w:rsidRPr="00720F1D">
        <w:rPr>
          <w:rFonts w:ascii="Arial" w:hAnsi="Arial" w:cs="Arial"/>
        </w:rPr>
        <w:t>[2004] 2 Lloyd's Rep. 287</w:t>
      </w:r>
    </w:p>
  </w:footnote>
  <w:footnote w:id="19">
    <w:p w:rsidR="00124080" w:rsidRPr="00720F1D" w:rsidRDefault="00124080" w:rsidP="00124080">
      <w:pPr>
        <w:pStyle w:val="FootnoteText"/>
        <w:spacing w:after="120"/>
        <w:ind w:left="567" w:hanging="567"/>
        <w:jc w:val="both"/>
        <w:rPr>
          <w:rFonts w:ascii="Arial" w:hAnsi="Arial" w:cs="Arial"/>
        </w:rPr>
      </w:pPr>
      <w:r w:rsidRPr="00720F1D">
        <w:rPr>
          <w:rStyle w:val="FootnoteReference"/>
          <w:rFonts w:ascii="Arial" w:hAnsi="Arial" w:cs="Arial"/>
        </w:rPr>
        <w:footnoteRef/>
      </w:r>
      <w:r w:rsidRPr="00720F1D">
        <w:rPr>
          <w:rFonts w:ascii="Arial" w:hAnsi="Arial" w:cs="Arial"/>
        </w:rPr>
        <w:t xml:space="preserve"> </w:t>
      </w:r>
      <w:r>
        <w:rPr>
          <w:rFonts w:ascii="Arial" w:hAnsi="Arial" w:cs="Arial"/>
        </w:rPr>
        <w:tab/>
      </w:r>
      <w:r w:rsidRPr="00720F1D">
        <w:rPr>
          <w:rFonts w:ascii="Arial" w:hAnsi="Arial" w:cs="Arial"/>
        </w:rPr>
        <w:t>[2009] 1 Lloyd's Rep. 666</w:t>
      </w:r>
    </w:p>
  </w:footnote>
  <w:footnote w:id="20">
    <w:p w:rsidR="00124080" w:rsidRPr="00720F1D" w:rsidRDefault="00124080" w:rsidP="00124080">
      <w:pPr>
        <w:pStyle w:val="FootnoteText"/>
        <w:spacing w:after="120"/>
        <w:ind w:left="567" w:hanging="567"/>
        <w:jc w:val="both"/>
        <w:rPr>
          <w:rFonts w:ascii="Arial" w:hAnsi="Arial" w:cs="Arial"/>
        </w:rPr>
      </w:pPr>
      <w:r w:rsidRPr="00720F1D">
        <w:rPr>
          <w:rStyle w:val="FootnoteReference"/>
          <w:rFonts w:ascii="Arial" w:hAnsi="Arial" w:cs="Arial"/>
        </w:rPr>
        <w:footnoteRef/>
      </w:r>
      <w:r w:rsidRPr="00720F1D">
        <w:rPr>
          <w:rFonts w:ascii="Arial" w:hAnsi="Arial" w:cs="Arial"/>
        </w:rPr>
        <w:t xml:space="preserve"> </w:t>
      </w:r>
      <w:r>
        <w:rPr>
          <w:rFonts w:ascii="Arial" w:hAnsi="Arial" w:cs="Arial"/>
        </w:rPr>
        <w:tab/>
      </w:r>
      <w:r w:rsidRPr="00720F1D">
        <w:rPr>
          <w:rFonts w:ascii="Arial" w:hAnsi="Arial" w:cs="Arial"/>
        </w:rPr>
        <w:t>[2012] 1 Lloyd's Rep. 304</w:t>
      </w:r>
    </w:p>
  </w:footnote>
  <w:footnote w:id="21">
    <w:p w:rsidR="00124080" w:rsidRPr="00720F1D" w:rsidRDefault="00124080" w:rsidP="00124080">
      <w:pPr>
        <w:pStyle w:val="FootnoteText"/>
        <w:spacing w:after="120"/>
        <w:ind w:left="567" w:hanging="567"/>
        <w:jc w:val="both"/>
        <w:rPr>
          <w:rFonts w:ascii="Arial" w:hAnsi="Arial" w:cs="Arial"/>
        </w:rPr>
      </w:pPr>
      <w:r w:rsidRPr="00720F1D">
        <w:rPr>
          <w:rStyle w:val="FootnoteReference"/>
          <w:rFonts w:ascii="Arial" w:hAnsi="Arial" w:cs="Arial"/>
        </w:rPr>
        <w:footnoteRef/>
      </w:r>
      <w:r w:rsidRPr="00720F1D">
        <w:rPr>
          <w:rFonts w:ascii="Arial" w:hAnsi="Arial" w:cs="Arial"/>
        </w:rPr>
        <w:t xml:space="preserve">  </w:t>
      </w:r>
      <w:r>
        <w:rPr>
          <w:rFonts w:ascii="Arial" w:hAnsi="Arial" w:cs="Arial"/>
        </w:rPr>
        <w:tab/>
      </w:r>
      <w:r w:rsidRPr="00720F1D">
        <w:rPr>
          <w:rFonts w:ascii="Arial" w:hAnsi="Arial" w:cs="Arial"/>
        </w:rPr>
        <w:t>[2002] 2 Lloyd's Rep. 701, [2003] 2 Lloyd's Rep. 509</w:t>
      </w:r>
    </w:p>
  </w:footnote>
  <w:footnote w:id="22">
    <w:p w:rsidR="00124080" w:rsidRPr="00720F1D" w:rsidRDefault="00124080" w:rsidP="00124080">
      <w:pPr>
        <w:pStyle w:val="FootnoteText"/>
        <w:spacing w:after="120"/>
        <w:ind w:left="567" w:hanging="567"/>
        <w:jc w:val="both"/>
        <w:rPr>
          <w:rFonts w:ascii="Arial" w:hAnsi="Arial" w:cs="Arial"/>
        </w:rPr>
      </w:pPr>
      <w:r w:rsidRPr="00720F1D">
        <w:rPr>
          <w:rStyle w:val="FootnoteReference"/>
          <w:rFonts w:ascii="Arial" w:hAnsi="Arial" w:cs="Arial"/>
        </w:rPr>
        <w:footnoteRef/>
      </w:r>
      <w:r w:rsidRPr="00720F1D">
        <w:rPr>
          <w:rFonts w:ascii="Arial" w:hAnsi="Arial" w:cs="Arial"/>
        </w:rPr>
        <w:t xml:space="preserve">  </w:t>
      </w:r>
      <w:r>
        <w:rPr>
          <w:rFonts w:ascii="Arial" w:hAnsi="Arial" w:cs="Arial"/>
        </w:rPr>
        <w:tab/>
      </w:r>
      <w:r w:rsidRPr="00720F1D">
        <w:rPr>
          <w:rFonts w:ascii="Arial" w:hAnsi="Arial" w:cs="Arial"/>
        </w:rPr>
        <w:t>[1985] QB 931</w:t>
      </w:r>
    </w:p>
  </w:footnote>
  <w:footnote w:id="23">
    <w:p w:rsidR="00124080" w:rsidRPr="00720F1D" w:rsidRDefault="00124080" w:rsidP="00124080">
      <w:pPr>
        <w:pStyle w:val="FootnoteText"/>
        <w:spacing w:after="120"/>
        <w:ind w:left="567" w:hanging="567"/>
        <w:jc w:val="both"/>
        <w:rPr>
          <w:rFonts w:ascii="Arial" w:hAnsi="Arial" w:cs="Arial"/>
        </w:rPr>
      </w:pPr>
      <w:r w:rsidRPr="00720F1D">
        <w:rPr>
          <w:rStyle w:val="FootnoteReference"/>
          <w:rFonts w:ascii="Arial" w:hAnsi="Arial" w:cs="Arial"/>
        </w:rPr>
        <w:footnoteRef/>
      </w:r>
      <w:r w:rsidRPr="00720F1D">
        <w:rPr>
          <w:rFonts w:ascii="Arial" w:hAnsi="Arial" w:cs="Arial"/>
        </w:rPr>
        <w:t xml:space="preserve"> </w:t>
      </w:r>
      <w:r>
        <w:rPr>
          <w:rFonts w:ascii="Arial" w:hAnsi="Arial" w:cs="Arial"/>
        </w:rPr>
        <w:tab/>
      </w:r>
      <w:r w:rsidRPr="00720F1D">
        <w:rPr>
          <w:rFonts w:ascii="Arial" w:hAnsi="Arial" w:cs="Arial"/>
        </w:rPr>
        <w:t>See “</w:t>
      </w:r>
      <w:r w:rsidRPr="00720F1D">
        <w:rPr>
          <w:rFonts w:ascii="Arial" w:hAnsi="Arial" w:cs="Arial"/>
          <w:i/>
        </w:rPr>
        <w:t>Should third parties be bound by arbitration clauses in bills of lading ?</w:t>
      </w:r>
      <w:r w:rsidRPr="00720F1D">
        <w:rPr>
          <w:rFonts w:ascii="Arial" w:hAnsi="Arial" w:cs="Arial"/>
        </w:rPr>
        <w:t xml:space="preserve">” </w:t>
      </w:r>
      <w:proofErr w:type="spellStart"/>
      <w:r w:rsidRPr="00720F1D">
        <w:rPr>
          <w:rFonts w:ascii="Arial" w:hAnsi="Arial" w:cs="Arial"/>
        </w:rPr>
        <w:t>Baatz</w:t>
      </w:r>
      <w:proofErr w:type="spellEnd"/>
      <w:r w:rsidRPr="00720F1D">
        <w:rPr>
          <w:rFonts w:ascii="Arial" w:hAnsi="Arial" w:cs="Arial"/>
        </w:rPr>
        <w:t xml:space="preserve"> [2015] LCMLQ 86, “</w:t>
      </w:r>
      <w:r w:rsidRPr="00720F1D">
        <w:rPr>
          <w:rFonts w:ascii="Arial" w:hAnsi="Arial" w:cs="Arial"/>
          <w:i/>
        </w:rPr>
        <w:t xml:space="preserve">Bills of Lading incorporating </w:t>
      </w:r>
      <w:proofErr w:type="spellStart"/>
      <w:r w:rsidRPr="00720F1D">
        <w:rPr>
          <w:rFonts w:ascii="Arial" w:hAnsi="Arial" w:cs="Arial"/>
          <w:i/>
        </w:rPr>
        <w:t>charterparties</w:t>
      </w:r>
      <w:proofErr w:type="spellEnd"/>
      <w:r w:rsidRPr="00720F1D">
        <w:rPr>
          <w:rFonts w:ascii="Arial" w:hAnsi="Arial" w:cs="Arial"/>
        </w:rPr>
        <w:t xml:space="preserve">” </w:t>
      </w:r>
      <w:proofErr w:type="spellStart"/>
      <w:r w:rsidRPr="00720F1D">
        <w:rPr>
          <w:rFonts w:ascii="Arial" w:hAnsi="Arial" w:cs="Arial"/>
        </w:rPr>
        <w:t>Melis</w:t>
      </w:r>
      <w:proofErr w:type="spellEnd"/>
      <w:r w:rsidRPr="00720F1D">
        <w:rPr>
          <w:rFonts w:ascii="Arial" w:hAnsi="Arial" w:cs="Arial"/>
        </w:rPr>
        <w:t xml:space="preserve">  </w:t>
      </w:r>
      <w:proofErr w:type="spellStart"/>
      <w:r w:rsidRPr="00720F1D">
        <w:rPr>
          <w:rFonts w:ascii="Arial" w:hAnsi="Arial" w:cs="Arial"/>
        </w:rPr>
        <w:t>Özdel</w:t>
      </w:r>
      <w:proofErr w:type="spellEnd"/>
      <w:r w:rsidRPr="00720F1D">
        <w:rPr>
          <w:rFonts w:ascii="Arial" w:hAnsi="Arial" w:cs="Arial"/>
        </w:rPr>
        <w:t xml:space="preserve">, Hart 2015, </w:t>
      </w:r>
      <w:hyperlink r:id="rId1" w:history="1">
        <w:r w:rsidRPr="00720F1D">
          <w:rPr>
            <w:rStyle w:val="Hyperlink"/>
            <w:rFonts w:ascii="Arial" w:hAnsi="Arial" w:cs="Arial"/>
            <w:bCs/>
            <w:i/>
          </w:rPr>
          <w:t>Arbitration Clauses Incorporated by Reference: An Overview of the Pragmatic Approach Developed by European Courts</w:t>
        </w:r>
        <w:bookmarkStart w:id="2" w:name="1"/>
        <w:bookmarkEnd w:id="2"/>
      </w:hyperlink>
      <w:r w:rsidRPr="00720F1D">
        <w:rPr>
          <w:rFonts w:ascii="Arial" w:hAnsi="Arial" w:cs="Arial"/>
        </w:rPr>
        <w:t xml:space="preserve">, </w:t>
      </w:r>
      <w:hyperlink r:id="rId2" w:history="1">
        <w:r w:rsidRPr="00720F1D">
          <w:rPr>
            <w:rStyle w:val="Hyperlink"/>
            <w:rFonts w:ascii="Arial" w:hAnsi="Arial" w:cs="Arial"/>
          </w:rPr>
          <w:t>http://kluwerarbitrationblog.com/blog/2015/03/03/arbitration-clauses-incorporated-by-reference-an-overview-of-the-pragmatic-approach-developed-by-european-courts/?utm_source=feedburner&amp;utm_medium=email&amp;utm_campaign=Feed%3A+KluwerArbitrationBlogFull+%28Kluwer+Arbitration+Blog+-+Latest+Entries%29</w:t>
        </w:r>
      </w:hyperlink>
      <w:r w:rsidRPr="00720F1D">
        <w:rPr>
          <w:rFonts w:ascii="Arial" w:hAnsi="Arial" w:cs="Arial"/>
          <w:sz w:val="24"/>
          <w:szCs w:val="24"/>
        </w:rPr>
        <w:t xml:space="preserve"> </w:t>
      </w:r>
      <w:r>
        <w:rPr>
          <w:rFonts w:ascii="Arial" w:hAnsi="Arial" w:cs="Arial"/>
        </w:rPr>
        <w:t xml:space="preserve">, </w:t>
      </w:r>
      <w:r w:rsidRPr="00591E77">
        <w:rPr>
          <w:rFonts w:ascii="Arial" w:hAnsi="Arial" w:cs="Arial"/>
          <w:i/>
        </w:rPr>
        <w:t>The Channel Ranger</w:t>
      </w:r>
      <w:r>
        <w:rPr>
          <w:rFonts w:ascii="Arial" w:hAnsi="Arial" w:cs="Arial"/>
        </w:rPr>
        <w:t xml:space="preserve"> [2015] QB 366 – discussed below</w:t>
      </w:r>
    </w:p>
  </w:footnote>
  <w:footnote w:id="24">
    <w:p w:rsidR="00124080" w:rsidRPr="00720F1D" w:rsidRDefault="00124080" w:rsidP="00124080">
      <w:pPr>
        <w:pStyle w:val="FootnoteText"/>
        <w:spacing w:after="120"/>
        <w:ind w:left="567" w:hanging="567"/>
        <w:jc w:val="both"/>
        <w:rPr>
          <w:rFonts w:ascii="Arial" w:hAnsi="Arial" w:cs="Arial"/>
        </w:rPr>
      </w:pPr>
      <w:r w:rsidRPr="00720F1D">
        <w:rPr>
          <w:rStyle w:val="FootnoteReference"/>
          <w:rFonts w:ascii="Arial" w:hAnsi="Arial" w:cs="Arial"/>
        </w:rPr>
        <w:footnoteRef/>
      </w:r>
      <w:r w:rsidRPr="00720F1D">
        <w:rPr>
          <w:rFonts w:ascii="Arial" w:hAnsi="Arial" w:cs="Arial"/>
        </w:rPr>
        <w:t xml:space="preserve"> </w:t>
      </w:r>
      <w:r>
        <w:rPr>
          <w:rFonts w:ascii="Arial" w:hAnsi="Arial" w:cs="Arial"/>
        </w:rPr>
        <w:tab/>
      </w:r>
      <w:r w:rsidRPr="00720F1D">
        <w:rPr>
          <w:rFonts w:ascii="Arial" w:hAnsi="Arial" w:cs="Arial"/>
        </w:rPr>
        <w:t xml:space="preserve">[2009] 1 Lloyd's Rep. 666, [2010] 1 Lloyd's Rep. 193. The resulting position has now been reversed by </w:t>
      </w:r>
      <w:proofErr w:type="spellStart"/>
      <w:r w:rsidRPr="00720F1D">
        <w:rPr>
          <w:rFonts w:ascii="Arial" w:hAnsi="Arial" w:cs="Arial"/>
        </w:rPr>
        <w:t>Reg</w:t>
      </w:r>
      <w:proofErr w:type="spellEnd"/>
      <w:r w:rsidRPr="00720F1D">
        <w:rPr>
          <w:rFonts w:ascii="Arial" w:hAnsi="Arial" w:cs="Arial"/>
        </w:rPr>
        <w:t xml:space="preserve"> 1215/2012, with effect from 10 January 2015</w:t>
      </w:r>
      <w:r>
        <w:rPr>
          <w:rFonts w:ascii="Arial" w:hAnsi="Arial" w:cs="Arial"/>
        </w:rPr>
        <w:t>, as discussed below</w:t>
      </w:r>
    </w:p>
  </w:footnote>
  <w:footnote w:id="25">
    <w:p w:rsidR="00124080" w:rsidRPr="00720F1D" w:rsidRDefault="00124080" w:rsidP="00124080">
      <w:pPr>
        <w:pStyle w:val="FootnoteText"/>
        <w:spacing w:after="120"/>
        <w:ind w:left="567" w:hanging="567"/>
        <w:jc w:val="both"/>
        <w:rPr>
          <w:rFonts w:ascii="Arial" w:hAnsi="Arial" w:cs="Arial"/>
        </w:rPr>
      </w:pPr>
      <w:r w:rsidRPr="00720F1D">
        <w:rPr>
          <w:rStyle w:val="FootnoteReference"/>
          <w:rFonts w:ascii="Arial" w:hAnsi="Arial" w:cs="Arial"/>
        </w:rPr>
        <w:footnoteRef/>
      </w:r>
      <w:r w:rsidRPr="00720F1D">
        <w:rPr>
          <w:rFonts w:ascii="Arial" w:hAnsi="Arial" w:cs="Arial"/>
        </w:rPr>
        <w:t xml:space="preserve"> </w:t>
      </w:r>
      <w:r>
        <w:rPr>
          <w:rFonts w:ascii="Arial" w:hAnsi="Arial" w:cs="Arial"/>
        </w:rPr>
        <w:tab/>
      </w:r>
      <w:r w:rsidRPr="00720F1D">
        <w:rPr>
          <w:rFonts w:ascii="Arial" w:hAnsi="Arial" w:cs="Arial"/>
        </w:rPr>
        <w:t>[2012] 2 Lloyd's Rep. 208</w:t>
      </w:r>
    </w:p>
  </w:footnote>
  <w:footnote w:id="26">
    <w:p w:rsidR="00124080" w:rsidRPr="00720F1D" w:rsidRDefault="00124080" w:rsidP="00124080">
      <w:pPr>
        <w:pStyle w:val="FootnoteText"/>
        <w:spacing w:after="120"/>
        <w:ind w:left="567" w:hanging="567"/>
        <w:jc w:val="both"/>
        <w:rPr>
          <w:rFonts w:ascii="Arial" w:hAnsi="Arial" w:cs="Arial"/>
        </w:rPr>
      </w:pPr>
      <w:r w:rsidRPr="00720F1D">
        <w:rPr>
          <w:rStyle w:val="FootnoteReference"/>
          <w:rFonts w:ascii="Arial" w:hAnsi="Arial" w:cs="Arial"/>
        </w:rPr>
        <w:footnoteRef/>
      </w:r>
      <w:r w:rsidRPr="00720F1D">
        <w:rPr>
          <w:rFonts w:ascii="Arial" w:hAnsi="Arial" w:cs="Arial"/>
        </w:rPr>
        <w:t xml:space="preserve">  </w:t>
      </w:r>
      <w:r>
        <w:rPr>
          <w:rFonts w:ascii="Arial" w:hAnsi="Arial" w:cs="Arial"/>
        </w:rPr>
        <w:tab/>
      </w:r>
      <w:r w:rsidRPr="00720F1D">
        <w:rPr>
          <w:rFonts w:ascii="Arial" w:hAnsi="Arial" w:cs="Arial"/>
        </w:rPr>
        <w:t>[2011] 2 Lloyd's Rep. 320</w:t>
      </w:r>
    </w:p>
  </w:footnote>
  <w:footnote w:id="27">
    <w:p w:rsidR="00124080" w:rsidRPr="00720F1D" w:rsidRDefault="00124080" w:rsidP="00124080">
      <w:pPr>
        <w:pStyle w:val="FootnoteText"/>
        <w:spacing w:after="120"/>
        <w:ind w:left="567" w:hanging="567"/>
        <w:jc w:val="both"/>
        <w:rPr>
          <w:rFonts w:ascii="Arial" w:hAnsi="Arial" w:cs="Arial"/>
        </w:rPr>
      </w:pPr>
      <w:r w:rsidRPr="00720F1D">
        <w:rPr>
          <w:rStyle w:val="FootnoteReference"/>
          <w:rFonts w:ascii="Arial" w:hAnsi="Arial" w:cs="Arial"/>
        </w:rPr>
        <w:footnoteRef/>
      </w:r>
      <w:r w:rsidRPr="00720F1D">
        <w:rPr>
          <w:rFonts w:ascii="Arial" w:hAnsi="Arial" w:cs="Arial"/>
        </w:rPr>
        <w:t xml:space="preserve"> </w:t>
      </w:r>
      <w:r w:rsidRPr="00720F1D">
        <w:rPr>
          <w:rFonts w:ascii="Arial" w:hAnsi="Arial" w:cs="Arial"/>
          <w:bCs/>
        </w:rPr>
        <w:t xml:space="preserve"> </w:t>
      </w:r>
      <w:r>
        <w:rPr>
          <w:rFonts w:ascii="Arial" w:hAnsi="Arial" w:cs="Arial"/>
          <w:bCs/>
        </w:rPr>
        <w:tab/>
      </w:r>
      <w:r w:rsidRPr="00720F1D">
        <w:rPr>
          <w:rFonts w:ascii="Arial" w:hAnsi="Arial" w:cs="Arial"/>
          <w:bCs/>
        </w:rPr>
        <w:t>[2012] 1 Lloyd's Rep. 519</w:t>
      </w:r>
    </w:p>
  </w:footnote>
  <w:footnote w:id="28">
    <w:p w:rsidR="00124080" w:rsidRPr="00720F1D" w:rsidRDefault="00124080" w:rsidP="00124080">
      <w:pPr>
        <w:pStyle w:val="FootnoteText"/>
        <w:spacing w:after="120"/>
        <w:ind w:left="567" w:hanging="567"/>
        <w:jc w:val="both"/>
        <w:rPr>
          <w:rFonts w:ascii="Arial" w:hAnsi="Arial" w:cs="Arial"/>
        </w:rPr>
      </w:pPr>
      <w:r w:rsidRPr="00720F1D">
        <w:rPr>
          <w:rStyle w:val="FootnoteReference"/>
          <w:rFonts w:ascii="Arial" w:hAnsi="Arial" w:cs="Arial"/>
        </w:rPr>
        <w:footnoteRef/>
      </w:r>
      <w:r w:rsidRPr="00720F1D">
        <w:rPr>
          <w:rFonts w:ascii="Arial" w:hAnsi="Arial" w:cs="Arial"/>
        </w:rPr>
        <w:t xml:space="preserve"> </w:t>
      </w:r>
      <w:r w:rsidRPr="00720F1D">
        <w:rPr>
          <w:rFonts w:ascii="Arial" w:hAnsi="Arial" w:cs="Arial"/>
          <w:color w:val="000000"/>
        </w:rPr>
        <w:t xml:space="preserve"> </w:t>
      </w:r>
      <w:r>
        <w:rPr>
          <w:rFonts w:ascii="Arial" w:hAnsi="Arial" w:cs="Arial"/>
          <w:color w:val="000000"/>
        </w:rPr>
        <w:tab/>
      </w:r>
      <w:r w:rsidRPr="00720F1D">
        <w:rPr>
          <w:rFonts w:ascii="Arial" w:hAnsi="Arial" w:cs="Arial"/>
          <w:color w:val="000000"/>
        </w:rPr>
        <w:t>[2012] SGHCR 2</w:t>
      </w:r>
    </w:p>
  </w:footnote>
  <w:footnote w:id="29">
    <w:p w:rsidR="00124080" w:rsidRPr="00720F1D" w:rsidRDefault="00124080" w:rsidP="00124080">
      <w:pPr>
        <w:shd w:val="clear" w:color="auto" w:fill="FFFFFF"/>
        <w:spacing w:after="120"/>
        <w:ind w:left="567" w:hanging="567"/>
        <w:jc w:val="both"/>
        <w:outlineLvl w:val="4"/>
        <w:rPr>
          <w:rFonts w:ascii="Arial" w:hAnsi="Arial" w:cs="Arial"/>
          <w:color w:val="000000"/>
          <w:kern w:val="0"/>
          <w:sz w:val="20"/>
          <w:szCs w:val="20"/>
        </w:rPr>
      </w:pPr>
      <w:r w:rsidRPr="00720F1D">
        <w:rPr>
          <w:rStyle w:val="FootnoteReference"/>
          <w:rFonts w:ascii="Arial" w:hAnsi="Arial" w:cs="Arial"/>
          <w:sz w:val="20"/>
          <w:szCs w:val="20"/>
        </w:rPr>
        <w:footnoteRef/>
      </w:r>
      <w:r w:rsidRPr="00720F1D">
        <w:rPr>
          <w:rFonts w:ascii="Arial" w:hAnsi="Arial" w:cs="Arial"/>
          <w:sz w:val="20"/>
          <w:szCs w:val="20"/>
        </w:rPr>
        <w:t xml:space="preserve"> </w:t>
      </w:r>
      <w:r>
        <w:rPr>
          <w:rFonts w:ascii="Arial" w:hAnsi="Arial" w:cs="Arial"/>
          <w:sz w:val="20"/>
          <w:szCs w:val="20"/>
        </w:rPr>
        <w:tab/>
      </w:r>
      <w:r w:rsidRPr="00720F1D">
        <w:rPr>
          <w:rFonts w:ascii="Arial" w:hAnsi="Arial" w:cs="Arial"/>
          <w:color w:val="000000"/>
          <w:kern w:val="0"/>
          <w:sz w:val="20"/>
          <w:szCs w:val="20"/>
        </w:rPr>
        <w:t xml:space="preserve">32 Overseas judgments given in proceedings brought in breach of agreement for settlement of disputes. </w:t>
      </w:r>
      <w:r w:rsidRPr="00720F1D">
        <w:rPr>
          <w:rFonts w:ascii="Arial" w:hAnsi="Arial" w:cs="Arial"/>
          <w:b/>
          <w:bCs/>
          <w:vanish/>
          <w:color w:val="FFFFFF"/>
          <w:kern w:val="0"/>
          <w:sz w:val="20"/>
          <w:szCs w:val="20"/>
        </w:rPr>
        <w:t>E+W+S+N.I.</w:t>
      </w:r>
      <w:r w:rsidRPr="00720F1D">
        <w:rPr>
          <w:rFonts w:ascii="Arial" w:hAnsi="Arial" w:cs="Arial"/>
          <w:color w:val="000000"/>
          <w:kern w:val="0"/>
          <w:sz w:val="20"/>
          <w:szCs w:val="20"/>
        </w:rPr>
        <w:t xml:space="preserve"> (1) Subject to the following provisions of this section, a judgment given by a court of an overseas country in any proceedings shall not be recognised or enforced in the United Kingdom if— (a) the bringing of those proceedings in that court was contrary to an agreement under which the dispute in question was to be settled otherwise than by proceedings in the courts of that country.... [See also now </w:t>
      </w:r>
      <w:proofErr w:type="spellStart"/>
      <w:r w:rsidRPr="00720F1D">
        <w:rPr>
          <w:rFonts w:ascii="Arial" w:hAnsi="Arial" w:cs="Arial"/>
          <w:color w:val="000000"/>
          <w:kern w:val="0"/>
          <w:sz w:val="20"/>
          <w:szCs w:val="20"/>
        </w:rPr>
        <w:t>Reg</w:t>
      </w:r>
      <w:proofErr w:type="spellEnd"/>
      <w:r w:rsidRPr="00720F1D">
        <w:rPr>
          <w:rFonts w:ascii="Arial" w:hAnsi="Arial" w:cs="Arial"/>
          <w:color w:val="000000"/>
          <w:kern w:val="0"/>
          <w:sz w:val="20"/>
          <w:szCs w:val="20"/>
        </w:rPr>
        <w:t xml:space="preserve"> 1215/2012]</w:t>
      </w:r>
    </w:p>
    <w:p w:rsidR="00124080" w:rsidRPr="00720F1D" w:rsidRDefault="00124080" w:rsidP="00124080">
      <w:pPr>
        <w:pStyle w:val="FootnoteText"/>
        <w:spacing w:after="120"/>
        <w:ind w:left="567" w:hanging="567"/>
        <w:jc w:val="both"/>
        <w:rPr>
          <w:rFonts w:ascii="Arial" w:hAnsi="Arial" w:cs="Arial"/>
        </w:rPr>
      </w:pPr>
    </w:p>
  </w:footnote>
  <w:footnote w:id="30">
    <w:p w:rsidR="00124080" w:rsidRPr="00720F1D" w:rsidRDefault="00124080" w:rsidP="00124080">
      <w:pPr>
        <w:pStyle w:val="FootnoteText"/>
        <w:spacing w:after="120"/>
        <w:ind w:left="567" w:hanging="567"/>
        <w:jc w:val="both"/>
        <w:rPr>
          <w:rFonts w:ascii="Arial" w:hAnsi="Arial" w:cs="Arial"/>
        </w:rPr>
      </w:pPr>
      <w:r w:rsidRPr="00720F1D">
        <w:rPr>
          <w:rStyle w:val="FootnoteReference"/>
          <w:rFonts w:ascii="Arial" w:hAnsi="Arial" w:cs="Arial"/>
        </w:rPr>
        <w:footnoteRef/>
      </w:r>
      <w:r w:rsidRPr="00720F1D">
        <w:rPr>
          <w:rFonts w:ascii="Arial" w:hAnsi="Arial" w:cs="Arial"/>
        </w:rPr>
        <w:t xml:space="preserve"> </w:t>
      </w:r>
      <w:r>
        <w:rPr>
          <w:rFonts w:ascii="Arial" w:hAnsi="Arial" w:cs="Arial"/>
        </w:rPr>
        <w:tab/>
      </w:r>
      <w:r w:rsidRPr="00720F1D">
        <w:rPr>
          <w:rFonts w:ascii="Arial" w:hAnsi="Arial" w:cs="Arial"/>
        </w:rPr>
        <w:t xml:space="preserve">See also </w:t>
      </w:r>
      <w:r w:rsidRPr="00720F1D">
        <w:rPr>
          <w:rFonts w:ascii="Arial" w:hAnsi="Arial" w:cs="Arial"/>
          <w:i/>
        </w:rPr>
        <w:t xml:space="preserve">Joint Stock Company Aeroflot v </w:t>
      </w:r>
      <w:proofErr w:type="spellStart"/>
      <w:r w:rsidRPr="00720F1D">
        <w:rPr>
          <w:rFonts w:ascii="Arial" w:hAnsi="Arial" w:cs="Arial"/>
          <w:i/>
        </w:rPr>
        <w:t>Berezovsky</w:t>
      </w:r>
      <w:proofErr w:type="spellEnd"/>
      <w:r w:rsidRPr="00720F1D">
        <w:rPr>
          <w:rFonts w:ascii="Arial" w:hAnsi="Arial" w:cs="Arial"/>
        </w:rPr>
        <w:t xml:space="preserve"> [2013] EWCA 784, paragraphs 70-82 per Aikens L.J.</w:t>
      </w:r>
    </w:p>
  </w:footnote>
  <w:footnote w:id="31">
    <w:p w:rsidR="00124080" w:rsidRPr="00720F1D" w:rsidRDefault="00124080" w:rsidP="00124080">
      <w:pPr>
        <w:pStyle w:val="FootnoteText"/>
        <w:spacing w:after="120"/>
        <w:ind w:left="567" w:hanging="567"/>
        <w:jc w:val="both"/>
        <w:rPr>
          <w:rFonts w:ascii="Arial" w:hAnsi="Arial" w:cs="Arial"/>
        </w:rPr>
      </w:pPr>
      <w:r w:rsidRPr="00720F1D">
        <w:rPr>
          <w:rStyle w:val="FootnoteReference"/>
          <w:rFonts w:ascii="Arial" w:hAnsi="Arial" w:cs="Arial"/>
        </w:rPr>
        <w:footnoteRef/>
      </w:r>
      <w:r w:rsidRPr="00720F1D">
        <w:rPr>
          <w:rFonts w:ascii="Arial" w:hAnsi="Arial" w:cs="Arial"/>
        </w:rPr>
        <w:t xml:space="preserve"> </w:t>
      </w:r>
      <w:r>
        <w:rPr>
          <w:rFonts w:ascii="Arial" w:hAnsi="Arial" w:cs="Arial"/>
        </w:rPr>
        <w:tab/>
      </w:r>
      <w:r w:rsidRPr="00720F1D">
        <w:rPr>
          <w:rFonts w:ascii="Arial" w:hAnsi="Arial" w:cs="Arial"/>
        </w:rPr>
        <w:t xml:space="preserve">[2003] 2 Lloyd's Rep. 430. See also </w:t>
      </w:r>
      <w:r w:rsidRPr="00720F1D">
        <w:rPr>
          <w:rFonts w:ascii="Arial" w:hAnsi="Arial" w:cs="Arial"/>
          <w:i/>
        </w:rPr>
        <w:t xml:space="preserve">Hussmann v </w:t>
      </w:r>
      <w:proofErr w:type="spellStart"/>
      <w:r w:rsidRPr="00720F1D">
        <w:rPr>
          <w:rFonts w:ascii="Arial" w:hAnsi="Arial" w:cs="Arial"/>
          <w:i/>
        </w:rPr>
        <w:t>Pharaon</w:t>
      </w:r>
      <w:proofErr w:type="spellEnd"/>
      <w:r w:rsidRPr="00720F1D">
        <w:rPr>
          <w:rFonts w:ascii="Arial" w:hAnsi="Arial" w:cs="Arial"/>
        </w:rPr>
        <w:t xml:space="preserve"> [2003] EWCA Civ. 266</w:t>
      </w:r>
    </w:p>
  </w:footnote>
  <w:footnote w:id="32">
    <w:p w:rsidR="00124080" w:rsidRPr="00720F1D" w:rsidRDefault="00124080" w:rsidP="00124080">
      <w:pPr>
        <w:pStyle w:val="FootnoteText"/>
        <w:spacing w:after="120"/>
        <w:ind w:left="567" w:hanging="567"/>
        <w:jc w:val="both"/>
        <w:rPr>
          <w:rFonts w:ascii="Arial" w:hAnsi="Arial" w:cs="Arial"/>
        </w:rPr>
      </w:pPr>
      <w:r w:rsidRPr="00720F1D">
        <w:rPr>
          <w:rStyle w:val="FootnoteReference"/>
          <w:rFonts w:ascii="Arial" w:hAnsi="Arial" w:cs="Arial"/>
        </w:rPr>
        <w:footnoteRef/>
      </w:r>
      <w:r w:rsidRPr="00720F1D">
        <w:rPr>
          <w:rFonts w:ascii="Arial" w:hAnsi="Arial" w:cs="Arial"/>
        </w:rPr>
        <w:t xml:space="preserve"> </w:t>
      </w:r>
      <w:r>
        <w:rPr>
          <w:rFonts w:ascii="Arial" w:hAnsi="Arial" w:cs="Arial"/>
        </w:rPr>
        <w:tab/>
      </w:r>
      <w:r w:rsidRPr="00720F1D">
        <w:rPr>
          <w:rFonts w:ascii="Arial" w:hAnsi="Arial" w:cs="Arial"/>
        </w:rPr>
        <w:t xml:space="preserve">[2003] EWCA Civ. 266, and see </w:t>
      </w:r>
      <w:r w:rsidRPr="00720F1D">
        <w:rPr>
          <w:rFonts w:ascii="Arial" w:hAnsi="Arial" w:cs="Arial"/>
          <w:i/>
        </w:rPr>
        <w:t xml:space="preserve">The </w:t>
      </w:r>
      <w:proofErr w:type="spellStart"/>
      <w:r w:rsidRPr="00720F1D">
        <w:rPr>
          <w:rFonts w:ascii="Arial" w:hAnsi="Arial" w:cs="Arial"/>
          <w:i/>
        </w:rPr>
        <w:t>Eleni</w:t>
      </w:r>
      <w:proofErr w:type="spellEnd"/>
      <w:r w:rsidRPr="00720F1D">
        <w:rPr>
          <w:rFonts w:ascii="Arial" w:hAnsi="Arial" w:cs="Arial"/>
          <w:i/>
        </w:rPr>
        <w:t xml:space="preserve"> P</w:t>
      </w:r>
      <w:r w:rsidRPr="00720F1D">
        <w:rPr>
          <w:rFonts w:ascii="Arial" w:hAnsi="Arial" w:cs="Arial"/>
        </w:rPr>
        <w:t xml:space="preserve">  [2014] EWHC 4202 (</w:t>
      </w:r>
      <w:proofErr w:type="spellStart"/>
      <w:r w:rsidRPr="00720F1D">
        <w:rPr>
          <w:rFonts w:ascii="Arial" w:hAnsi="Arial" w:cs="Arial"/>
        </w:rPr>
        <w:t>Comm</w:t>
      </w:r>
      <w:proofErr w:type="spellEnd"/>
      <w:r w:rsidRPr="00720F1D">
        <w:rPr>
          <w:rFonts w:ascii="Arial" w:hAnsi="Arial" w:cs="Arial"/>
        </w:rPr>
        <w:t>)</w:t>
      </w:r>
      <w:r>
        <w:rPr>
          <w:rFonts w:ascii="Arial" w:hAnsi="Arial" w:cs="Arial"/>
        </w:rPr>
        <w:t xml:space="preserve"> para 38</w:t>
      </w:r>
    </w:p>
  </w:footnote>
  <w:footnote w:id="33">
    <w:p w:rsidR="00124080" w:rsidRPr="00720F1D" w:rsidRDefault="00124080" w:rsidP="00124080">
      <w:pPr>
        <w:pStyle w:val="FootnoteText"/>
        <w:spacing w:after="120"/>
        <w:ind w:left="567" w:hanging="567"/>
        <w:jc w:val="both"/>
        <w:rPr>
          <w:rFonts w:ascii="Arial" w:hAnsi="Arial" w:cs="Arial"/>
        </w:rPr>
      </w:pPr>
      <w:r w:rsidRPr="00720F1D">
        <w:rPr>
          <w:rStyle w:val="FootnoteReference"/>
          <w:rFonts w:ascii="Arial" w:hAnsi="Arial" w:cs="Arial"/>
        </w:rPr>
        <w:footnoteRef/>
      </w:r>
      <w:r w:rsidRPr="00720F1D">
        <w:rPr>
          <w:rFonts w:ascii="Arial" w:hAnsi="Arial" w:cs="Arial"/>
        </w:rPr>
        <w:t xml:space="preserve"> </w:t>
      </w:r>
      <w:r w:rsidRPr="00720F1D">
        <w:rPr>
          <w:rFonts w:ascii="Arial" w:hAnsi="Arial" w:cs="Arial"/>
          <w:bCs/>
        </w:rPr>
        <w:t xml:space="preserve"> </w:t>
      </w:r>
      <w:r>
        <w:rPr>
          <w:rFonts w:ascii="Arial" w:hAnsi="Arial" w:cs="Arial"/>
          <w:bCs/>
        </w:rPr>
        <w:tab/>
      </w:r>
      <w:r w:rsidRPr="00720F1D">
        <w:rPr>
          <w:rFonts w:ascii="Arial" w:hAnsi="Arial" w:cs="Arial"/>
          <w:bCs/>
        </w:rPr>
        <w:t xml:space="preserve">[2012] 1 Lloyd's Rep. 275, </w:t>
      </w:r>
      <w:proofErr w:type="spellStart"/>
      <w:r w:rsidRPr="00720F1D">
        <w:rPr>
          <w:rFonts w:ascii="Arial" w:hAnsi="Arial" w:cs="Arial"/>
          <w:bCs/>
        </w:rPr>
        <w:t>affd</w:t>
      </w:r>
      <w:proofErr w:type="spellEnd"/>
      <w:r w:rsidRPr="00720F1D">
        <w:rPr>
          <w:rFonts w:ascii="Arial" w:hAnsi="Arial" w:cs="Arial"/>
          <w:bCs/>
        </w:rPr>
        <w:t>. [2012] 1 Lloyd's Rep. 671</w:t>
      </w:r>
    </w:p>
  </w:footnote>
  <w:footnote w:id="34">
    <w:p w:rsidR="00124080" w:rsidRPr="00720F1D" w:rsidRDefault="00124080" w:rsidP="00124080">
      <w:pPr>
        <w:pStyle w:val="FootnoteText"/>
        <w:spacing w:after="120"/>
        <w:ind w:left="567" w:hanging="567"/>
        <w:jc w:val="both"/>
        <w:rPr>
          <w:rFonts w:ascii="Arial" w:hAnsi="Arial" w:cs="Arial"/>
        </w:rPr>
      </w:pPr>
      <w:r w:rsidRPr="00720F1D">
        <w:rPr>
          <w:rStyle w:val="FootnoteReference"/>
          <w:rFonts w:ascii="Arial" w:hAnsi="Arial" w:cs="Arial"/>
        </w:rPr>
        <w:footnoteRef/>
      </w:r>
      <w:r w:rsidRPr="00720F1D">
        <w:rPr>
          <w:rFonts w:ascii="Arial" w:hAnsi="Arial" w:cs="Arial"/>
        </w:rPr>
        <w:t xml:space="preserve"> </w:t>
      </w:r>
      <w:r>
        <w:rPr>
          <w:rFonts w:ascii="Arial" w:hAnsi="Arial" w:cs="Arial"/>
        </w:rPr>
        <w:tab/>
      </w:r>
      <w:r w:rsidRPr="00720F1D">
        <w:rPr>
          <w:rFonts w:ascii="Arial" w:hAnsi="Arial" w:cs="Arial"/>
          <w:bCs/>
        </w:rPr>
        <w:t>[2012] 1 Lloyd's Rep. 519</w:t>
      </w:r>
    </w:p>
  </w:footnote>
  <w:footnote w:id="35">
    <w:p w:rsidR="00124080" w:rsidRPr="00720F1D" w:rsidRDefault="00124080" w:rsidP="00124080">
      <w:pPr>
        <w:pStyle w:val="FootnoteText"/>
        <w:spacing w:after="120"/>
        <w:ind w:left="567" w:hanging="567"/>
        <w:jc w:val="both"/>
        <w:rPr>
          <w:rFonts w:ascii="Arial" w:hAnsi="Arial" w:cs="Arial"/>
        </w:rPr>
      </w:pPr>
      <w:r w:rsidRPr="00720F1D">
        <w:rPr>
          <w:rStyle w:val="FootnoteReference"/>
          <w:rFonts w:ascii="Arial" w:hAnsi="Arial" w:cs="Arial"/>
        </w:rPr>
        <w:footnoteRef/>
      </w:r>
      <w:r w:rsidRPr="00720F1D">
        <w:rPr>
          <w:rFonts w:ascii="Arial" w:hAnsi="Arial" w:cs="Arial"/>
        </w:rPr>
        <w:t xml:space="preserve"> </w:t>
      </w:r>
      <w:r>
        <w:rPr>
          <w:rFonts w:ascii="Arial" w:hAnsi="Arial" w:cs="Arial"/>
        </w:rPr>
        <w:tab/>
      </w:r>
      <w:r w:rsidRPr="00720F1D">
        <w:rPr>
          <w:rFonts w:ascii="Arial" w:hAnsi="Arial" w:cs="Arial"/>
          <w:color w:val="000000"/>
          <w:bdr w:val="none" w:sz="0" w:space="0" w:color="auto" w:frame="1"/>
        </w:rPr>
        <w:t>[2012] 1 Lloyd's Rep. 662</w:t>
      </w:r>
    </w:p>
  </w:footnote>
  <w:footnote w:id="36">
    <w:p w:rsidR="00124080" w:rsidRPr="00720F1D" w:rsidRDefault="00124080" w:rsidP="00124080">
      <w:pPr>
        <w:pStyle w:val="FootnoteText"/>
        <w:spacing w:after="120"/>
        <w:ind w:left="567" w:hanging="567"/>
        <w:jc w:val="both"/>
        <w:rPr>
          <w:rFonts w:ascii="Arial" w:hAnsi="Arial" w:cs="Arial"/>
        </w:rPr>
      </w:pPr>
      <w:r w:rsidRPr="00720F1D">
        <w:rPr>
          <w:rStyle w:val="FootnoteReference"/>
          <w:rFonts w:ascii="Arial" w:hAnsi="Arial" w:cs="Arial"/>
        </w:rPr>
        <w:footnoteRef/>
      </w:r>
      <w:r w:rsidRPr="00720F1D">
        <w:rPr>
          <w:rFonts w:ascii="Arial" w:hAnsi="Arial" w:cs="Arial"/>
        </w:rPr>
        <w:t xml:space="preserve"> </w:t>
      </w:r>
      <w:r w:rsidRPr="00720F1D">
        <w:rPr>
          <w:rFonts w:ascii="Arial" w:hAnsi="Arial" w:cs="Arial"/>
          <w:color w:val="000000"/>
        </w:rPr>
        <w:t xml:space="preserve"> </w:t>
      </w:r>
      <w:r>
        <w:rPr>
          <w:rFonts w:ascii="Arial" w:hAnsi="Arial" w:cs="Arial"/>
          <w:color w:val="000000"/>
        </w:rPr>
        <w:tab/>
      </w:r>
      <w:r w:rsidRPr="00720F1D">
        <w:rPr>
          <w:rFonts w:ascii="Arial" w:hAnsi="Arial" w:cs="Arial"/>
          <w:color w:val="000000"/>
        </w:rPr>
        <w:t>[2012] SGHCR 10</w:t>
      </w:r>
    </w:p>
  </w:footnote>
  <w:footnote w:id="37">
    <w:p w:rsidR="00124080" w:rsidRPr="00720F1D" w:rsidRDefault="00124080" w:rsidP="00124080">
      <w:pPr>
        <w:pStyle w:val="FootnoteText"/>
        <w:spacing w:after="120"/>
        <w:ind w:left="567" w:hanging="567"/>
        <w:jc w:val="both"/>
        <w:rPr>
          <w:rFonts w:ascii="Arial" w:hAnsi="Arial" w:cs="Arial"/>
          <w:b/>
        </w:rPr>
      </w:pPr>
      <w:r w:rsidRPr="00720F1D">
        <w:rPr>
          <w:rStyle w:val="FootnoteReference"/>
          <w:rFonts w:ascii="Arial" w:hAnsi="Arial" w:cs="Arial"/>
        </w:rPr>
        <w:footnoteRef/>
      </w:r>
      <w:r w:rsidRPr="00720F1D">
        <w:rPr>
          <w:rFonts w:ascii="Arial" w:hAnsi="Arial" w:cs="Arial"/>
        </w:rPr>
        <w:t xml:space="preserve"> </w:t>
      </w:r>
      <w:r>
        <w:rPr>
          <w:rFonts w:ascii="Arial" w:hAnsi="Arial" w:cs="Arial"/>
        </w:rPr>
        <w:tab/>
      </w:r>
      <w:r w:rsidRPr="00720F1D">
        <w:rPr>
          <w:rFonts w:ascii="Arial" w:hAnsi="Arial" w:cs="Arial"/>
        </w:rPr>
        <w:t xml:space="preserve">Including </w:t>
      </w:r>
      <w:r w:rsidRPr="00720F1D">
        <w:rPr>
          <w:rFonts w:ascii="Arial" w:hAnsi="Arial" w:cs="Arial"/>
          <w:i/>
        </w:rPr>
        <w:t xml:space="preserve">The Front </w:t>
      </w:r>
      <w:proofErr w:type="spellStart"/>
      <w:r w:rsidRPr="00720F1D">
        <w:rPr>
          <w:rFonts w:ascii="Arial" w:hAnsi="Arial" w:cs="Arial"/>
          <w:i/>
        </w:rPr>
        <w:t>Comor</w:t>
      </w:r>
      <w:proofErr w:type="spellEnd"/>
      <w:r w:rsidRPr="00720F1D">
        <w:rPr>
          <w:rFonts w:ascii="Arial" w:hAnsi="Arial" w:cs="Arial"/>
        </w:rPr>
        <w:t xml:space="preserve"> [2009] 1 AC 1138, </w:t>
      </w:r>
      <w:r w:rsidRPr="00720F1D">
        <w:rPr>
          <w:rFonts w:ascii="Arial" w:hAnsi="Arial" w:cs="Arial"/>
          <w:i/>
        </w:rPr>
        <w:t xml:space="preserve">The </w:t>
      </w:r>
      <w:proofErr w:type="spellStart"/>
      <w:r w:rsidRPr="00720F1D">
        <w:rPr>
          <w:rFonts w:ascii="Arial" w:hAnsi="Arial" w:cs="Arial"/>
          <w:i/>
        </w:rPr>
        <w:t>Wadi</w:t>
      </w:r>
      <w:proofErr w:type="spellEnd"/>
      <w:r w:rsidRPr="00720F1D">
        <w:rPr>
          <w:rFonts w:ascii="Arial" w:hAnsi="Arial" w:cs="Arial"/>
          <w:i/>
        </w:rPr>
        <w:t xml:space="preserve"> </w:t>
      </w:r>
      <w:proofErr w:type="spellStart"/>
      <w:r w:rsidRPr="00720F1D">
        <w:rPr>
          <w:rFonts w:ascii="Arial" w:hAnsi="Arial" w:cs="Arial"/>
          <w:i/>
        </w:rPr>
        <w:t>Sudr</w:t>
      </w:r>
      <w:proofErr w:type="spellEnd"/>
      <w:r w:rsidRPr="00720F1D">
        <w:rPr>
          <w:rFonts w:ascii="Arial" w:hAnsi="Arial" w:cs="Arial"/>
        </w:rPr>
        <w:t xml:space="preserve"> [2010] 1 Lloyd's Rep. 193</w:t>
      </w:r>
      <w:r w:rsidRPr="00720F1D">
        <w:rPr>
          <w:rFonts w:ascii="Arial" w:hAnsi="Arial" w:cs="Arial"/>
          <w:b/>
        </w:rPr>
        <w:t xml:space="preserve">, </w:t>
      </w:r>
      <w:r w:rsidRPr="00720F1D">
        <w:rPr>
          <w:rStyle w:val="Strong"/>
          <w:rFonts w:ascii="Arial" w:hAnsi="Arial" w:cs="Arial"/>
          <w:b w:val="0"/>
          <w:i/>
        </w:rPr>
        <w:t xml:space="preserve">Marc Rich &amp; Co AG v </w:t>
      </w:r>
      <w:proofErr w:type="spellStart"/>
      <w:r w:rsidRPr="00720F1D">
        <w:rPr>
          <w:rStyle w:val="Strong"/>
          <w:rFonts w:ascii="Arial" w:hAnsi="Arial" w:cs="Arial"/>
          <w:b w:val="0"/>
          <w:i/>
        </w:rPr>
        <w:t>Societa</w:t>
      </w:r>
      <w:proofErr w:type="spellEnd"/>
      <w:r w:rsidRPr="00720F1D">
        <w:rPr>
          <w:rStyle w:val="Strong"/>
          <w:rFonts w:ascii="Arial" w:hAnsi="Arial" w:cs="Arial"/>
          <w:b w:val="0"/>
          <w:i/>
        </w:rPr>
        <w:t xml:space="preserve"> </w:t>
      </w:r>
      <w:proofErr w:type="spellStart"/>
      <w:r w:rsidRPr="00720F1D">
        <w:rPr>
          <w:rStyle w:val="Strong"/>
          <w:rFonts w:ascii="Arial" w:hAnsi="Arial" w:cs="Arial"/>
          <w:b w:val="0"/>
          <w:i/>
        </w:rPr>
        <w:t>Italiana</w:t>
      </w:r>
      <w:proofErr w:type="spellEnd"/>
      <w:r w:rsidRPr="00720F1D">
        <w:rPr>
          <w:rStyle w:val="Strong"/>
          <w:rFonts w:ascii="Arial" w:hAnsi="Arial" w:cs="Arial"/>
          <w:b w:val="0"/>
          <w:i/>
        </w:rPr>
        <w:t xml:space="preserve"> </w:t>
      </w:r>
      <w:proofErr w:type="spellStart"/>
      <w:r w:rsidRPr="00720F1D">
        <w:rPr>
          <w:rStyle w:val="Strong"/>
          <w:rFonts w:ascii="Arial" w:hAnsi="Arial" w:cs="Arial"/>
          <w:b w:val="0"/>
          <w:i/>
        </w:rPr>
        <w:t>Impianti</w:t>
      </w:r>
      <w:proofErr w:type="spellEnd"/>
      <w:r w:rsidRPr="00720F1D">
        <w:rPr>
          <w:rStyle w:val="Strong"/>
          <w:rFonts w:ascii="Arial" w:hAnsi="Arial" w:cs="Arial"/>
          <w:b w:val="0"/>
          <w:i/>
        </w:rPr>
        <w:t xml:space="preserve"> </w:t>
      </w:r>
      <w:proofErr w:type="spellStart"/>
      <w:r w:rsidRPr="00720F1D">
        <w:rPr>
          <w:rStyle w:val="Strong"/>
          <w:rFonts w:ascii="Arial" w:hAnsi="Arial" w:cs="Arial"/>
          <w:b w:val="0"/>
          <w:i/>
        </w:rPr>
        <w:t>SpA</w:t>
      </w:r>
      <w:proofErr w:type="spellEnd"/>
      <w:r w:rsidRPr="00720F1D">
        <w:rPr>
          <w:rStyle w:val="Strong"/>
          <w:rFonts w:ascii="Arial" w:hAnsi="Arial" w:cs="Arial"/>
        </w:rPr>
        <w:t xml:space="preserve"> </w:t>
      </w:r>
      <w:hyperlink r:id="rId3" w:history="1">
        <w:r w:rsidRPr="00720F1D">
          <w:rPr>
            <w:rFonts w:ascii="Arial" w:hAnsi="Arial" w:cs="Arial"/>
          </w:rPr>
          <w:t>[1992] 1 Lloyd's Rep. 342</w:t>
        </w:r>
      </w:hyperlink>
      <w:r w:rsidRPr="00720F1D">
        <w:rPr>
          <w:rFonts w:ascii="Arial" w:hAnsi="Arial" w:cs="Arial"/>
        </w:rPr>
        <w:t xml:space="preserve">, </w:t>
      </w:r>
      <w:r w:rsidRPr="00720F1D">
        <w:rPr>
          <w:rFonts w:ascii="Arial" w:hAnsi="Arial" w:cs="Arial"/>
          <w:i/>
        </w:rPr>
        <w:t xml:space="preserve">The Ivan </w:t>
      </w:r>
      <w:proofErr w:type="spellStart"/>
      <w:r w:rsidRPr="00720F1D">
        <w:rPr>
          <w:rFonts w:ascii="Arial" w:hAnsi="Arial" w:cs="Arial"/>
          <w:i/>
        </w:rPr>
        <w:t>Zubanski</w:t>
      </w:r>
      <w:proofErr w:type="spellEnd"/>
      <w:r w:rsidRPr="00720F1D">
        <w:rPr>
          <w:rFonts w:ascii="Arial" w:hAnsi="Arial" w:cs="Arial"/>
        </w:rPr>
        <w:t xml:space="preserve">  [2002] 1 Lloyd's Rep. 106 and the cases cited therein</w:t>
      </w:r>
    </w:p>
  </w:footnote>
  <w:footnote w:id="38">
    <w:p w:rsidR="00124080" w:rsidRPr="00720F1D" w:rsidRDefault="00124080" w:rsidP="00124080">
      <w:pPr>
        <w:pStyle w:val="FootnoteText"/>
        <w:spacing w:after="120"/>
        <w:ind w:left="567" w:hanging="567"/>
        <w:jc w:val="both"/>
        <w:rPr>
          <w:rFonts w:ascii="Arial" w:hAnsi="Arial" w:cs="Arial"/>
          <w:lang w:val="en-US"/>
        </w:rPr>
      </w:pPr>
      <w:r w:rsidRPr="00720F1D">
        <w:rPr>
          <w:rStyle w:val="FootnoteReference"/>
          <w:rFonts w:ascii="Arial" w:hAnsi="Arial" w:cs="Arial"/>
        </w:rPr>
        <w:footnoteRef/>
      </w:r>
      <w:r w:rsidRPr="00720F1D">
        <w:rPr>
          <w:rFonts w:ascii="Arial" w:hAnsi="Arial" w:cs="Arial"/>
        </w:rPr>
        <w:t xml:space="preserve"> </w:t>
      </w:r>
      <w:r w:rsidRPr="00720F1D">
        <w:rPr>
          <w:rFonts w:ascii="Arial" w:hAnsi="Arial" w:cs="Arial"/>
          <w:lang w:val="en-US"/>
        </w:rPr>
        <w:tab/>
      </w:r>
      <w:r w:rsidRPr="00720F1D">
        <w:rPr>
          <w:rFonts w:ascii="Arial" w:hAnsi="Arial" w:cs="Arial"/>
          <w:i/>
        </w:rPr>
        <w:t>Donohue v Armco</w:t>
      </w:r>
      <w:r w:rsidRPr="00720F1D">
        <w:rPr>
          <w:rFonts w:ascii="Arial" w:hAnsi="Arial" w:cs="Arial"/>
          <w:lang w:val="en-US"/>
        </w:rPr>
        <w:t xml:space="preserve"> [2002] 1 Lloyd’s rep. 425 para. 24, per Lord Bingham.</w:t>
      </w:r>
    </w:p>
  </w:footnote>
  <w:footnote w:id="39">
    <w:p w:rsidR="00124080" w:rsidRPr="00720F1D" w:rsidRDefault="00124080" w:rsidP="00124080">
      <w:pPr>
        <w:pStyle w:val="FootnoteText"/>
        <w:spacing w:after="120"/>
        <w:ind w:left="567" w:hanging="567"/>
        <w:jc w:val="both"/>
        <w:rPr>
          <w:rFonts w:ascii="Arial" w:hAnsi="Arial" w:cs="Arial"/>
          <w:lang w:val="en-US"/>
        </w:rPr>
      </w:pPr>
      <w:r w:rsidRPr="00720F1D">
        <w:rPr>
          <w:rStyle w:val="FootnoteReference"/>
          <w:rFonts w:ascii="Arial" w:hAnsi="Arial" w:cs="Arial"/>
        </w:rPr>
        <w:footnoteRef/>
      </w:r>
      <w:r w:rsidRPr="00720F1D">
        <w:rPr>
          <w:rFonts w:ascii="Arial" w:hAnsi="Arial" w:cs="Arial"/>
        </w:rPr>
        <w:t xml:space="preserve"> </w:t>
      </w:r>
      <w:r w:rsidRPr="00720F1D">
        <w:rPr>
          <w:rFonts w:ascii="Arial" w:hAnsi="Arial" w:cs="Arial"/>
          <w:lang w:val="en-US"/>
        </w:rPr>
        <w:tab/>
      </w:r>
      <w:proofErr w:type="spellStart"/>
      <w:r w:rsidRPr="00720F1D">
        <w:rPr>
          <w:rFonts w:ascii="Arial" w:hAnsi="Arial" w:cs="Arial"/>
          <w:i/>
          <w:lang w:val="en-US"/>
        </w:rPr>
        <w:t>Angeliki</w:t>
      </w:r>
      <w:proofErr w:type="spellEnd"/>
      <w:r w:rsidRPr="00720F1D">
        <w:rPr>
          <w:rFonts w:ascii="Arial" w:hAnsi="Arial" w:cs="Arial"/>
          <w:i/>
          <w:lang w:val="en-US"/>
        </w:rPr>
        <w:t xml:space="preserve"> Charis </w:t>
      </w:r>
      <w:proofErr w:type="spellStart"/>
      <w:r w:rsidRPr="00720F1D">
        <w:rPr>
          <w:rFonts w:ascii="Arial" w:hAnsi="Arial" w:cs="Arial"/>
          <w:i/>
          <w:lang w:val="en-US"/>
        </w:rPr>
        <w:t>Compania</w:t>
      </w:r>
      <w:proofErr w:type="spellEnd"/>
      <w:r w:rsidRPr="00720F1D">
        <w:rPr>
          <w:rFonts w:ascii="Arial" w:hAnsi="Arial" w:cs="Arial"/>
          <w:i/>
          <w:lang w:val="en-US"/>
        </w:rPr>
        <w:t xml:space="preserve"> </w:t>
      </w:r>
      <w:proofErr w:type="spellStart"/>
      <w:r w:rsidRPr="00720F1D">
        <w:rPr>
          <w:rFonts w:ascii="Arial" w:hAnsi="Arial" w:cs="Arial"/>
          <w:i/>
          <w:lang w:val="en-US"/>
        </w:rPr>
        <w:t>Maritima</w:t>
      </w:r>
      <w:proofErr w:type="spellEnd"/>
      <w:r w:rsidRPr="00720F1D">
        <w:rPr>
          <w:rFonts w:ascii="Arial" w:hAnsi="Arial" w:cs="Arial"/>
          <w:i/>
          <w:lang w:val="en-US"/>
        </w:rPr>
        <w:t xml:space="preserve"> SA v </w:t>
      </w:r>
      <w:proofErr w:type="spellStart"/>
      <w:r w:rsidRPr="00720F1D">
        <w:rPr>
          <w:rFonts w:ascii="Arial" w:hAnsi="Arial" w:cs="Arial"/>
          <w:i/>
          <w:lang w:val="en-US"/>
        </w:rPr>
        <w:t>Pagnan</w:t>
      </w:r>
      <w:proofErr w:type="spellEnd"/>
      <w:r w:rsidRPr="00720F1D">
        <w:rPr>
          <w:rFonts w:ascii="Arial" w:hAnsi="Arial" w:cs="Arial"/>
          <w:i/>
          <w:lang w:val="en-US"/>
        </w:rPr>
        <w:t xml:space="preserve"> </w:t>
      </w:r>
      <w:proofErr w:type="spellStart"/>
      <w:r w:rsidRPr="00720F1D">
        <w:rPr>
          <w:rFonts w:ascii="Arial" w:hAnsi="Arial" w:cs="Arial"/>
          <w:i/>
          <w:lang w:val="en-US"/>
        </w:rPr>
        <w:t>SpA</w:t>
      </w:r>
      <w:proofErr w:type="spellEnd"/>
      <w:r w:rsidRPr="00720F1D">
        <w:rPr>
          <w:rFonts w:ascii="Arial" w:hAnsi="Arial" w:cs="Arial"/>
          <w:i/>
          <w:lang w:val="en-US"/>
        </w:rPr>
        <w:t xml:space="preserve"> (The Angelic Grace)</w:t>
      </w:r>
      <w:r w:rsidRPr="00720F1D">
        <w:rPr>
          <w:rFonts w:ascii="Arial" w:hAnsi="Arial" w:cs="Arial"/>
          <w:lang w:val="en-US"/>
        </w:rPr>
        <w:t xml:space="preserve"> [1995] 1 Lloyd’s Rep. 87 at 96.</w:t>
      </w:r>
    </w:p>
  </w:footnote>
  <w:footnote w:id="40">
    <w:p w:rsidR="00124080" w:rsidRPr="00720F1D" w:rsidRDefault="00124080" w:rsidP="00124080">
      <w:pPr>
        <w:pStyle w:val="FootnoteText"/>
        <w:spacing w:after="120"/>
        <w:ind w:left="567" w:hanging="567"/>
        <w:jc w:val="both"/>
        <w:rPr>
          <w:rFonts w:ascii="Arial" w:hAnsi="Arial" w:cs="Arial"/>
          <w:lang w:val="en-US"/>
        </w:rPr>
      </w:pPr>
      <w:r w:rsidRPr="00720F1D">
        <w:rPr>
          <w:rStyle w:val="FootnoteReference"/>
          <w:rFonts w:ascii="Arial" w:hAnsi="Arial" w:cs="Arial"/>
        </w:rPr>
        <w:footnoteRef/>
      </w:r>
      <w:r w:rsidRPr="00720F1D">
        <w:rPr>
          <w:rFonts w:ascii="Arial" w:hAnsi="Arial" w:cs="Arial"/>
        </w:rPr>
        <w:t xml:space="preserve"> </w:t>
      </w:r>
      <w:r w:rsidRPr="00720F1D">
        <w:rPr>
          <w:rFonts w:ascii="Arial" w:hAnsi="Arial" w:cs="Arial"/>
          <w:lang w:val="en-US"/>
        </w:rPr>
        <w:tab/>
        <w:t xml:space="preserve">See </w:t>
      </w:r>
      <w:r w:rsidRPr="00720F1D">
        <w:rPr>
          <w:rFonts w:ascii="Arial" w:hAnsi="Arial" w:cs="Arial"/>
          <w:i/>
          <w:lang w:val="en-US"/>
        </w:rPr>
        <w:t xml:space="preserve">Deutsche Bank AG and another v Highland Crusader Offshore Partners LP </w:t>
      </w:r>
      <w:r w:rsidRPr="00720F1D">
        <w:rPr>
          <w:rFonts w:ascii="Arial" w:hAnsi="Arial" w:cs="Arial"/>
          <w:lang w:val="en-US"/>
        </w:rPr>
        <w:t xml:space="preserve">[2010] 1 W.L.R. 1023 at para. 50, per </w:t>
      </w:r>
      <w:proofErr w:type="spellStart"/>
      <w:r w:rsidRPr="00720F1D">
        <w:rPr>
          <w:rFonts w:ascii="Arial" w:hAnsi="Arial" w:cs="Arial"/>
          <w:lang w:val="en-US"/>
        </w:rPr>
        <w:t>Toulson</w:t>
      </w:r>
      <w:proofErr w:type="spellEnd"/>
      <w:r w:rsidRPr="00720F1D">
        <w:rPr>
          <w:rFonts w:ascii="Arial" w:hAnsi="Arial" w:cs="Arial"/>
          <w:lang w:val="en-US"/>
        </w:rPr>
        <w:t xml:space="preserve"> LJ.  </w:t>
      </w:r>
    </w:p>
  </w:footnote>
  <w:footnote w:id="41">
    <w:p w:rsidR="00124080" w:rsidRPr="00720F1D" w:rsidRDefault="00124080" w:rsidP="00124080">
      <w:pPr>
        <w:pStyle w:val="FootnoteText"/>
        <w:spacing w:after="120"/>
        <w:ind w:left="567" w:hanging="567"/>
        <w:jc w:val="both"/>
        <w:rPr>
          <w:rFonts w:ascii="Arial" w:hAnsi="Arial" w:cs="Arial"/>
          <w:lang w:val="en-US"/>
        </w:rPr>
      </w:pPr>
      <w:r w:rsidRPr="00720F1D">
        <w:rPr>
          <w:rStyle w:val="FootnoteReference"/>
          <w:rFonts w:ascii="Arial" w:hAnsi="Arial" w:cs="Arial"/>
        </w:rPr>
        <w:footnoteRef/>
      </w:r>
      <w:r w:rsidRPr="00720F1D">
        <w:rPr>
          <w:rFonts w:ascii="Arial" w:hAnsi="Arial" w:cs="Arial"/>
        </w:rPr>
        <w:t xml:space="preserve"> </w:t>
      </w:r>
      <w:r w:rsidRPr="00720F1D">
        <w:rPr>
          <w:rFonts w:ascii="Arial" w:hAnsi="Arial" w:cs="Arial"/>
          <w:lang w:val="en-US"/>
        </w:rPr>
        <w:tab/>
        <w:t>ibid.</w:t>
      </w:r>
    </w:p>
  </w:footnote>
  <w:footnote w:id="42">
    <w:p w:rsidR="00124080" w:rsidRPr="00720F1D" w:rsidRDefault="00124080" w:rsidP="00124080">
      <w:pPr>
        <w:pStyle w:val="FootnoteText"/>
        <w:spacing w:after="120"/>
        <w:ind w:left="567" w:hanging="567"/>
        <w:jc w:val="both"/>
        <w:rPr>
          <w:rFonts w:ascii="Arial" w:hAnsi="Arial" w:cs="Arial"/>
          <w:lang w:val="en-US"/>
        </w:rPr>
      </w:pPr>
      <w:r w:rsidRPr="00720F1D">
        <w:rPr>
          <w:rStyle w:val="FootnoteReference"/>
          <w:rFonts w:ascii="Arial" w:hAnsi="Arial" w:cs="Arial"/>
        </w:rPr>
        <w:footnoteRef/>
      </w:r>
      <w:r w:rsidRPr="00720F1D">
        <w:rPr>
          <w:rFonts w:ascii="Arial" w:hAnsi="Arial" w:cs="Arial"/>
        </w:rPr>
        <w:t xml:space="preserve"> </w:t>
      </w:r>
      <w:r w:rsidRPr="00720F1D">
        <w:rPr>
          <w:rFonts w:ascii="Arial" w:hAnsi="Arial" w:cs="Arial"/>
          <w:lang w:val="en-US"/>
        </w:rPr>
        <w:tab/>
        <w:t>Regulation (EU) No. 1215/2012 of the European Parliament and the Council of 12 December 2012 on jurisdiction and the recognition and enforcement of judgments in civil and commercial matters (recast).</w:t>
      </w:r>
    </w:p>
  </w:footnote>
  <w:footnote w:id="43">
    <w:p w:rsidR="00124080" w:rsidRPr="00720F1D" w:rsidRDefault="00124080" w:rsidP="00124080">
      <w:pPr>
        <w:pStyle w:val="FootnoteText"/>
        <w:spacing w:after="120"/>
        <w:ind w:left="567" w:hanging="567"/>
        <w:jc w:val="both"/>
        <w:rPr>
          <w:rFonts w:ascii="Arial" w:hAnsi="Arial" w:cs="Arial"/>
          <w:lang w:val="en-US"/>
        </w:rPr>
      </w:pPr>
      <w:r w:rsidRPr="00720F1D">
        <w:rPr>
          <w:rStyle w:val="FootnoteReference"/>
          <w:rFonts w:ascii="Arial" w:hAnsi="Arial" w:cs="Arial"/>
        </w:rPr>
        <w:footnoteRef/>
      </w:r>
      <w:r w:rsidRPr="00720F1D">
        <w:rPr>
          <w:rFonts w:ascii="Arial" w:hAnsi="Arial" w:cs="Arial"/>
        </w:rPr>
        <w:t xml:space="preserve"> </w:t>
      </w:r>
      <w:r w:rsidRPr="00720F1D">
        <w:rPr>
          <w:rFonts w:ascii="Arial" w:hAnsi="Arial" w:cs="Arial"/>
          <w:lang w:val="en-US"/>
        </w:rPr>
        <w:tab/>
      </w:r>
      <w:r w:rsidRPr="00720F1D">
        <w:rPr>
          <w:rFonts w:ascii="Arial" w:hAnsi="Arial" w:cs="Arial"/>
        </w:rPr>
        <w:t xml:space="preserve">Case C-159/02 </w:t>
      </w:r>
      <w:r w:rsidRPr="00720F1D">
        <w:rPr>
          <w:rFonts w:ascii="Arial" w:hAnsi="Arial" w:cs="Arial"/>
          <w:i/>
        </w:rPr>
        <w:t xml:space="preserve">Turner v </w:t>
      </w:r>
      <w:proofErr w:type="spellStart"/>
      <w:r w:rsidRPr="00720F1D">
        <w:rPr>
          <w:rFonts w:ascii="Arial" w:hAnsi="Arial" w:cs="Arial"/>
          <w:i/>
        </w:rPr>
        <w:t>Grovit</w:t>
      </w:r>
      <w:proofErr w:type="spellEnd"/>
      <w:r w:rsidRPr="00720F1D">
        <w:rPr>
          <w:rFonts w:ascii="Arial" w:hAnsi="Arial" w:cs="Arial"/>
          <w:i/>
        </w:rPr>
        <w:t xml:space="preserve"> and others</w:t>
      </w:r>
      <w:r w:rsidRPr="00720F1D">
        <w:rPr>
          <w:rFonts w:ascii="Arial" w:hAnsi="Arial" w:cs="Arial"/>
          <w:lang w:val="en-US"/>
        </w:rPr>
        <w:t xml:space="preserve"> EU:C:2004:228; [2005] 1 A.C. 101.</w:t>
      </w:r>
    </w:p>
  </w:footnote>
  <w:footnote w:id="44">
    <w:p w:rsidR="00124080" w:rsidRPr="00720F1D" w:rsidRDefault="00124080" w:rsidP="00124080">
      <w:pPr>
        <w:pStyle w:val="FootnoteText"/>
        <w:spacing w:after="120"/>
        <w:ind w:left="567" w:hanging="567"/>
        <w:jc w:val="both"/>
        <w:rPr>
          <w:rFonts w:ascii="Arial" w:hAnsi="Arial" w:cs="Arial"/>
          <w:lang w:val="en-US"/>
        </w:rPr>
      </w:pPr>
      <w:r w:rsidRPr="00720F1D">
        <w:rPr>
          <w:rStyle w:val="FootnoteReference"/>
          <w:rFonts w:ascii="Arial" w:hAnsi="Arial" w:cs="Arial"/>
        </w:rPr>
        <w:footnoteRef/>
      </w:r>
      <w:r w:rsidRPr="00720F1D">
        <w:rPr>
          <w:rFonts w:ascii="Arial" w:hAnsi="Arial" w:cs="Arial"/>
        </w:rPr>
        <w:t xml:space="preserve"> </w:t>
      </w:r>
      <w:r w:rsidRPr="00720F1D">
        <w:rPr>
          <w:rFonts w:ascii="Arial" w:hAnsi="Arial" w:cs="Arial"/>
          <w:lang w:val="en-US"/>
        </w:rPr>
        <w:tab/>
        <w:t>This is despite the fact that Art. 1(2</w:t>
      </w:r>
      <w:proofErr w:type="gramStart"/>
      <w:r w:rsidRPr="00720F1D">
        <w:rPr>
          <w:rFonts w:ascii="Arial" w:hAnsi="Arial" w:cs="Arial"/>
          <w:lang w:val="en-US"/>
        </w:rPr>
        <w:t>)(</w:t>
      </w:r>
      <w:proofErr w:type="gramEnd"/>
      <w:r w:rsidRPr="00720F1D">
        <w:rPr>
          <w:rFonts w:ascii="Arial" w:hAnsi="Arial" w:cs="Arial"/>
          <w:lang w:val="en-US"/>
        </w:rPr>
        <w:t>d) of the Recast Brussels I Regulation provides that the regulation does not apply to arbitration.</w:t>
      </w:r>
    </w:p>
  </w:footnote>
  <w:footnote w:id="45">
    <w:p w:rsidR="00124080" w:rsidRPr="00720F1D" w:rsidRDefault="00124080" w:rsidP="00124080">
      <w:pPr>
        <w:pStyle w:val="FootnoteText"/>
        <w:spacing w:after="120"/>
        <w:ind w:left="567" w:hanging="567"/>
        <w:jc w:val="both"/>
        <w:rPr>
          <w:rFonts w:ascii="Arial" w:hAnsi="Arial" w:cs="Arial"/>
          <w:lang w:val="en-US"/>
        </w:rPr>
      </w:pPr>
      <w:r w:rsidRPr="00720F1D">
        <w:rPr>
          <w:rStyle w:val="FootnoteReference"/>
          <w:rFonts w:ascii="Arial" w:hAnsi="Arial" w:cs="Arial"/>
        </w:rPr>
        <w:footnoteRef/>
      </w:r>
      <w:r w:rsidRPr="00720F1D">
        <w:rPr>
          <w:rFonts w:ascii="Arial" w:hAnsi="Arial" w:cs="Arial"/>
        </w:rPr>
        <w:t xml:space="preserve"> </w:t>
      </w:r>
      <w:r w:rsidRPr="00720F1D">
        <w:rPr>
          <w:rFonts w:ascii="Arial" w:hAnsi="Arial" w:cs="Arial"/>
          <w:lang w:val="en-US"/>
        </w:rPr>
        <w:tab/>
        <w:t xml:space="preserve">Case C-185/07 </w:t>
      </w:r>
      <w:r w:rsidRPr="00720F1D">
        <w:rPr>
          <w:rFonts w:ascii="Arial" w:hAnsi="Arial" w:cs="Arial"/>
          <w:i/>
          <w:lang w:val="en-US"/>
        </w:rPr>
        <w:t xml:space="preserve">Allianz </w:t>
      </w:r>
      <w:proofErr w:type="spellStart"/>
      <w:r w:rsidRPr="00720F1D">
        <w:rPr>
          <w:rFonts w:ascii="Arial" w:hAnsi="Arial" w:cs="Arial"/>
          <w:i/>
          <w:lang w:val="en-US"/>
        </w:rPr>
        <w:t>SpA</w:t>
      </w:r>
      <w:proofErr w:type="spellEnd"/>
      <w:r w:rsidRPr="00720F1D">
        <w:rPr>
          <w:rFonts w:ascii="Arial" w:hAnsi="Arial" w:cs="Arial"/>
          <w:i/>
          <w:lang w:val="en-US"/>
        </w:rPr>
        <w:t xml:space="preserve"> v West Tankers </w:t>
      </w:r>
      <w:proofErr w:type="spellStart"/>
      <w:r w:rsidRPr="00720F1D">
        <w:rPr>
          <w:rFonts w:ascii="Arial" w:hAnsi="Arial" w:cs="Arial"/>
          <w:i/>
          <w:lang w:val="en-US"/>
        </w:rPr>
        <w:t>Inc</w:t>
      </w:r>
      <w:proofErr w:type="spellEnd"/>
      <w:r w:rsidRPr="00720F1D">
        <w:rPr>
          <w:rFonts w:ascii="Arial" w:hAnsi="Arial" w:cs="Arial"/>
          <w:i/>
          <w:lang w:val="en-US"/>
        </w:rPr>
        <w:t xml:space="preserve"> </w:t>
      </w:r>
      <w:r w:rsidRPr="00720F1D">
        <w:rPr>
          <w:rFonts w:ascii="Arial" w:hAnsi="Arial" w:cs="Arial"/>
          <w:lang w:val="en-US"/>
        </w:rPr>
        <w:t>EU</w:t>
      </w:r>
      <w:proofErr w:type="gramStart"/>
      <w:r w:rsidRPr="00720F1D">
        <w:rPr>
          <w:rFonts w:ascii="Arial" w:hAnsi="Arial" w:cs="Arial"/>
          <w:lang w:val="en-US"/>
        </w:rPr>
        <w:t>:C:2009:69</w:t>
      </w:r>
      <w:proofErr w:type="gramEnd"/>
      <w:r w:rsidRPr="00720F1D">
        <w:rPr>
          <w:rFonts w:ascii="Arial" w:hAnsi="Arial" w:cs="Arial"/>
          <w:lang w:val="en-US"/>
        </w:rPr>
        <w:t>; [2009] 1 A.C. 1138.</w:t>
      </w:r>
    </w:p>
  </w:footnote>
  <w:footnote w:id="46">
    <w:p w:rsidR="00124080" w:rsidRPr="00720F1D" w:rsidRDefault="00124080" w:rsidP="00124080">
      <w:pPr>
        <w:pStyle w:val="FootnoteText"/>
        <w:spacing w:after="120"/>
        <w:ind w:left="567" w:hanging="567"/>
        <w:jc w:val="both"/>
        <w:rPr>
          <w:rFonts w:ascii="Arial" w:hAnsi="Arial" w:cs="Arial"/>
          <w:lang w:val="en-US"/>
        </w:rPr>
      </w:pPr>
      <w:r w:rsidRPr="00720F1D">
        <w:rPr>
          <w:rStyle w:val="FootnoteReference"/>
          <w:rFonts w:ascii="Arial" w:hAnsi="Arial" w:cs="Arial"/>
        </w:rPr>
        <w:footnoteRef/>
      </w:r>
      <w:r w:rsidRPr="00720F1D">
        <w:rPr>
          <w:rFonts w:ascii="Arial" w:hAnsi="Arial" w:cs="Arial"/>
        </w:rPr>
        <w:t xml:space="preserve"> </w:t>
      </w:r>
      <w:r w:rsidRPr="00720F1D">
        <w:rPr>
          <w:rFonts w:ascii="Arial" w:hAnsi="Arial" w:cs="Arial"/>
          <w:lang w:val="en-US"/>
        </w:rPr>
        <w:tab/>
        <w:t xml:space="preserve">See Case C-536/13 </w:t>
      </w:r>
      <w:r w:rsidRPr="00720F1D">
        <w:rPr>
          <w:rFonts w:ascii="Arial" w:hAnsi="Arial" w:cs="Arial"/>
          <w:i/>
          <w:lang w:val="en-US"/>
        </w:rPr>
        <w:t>Gazprom OAO</w:t>
      </w:r>
      <w:r w:rsidRPr="00720F1D">
        <w:rPr>
          <w:rFonts w:ascii="Arial" w:hAnsi="Arial" w:cs="Arial"/>
          <w:lang w:val="en-US"/>
        </w:rPr>
        <w:t xml:space="preserve"> EU</w:t>
      </w:r>
      <w:proofErr w:type="gramStart"/>
      <w:r w:rsidRPr="00720F1D">
        <w:rPr>
          <w:rFonts w:ascii="Arial" w:hAnsi="Arial" w:cs="Arial"/>
          <w:lang w:val="en-US"/>
        </w:rPr>
        <w:t>:C:2015:2414</w:t>
      </w:r>
      <w:proofErr w:type="gramEnd"/>
      <w:r w:rsidRPr="00720F1D">
        <w:rPr>
          <w:rFonts w:ascii="Arial" w:hAnsi="Arial" w:cs="Arial"/>
          <w:lang w:val="en-US"/>
        </w:rPr>
        <w:t>.</w:t>
      </w:r>
    </w:p>
  </w:footnote>
  <w:footnote w:id="47">
    <w:p w:rsidR="00124080" w:rsidRPr="00720F1D" w:rsidRDefault="00124080" w:rsidP="00124080">
      <w:pPr>
        <w:pStyle w:val="FootnoteText"/>
        <w:spacing w:after="120"/>
        <w:ind w:left="567" w:hanging="567"/>
        <w:jc w:val="both"/>
        <w:rPr>
          <w:rFonts w:ascii="Arial" w:hAnsi="Arial" w:cs="Arial"/>
        </w:rPr>
      </w:pPr>
      <w:r w:rsidRPr="00720F1D">
        <w:rPr>
          <w:rStyle w:val="FootnoteReference"/>
          <w:rFonts w:ascii="Arial" w:hAnsi="Arial" w:cs="Arial"/>
        </w:rPr>
        <w:footnoteRef/>
      </w:r>
      <w:r w:rsidRPr="00720F1D">
        <w:rPr>
          <w:rFonts w:ascii="Arial" w:hAnsi="Arial" w:cs="Arial"/>
        </w:rPr>
        <w:t xml:space="preserve"> </w:t>
      </w:r>
      <w:r w:rsidRPr="00720F1D">
        <w:rPr>
          <w:rFonts w:ascii="Arial" w:hAnsi="Arial" w:cs="Arial"/>
          <w:lang w:val="en-US"/>
        </w:rPr>
        <w:tab/>
        <w:t xml:space="preserve">Recital 12 provides, </w:t>
      </w:r>
      <w:r w:rsidRPr="00720F1D">
        <w:rPr>
          <w:rFonts w:ascii="Arial" w:hAnsi="Arial" w:cs="Arial"/>
          <w:i/>
          <w:lang w:val="en-US"/>
        </w:rPr>
        <w:t>inter alia</w:t>
      </w:r>
      <w:r w:rsidRPr="00720F1D">
        <w:rPr>
          <w:rFonts w:ascii="Arial" w:hAnsi="Arial" w:cs="Arial"/>
          <w:lang w:val="en-US"/>
        </w:rPr>
        <w:t>, that: “</w:t>
      </w:r>
      <w:r w:rsidRPr="00720F1D">
        <w:rPr>
          <w:rFonts w:ascii="Arial" w:hAnsi="Arial" w:cs="Arial"/>
          <w:i/>
        </w:rPr>
        <w:t>A ruling given by a court of a Member State as to whether or not an arbitration agreement is null and void, inoperative or incapable of being performed should not be subject to the rules of recognition and enforcement laid down in this Regulation, regardless of whether the court decided on this as a principal issue or as an incidental question</w:t>
      </w:r>
      <w:r w:rsidRPr="00720F1D">
        <w:rPr>
          <w:rFonts w:ascii="Arial" w:hAnsi="Arial" w:cs="Arial"/>
        </w:rPr>
        <w:t xml:space="preserve">”. Advocate-General </w:t>
      </w:r>
      <w:proofErr w:type="spellStart"/>
      <w:r w:rsidRPr="00720F1D">
        <w:rPr>
          <w:rFonts w:ascii="Arial" w:hAnsi="Arial" w:cs="Arial"/>
        </w:rPr>
        <w:t>Wathelet</w:t>
      </w:r>
      <w:proofErr w:type="spellEnd"/>
      <w:r w:rsidRPr="00720F1D">
        <w:rPr>
          <w:rFonts w:ascii="Arial" w:hAnsi="Arial" w:cs="Arial"/>
        </w:rPr>
        <w:t xml:space="preserve"> stated that this passage shows that “</w:t>
      </w:r>
      <w:r w:rsidRPr="00720F1D">
        <w:rPr>
          <w:rFonts w:ascii="Arial" w:hAnsi="Arial" w:cs="Arial"/>
          <w:i/>
        </w:rPr>
        <w:t>the verification, as an incidental question, of the validity of an arbitration agreement is excluded from the scope of the Brussels I Regulation (recast)</w:t>
      </w:r>
      <w:r w:rsidRPr="00720F1D">
        <w:rPr>
          <w:rFonts w:ascii="Arial" w:hAnsi="Arial" w:cs="Arial"/>
        </w:rPr>
        <w:t>” (para. 127).</w:t>
      </w:r>
    </w:p>
  </w:footnote>
  <w:footnote w:id="48">
    <w:p w:rsidR="00124080" w:rsidRPr="00720F1D" w:rsidRDefault="00124080" w:rsidP="00124080">
      <w:pPr>
        <w:pStyle w:val="FootnoteText"/>
        <w:spacing w:after="120"/>
        <w:ind w:left="567" w:hanging="567"/>
        <w:jc w:val="both"/>
        <w:rPr>
          <w:rFonts w:ascii="Arial" w:hAnsi="Arial" w:cs="Arial"/>
          <w:lang w:val="en-US"/>
        </w:rPr>
      </w:pPr>
      <w:r w:rsidRPr="00720F1D">
        <w:rPr>
          <w:rStyle w:val="FootnoteReference"/>
          <w:rFonts w:ascii="Arial" w:hAnsi="Arial" w:cs="Arial"/>
        </w:rPr>
        <w:footnoteRef/>
      </w:r>
      <w:r w:rsidRPr="00720F1D">
        <w:rPr>
          <w:rFonts w:ascii="Arial" w:hAnsi="Arial" w:cs="Arial"/>
        </w:rPr>
        <w:t xml:space="preserve"> </w:t>
      </w:r>
      <w:r w:rsidRPr="00720F1D">
        <w:rPr>
          <w:rFonts w:ascii="Arial" w:hAnsi="Arial" w:cs="Arial"/>
          <w:lang w:val="en-US"/>
        </w:rPr>
        <w:tab/>
        <w:t xml:space="preserve">[2015] EWCA </w:t>
      </w:r>
      <w:proofErr w:type="spellStart"/>
      <w:r w:rsidRPr="00720F1D">
        <w:rPr>
          <w:rFonts w:ascii="Arial" w:hAnsi="Arial" w:cs="Arial"/>
          <w:lang w:val="en-US"/>
        </w:rPr>
        <w:t>Civ</w:t>
      </w:r>
      <w:proofErr w:type="spellEnd"/>
      <w:r w:rsidRPr="00720F1D">
        <w:rPr>
          <w:rFonts w:ascii="Arial" w:hAnsi="Arial" w:cs="Arial"/>
          <w:lang w:val="en-US"/>
        </w:rPr>
        <w:t xml:space="preserve"> 401.</w:t>
      </w:r>
    </w:p>
  </w:footnote>
  <w:footnote w:id="49">
    <w:p w:rsidR="00124080" w:rsidRPr="00720F1D" w:rsidRDefault="00124080" w:rsidP="00124080">
      <w:pPr>
        <w:pStyle w:val="FootnoteText"/>
        <w:spacing w:after="120"/>
        <w:ind w:left="567" w:hanging="567"/>
        <w:jc w:val="both"/>
        <w:rPr>
          <w:rFonts w:ascii="Arial" w:hAnsi="Arial" w:cs="Arial"/>
          <w:lang w:val="en-US"/>
        </w:rPr>
      </w:pPr>
      <w:r w:rsidRPr="00720F1D">
        <w:rPr>
          <w:rStyle w:val="FootnoteReference"/>
          <w:rFonts w:ascii="Arial" w:hAnsi="Arial" w:cs="Arial"/>
        </w:rPr>
        <w:footnoteRef/>
      </w:r>
      <w:r w:rsidRPr="00720F1D">
        <w:rPr>
          <w:rFonts w:ascii="Arial" w:hAnsi="Arial" w:cs="Arial"/>
        </w:rPr>
        <w:t xml:space="preserve"> </w:t>
      </w:r>
      <w:r w:rsidRPr="00720F1D">
        <w:rPr>
          <w:rFonts w:ascii="Arial" w:hAnsi="Arial" w:cs="Arial"/>
          <w:lang w:val="en-US"/>
        </w:rPr>
        <w:tab/>
        <w:t>[2014] EWHC 3632 (</w:t>
      </w:r>
      <w:proofErr w:type="spellStart"/>
      <w:r w:rsidRPr="00720F1D">
        <w:rPr>
          <w:rFonts w:ascii="Arial" w:hAnsi="Arial" w:cs="Arial"/>
          <w:lang w:val="en-US"/>
        </w:rPr>
        <w:t>Comm</w:t>
      </w:r>
      <w:proofErr w:type="spellEnd"/>
      <w:r w:rsidRPr="00720F1D">
        <w:rPr>
          <w:rFonts w:ascii="Arial" w:hAnsi="Arial" w:cs="Arial"/>
          <w:lang w:val="en-US"/>
        </w:rPr>
        <w:t>).</w:t>
      </w:r>
    </w:p>
  </w:footnote>
  <w:footnote w:id="50">
    <w:p w:rsidR="00124080" w:rsidRPr="00720F1D" w:rsidRDefault="00124080" w:rsidP="00124080">
      <w:pPr>
        <w:pStyle w:val="FootnoteText"/>
        <w:spacing w:after="120"/>
        <w:ind w:left="567" w:hanging="567"/>
        <w:jc w:val="both"/>
        <w:rPr>
          <w:rFonts w:ascii="Arial" w:hAnsi="Arial" w:cs="Arial"/>
          <w:lang w:val="en-US"/>
        </w:rPr>
      </w:pPr>
      <w:r w:rsidRPr="00720F1D">
        <w:rPr>
          <w:rStyle w:val="FootnoteReference"/>
          <w:rFonts w:ascii="Arial" w:hAnsi="Arial" w:cs="Arial"/>
        </w:rPr>
        <w:footnoteRef/>
      </w:r>
      <w:r w:rsidRPr="00720F1D">
        <w:rPr>
          <w:rFonts w:ascii="Arial" w:hAnsi="Arial" w:cs="Arial"/>
        </w:rPr>
        <w:t xml:space="preserve"> </w:t>
      </w:r>
      <w:r w:rsidRPr="00720F1D">
        <w:rPr>
          <w:rFonts w:ascii="Arial" w:hAnsi="Arial" w:cs="Arial"/>
          <w:lang w:val="en-US"/>
        </w:rPr>
        <w:tab/>
        <w:t>ibid at para. 26.</w:t>
      </w:r>
    </w:p>
  </w:footnote>
  <w:footnote w:id="51">
    <w:p w:rsidR="00124080" w:rsidRPr="00720F1D" w:rsidRDefault="00124080" w:rsidP="00124080">
      <w:pPr>
        <w:pStyle w:val="FootnoteText"/>
        <w:spacing w:after="120"/>
        <w:ind w:left="567" w:hanging="567"/>
        <w:jc w:val="both"/>
        <w:rPr>
          <w:rFonts w:ascii="Arial" w:hAnsi="Arial" w:cs="Arial"/>
          <w:lang w:val="en-US"/>
        </w:rPr>
      </w:pPr>
      <w:r w:rsidRPr="00720F1D">
        <w:rPr>
          <w:rStyle w:val="FootnoteReference"/>
          <w:rFonts w:ascii="Arial" w:hAnsi="Arial" w:cs="Arial"/>
        </w:rPr>
        <w:footnoteRef/>
      </w:r>
      <w:r w:rsidRPr="00720F1D">
        <w:rPr>
          <w:rFonts w:ascii="Arial" w:hAnsi="Arial" w:cs="Arial"/>
        </w:rPr>
        <w:t xml:space="preserve"> </w:t>
      </w:r>
      <w:r w:rsidRPr="00720F1D">
        <w:rPr>
          <w:rFonts w:ascii="Arial" w:hAnsi="Arial" w:cs="Arial"/>
          <w:lang w:val="en-US"/>
        </w:rPr>
        <w:tab/>
        <w:t>ibid. para. 24.</w:t>
      </w:r>
    </w:p>
  </w:footnote>
  <w:footnote w:id="52">
    <w:p w:rsidR="00124080" w:rsidRPr="00720F1D" w:rsidRDefault="00124080" w:rsidP="00124080">
      <w:pPr>
        <w:pStyle w:val="FootnoteText"/>
        <w:spacing w:after="120"/>
        <w:ind w:left="567" w:hanging="567"/>
        <w:jc w:val="both"/>
        <w:rPr>
          <w:rFonts w:ascii="Arial" w:hAnsi="Arial" w:cs="Arial"/>
          <w:lang w:val="en-US"/>
        </w:rPr>
      </w:pPr>
      <w:r w:rsidRPr="00720F1D">
        <w:rPr>
          <w:rStyle w:val="FootnoteReference"/>
          <w:rFonts w:ascii="Arial" w:hAnsi="Arial" w:cs="Arial"/>
        </w:rPr>
        <w:footnoteRef/>
      </w:r>
      <w:r w:rsidRPr="00720F1D">
        <w:rPr>
          <w:rFonts w:ascii="Arial" w:hAnsi="Arial" w:cs="Arial"/>
        </w:rPr>
        <w:t xml:space="preserve"> </w:t>
      </w:r>
      <w:r w:rsidRPr="00720F1D">
        <w:rPr>
          <w:rFonts w:ascii="Arial" w:hAnsi="Arial" w:cs="Arial"/>
          <w:lang w:val="en-US"/>
        </w:rPr>
        <w:tab/>
        <w:t>Ibid. para 38.</w:t>
      </w:r>
    </w:p>
  </w:footnote>
  <w:footnote w:id="53">
    <w:p w:rsidR="00124080" w:rsidRPr="00720F1D" w:rsidRDefault="00124080" w:rsidP="00124080">
      <w:pPr>
        <w:pStyle w:val="FootnoteText"/>
        <w:spacing w:after="120"/>
        <w:ind w:left="567" w:hanging="567"/>
        <w:jc w:val="both"/>
        <w:rPr>
          <w:rFonts w:ascii="Arial" w:hAnsi="Arial" w:cs="Arial"/>
          <w:lang w:val="en-US"/>
        </w:rPr>
      </w:pPr>
      <w:r w:rsidRPr="00720F1D">
        <w:rPr>
          <w:rStyle w:val="FootnoteReference"/>
          <w:rFonts w:ascii="Arial" w:hAnsi="Arial" w:cs="Arial"/>
        </w:rPr>
        <w:footnoteRef/>
      </w:r>
      <w:r w:rsidRPr="00720F1D">
        <w:rPr>
          <w:rFonts w:ascii="Arial" w:hAnsi="Arial" w:cs="Arial"/>
          <w:lang w:val="en-US"/>
        </w:rPr>
        <w:tab/>
        <w:t xml:space="preserve">[2015] EWCA </w:t>
      </w:r>
      <w:proofErr w:type="spellStart"/>
      <w:r w:rsidRPr="00720F1D">
        <w:rPr>
          <w:rFonts w:ascii="Arial" w:hAnsi="Arial" w:cs="Arial"/>
          <w:lang w:val="en-US"/>
        </w:rPr>
        <w:t>Civ</w:t>
      </w:r>
      <w:proofErr w:type="spellEnd"/>
      <w:r w:rsidRPr="00720F1D">
        <w:rPr>
          <w:rFonts w:ascii="Arial" w:hAnsi="Arial" w:cs="Arial"/>
          <w:lang w:val="en-US"/>
        </w:rPr>
        <w:t xml:space="preserve"> 401 para. 63. </w:t>
      </w:r>
    </w:p>
  </w:footnote>
  <w:footnote w:id="54">
    <w:p w:rsidR="00124080" w:rsidRPr="00720F1D" w:rsidRDefault="00124080" w:rsidP="00124080">
      <w:pPr>
        <w:pStyle w:val="FootnoteText"/>
        <w:spacing w:after="120"/>
        <w:ind w:left="567" w:hanging="567"/>
        <w:jc w:val="both"/>
        <w:rPr>
          <w:rFonts w:ascii="Arial" w:hAnsi="Arial" w:cs="Arial"/>
          <w:lang w:val="en-US"/>
        </w:rPr>
      </w:pPr>
      <w:r w:rsidRPr="00720F1D">
        <w:rPr>
          <w:rStyle w:val="FootnoteReference"/>
          <w:rFonts w:ascii="Arial" w:hAnsi="Arial" w:cs="Arial"/>
        </w:rPr>
        <w:footnoteRef/>
      </w:r>
      <w:r w:rsidRPr="00720F1D">
        <w:rPr>
          <w:rFonts w:ascii="Arial" w:hAnsi="Arial" w:cs="Arial"/>
        </w:rPr>
        <w:t xml:space="preserve"> </w:t>
      </w:r>
      <w:r w:rsidRPr="00720F1D">
        <w:rPr>
          <w:rFonts w:ascii="Arial" w:hAnsi="Arial" w:cs="Arial"/>
        </w:rPr>
        <w:tab/>
        <w:t>[2015] Q.B. 366.</w:t>
      </w:r>
    </w:p>
  </w:footnote>
  <w:footnote w:id="55">
    <w:p w:rsidR="00124080" w:rsidRPr="00720F1D" w:rsidRDefault="00124080" w:rsidP="00124080">
      <w:pPr>
        <w:pStyle w:val="FootnoteText"/>
        <w:spacing w:after="120"/>
        <w:ind w:left="567" w:hanging="567"/>
        <w:jc w:val="both"/>
        <w:rPr>
          <w:rFonts w:ascii="Arial" w:hAnsi="Arial" w:cs="Arial"/>
          <w:lang w:val="en-US"/>
        </w:rPr>
      </w:pPr>
      <w:r w:rsidRPr="00720F1D">
        <w:rPr>
          <w:rStyle w:val="FootnoteReference"/>
          <w:rFonts w:ascii="Arial" w:hAnsi="Arial" w:cs="Arial"/>
        </w:rPr>
        <w:footnoteRef/>
      </w:r>
      <w:r w:rsidRPr="00720F1D">
        <w:rPr>
          <w:rFonts w:ascii="Arial" w:hAnsi="Arial" w:cs="Arial"/>
        </w:rPr>
        <w:t xml:space="preserve"> </w:t>
      </w:r>
      <w:r w:rsidRPr="00720F1D">
        <w:rPr>
          <w:rFonts w:ascii="Arial" w:hAnsi="Arial" w:cs="Arial"/>
          <w:lang w:val="en-US"/>
        </w:rPr>
        <w:tab/>
        <w:t>[2014] 1 Lloyd’s Rep. 337.</w:t>
      </w:r>
    </w:p>
  </w:footnote>
  <w:footnote w:id="56">
    <w:p w:rsidR="00124080" w:rsidRPr="00720F1D" w:rsidRDefault="00124080" w:rsidP="00124080">
      <w:pPr>
        <w:pStyle w:val="FootnoteText"/>
        <w:spacing w:after="120"/>
        <w:ind w:left="567" w:hanging="567"/>
        <w:jc w:val="both"/>
        <w:rPr>
          <w:rFonts w:ascii="Arial" w:hAnsi="Arial" w:cs="Arial"/>
          <w:lang w:val="en-US"/>
        </w:rPr>
      </w:pPr>
      <w:r w:rsidRPr="00720F1D">
        <w:rPr>
          <w:rStyle w:val="FootnoteReference"/>
          <w:rFonts w:ascii="Arial" w:hAnsi="Arial" w:cs="Arial"/>
        </w:rPr>
        <w:footnoteRef/>
      </w:r>
      <w:r w:rsidRPr="00720F1D">
        <w:rPr>
          <w:rFonts w:ascii="Arial" w:hAnsi="Arial" w:cs="Arial"/>
        </w:rPr>
        <w:t xml:space="preserve"> </w:t>
      </w:r>
      <w:r w:rsidRPr="00720F1D">
        <w:rPr>
          <w:rFonts w:ascii="Arial" w:hAnsi="Arial" w:cs="Arial"/>
          <w:lang w:val="en-US"/>
        </w:rPr>
        <w:tab/>
        <w:t xml:space="preserve">See e.g. </w:t>
      </w:r>
      <w:r w:rsidRPr="00720F1D">
        <w:rPr>
          <w:rFonts w:ascii="Arial" w:hAnsi="Arial" w:cs="Arial"/>
          <w:i/>
          <w:lang w:val="en-US"/>
        </w:rPr>
        <w:t xml:space="preserve">Thomas &amp; Co. Ltd v </w:t>
      </w:r>
      <w:proofErr w:type="spellStart"/>
      <w:r w:rsidRPr="00720F1D">
        <w:rPr>
          <w:rFonts w:ascii="Arial" w:hAnsi="Arial" w:cs="Arial"/>
          <w:i/>
          <w:lang w:val="en-US"/>
        </w:rPr>
        <w:t>Portsea</w:t>
      </w:r>
      <w:proofErr w:type="spellEnd"/>
      <w:r w:rsidRPr="00720F1D">
        <w:rPr>
          <w:rFonts w:ascii="Arial" w:hAnsi="Arial" w:cs="Arial"/>
          <w:i/>
          <w:lang w:val="en-US"/>
        </w:rPr>
        <w:t xml:space="preserve"> Steamship Co. Ltd (The Portsmouth) </w:t>
      </w:r>
      <w:r w:rsidRPr="00720F1D">
        <w:rPr>
          <w:rFonts w:ascii="Arial" w:hAnsi="Arial" w:cs="Arial"/>
          <w:lang w:val="en-US"/>
        </w:rPr>
        <w:t>[1912] A.C. 1.</w:t>
      </w:r>
    </w:p>
  </w:footnote>
  <w:footnote w:id="57">
    <w:p w:rsidR="00124080" w:rsidRPr="00720F1D" w:rsidRDefault="00124080" w:rsidP="00124080">
      <w:pPr>
        <w:pStyle w:val="FootnoteText"/>
        <w:spacing w:after="120"/>
        <w:ind w:left="567" w:hanging="567"/>
        <w:jc w:val="both"/>
        <w:rPr>
          <w:rFonts w:ascii="Arial" w:hAnsi="Arial" w:cs="Arial"/>
          <w:lang w:val="en-US"/>
        </w:rPr>
      </w:pPr>
      <w:r w:rsidRPr="00720F1D">
        <w:rPr>
          <w:rStyle w:val="FootnoteReference"/>
          <w:rFonts w:ascii="Arial" w:hAnsi="Arial" w:cs="Arial"/>
        </w:rPr>
        <w:footnoteRef/>
      </w:r>
      <w:r w:rsidRPr="00720F1D">
        <w:rPr>
          <w:rFonts w:ascii="Arial" w:hAnsi="Arial" w:cs="Arial"/>
        </w:rPr>
        <w:t xml:space="preserve"> </w:t>
      </w:r>
      <w:r w:rsidRPr="00720F1D">
        <w:rPr>
          <w:rFonts w:ascii="Arial" w:hAnsi="Arial" w:cs="Arial"/>
          <w:lang w:val="en-US"/>
        </w:rPr>
        <w:tab/>
      </w:r>
      <w:r w:rsidRPr="00720F1D">
        <w:rPr>
          <w:rFonts w:ascii="Arial" w:hAnsi="Arial" w:cs="Arial"/>
        </w:rPr>
        <w:t>[2015] Q.B. 366 at</w:t>
      </w:r>
      <w:r w:rsidRPr="00720F1D">
        <w:rPr>
          <w:rFonts w:ascii="Arial" w:hAnsi="Arial" w:cs="Arial"/>
          <w:lang w:val="en-US"/>
        </w:rPr>
        <w:t xml:space="preserve"> para. 15.</w:t>
      </w:r>
    </w:p>
  </w:footnote>
  <w:footnote w:id="58">
    <w:p w:rsidR="00124080" w:rsidRPr="00720F1D" w:rsidRDefault="00124080" w:rsidP="00124080">
      <w:pPr>
        <w:pStyle w:val="FootnoteText"/>
        <w:spacing w:after="120"/>
        <w:ind w:left="567" w:hanging="567"/>
        <w:jc w:val="both"/>
        <w:rPr>
          <w:rFonts w:ascii="Arial" w:hAnsi="Arial" w:cs="Arial"/>
          <w:lang w:val="en-US"/>
        </w:rPr>
      </w:pPr>
      <w:r w:rsidRPr="00720F1D">
        <w:rPr>
          <w:rStyle w:val="FootnoteReference"/>
          <w:rFonts w:ascii="Arial" w:hAnsi="Arial" w:cs="Arial"/>
        </w:rPr>
        <w:footnoteRef/>
      </w:r>
      <w:r w:rsidRPr="00720F1D">
        <w:rPr>
          <w:rFonts w:ascii="Arial" w:hAnsi="Arial" w:cs="Arial"/>
        </w:rPr>
        <w:t xml:space="preserve"> </w:t>
      </w:r>
      <w:r w:rsidRPr="00720F1D">
        <w:rPr>
          <w:rFonts w:ascii="Arial" w:hAnsi="Arial" w:cs="Arial"/>
        </w:rPr>
        <w:tab/>
        <w:t>[2015] EWHC 258 (</w:t>
      </w:r>
      <w:proofErr w:type="spellStart"/>
      <w:r w:rsidRPr="00720F1D">
        <w:rPr>
          <w:rFonts w:ascii="Arial" w:hAnsi="Arial" w:cs="Arial"/>
        </w:rPr>
        <w:t>Comm</w:t>
      </w:r>
      <w:proofErr w:type="spellEnd"/>
      <w:r w:rsidRPr="00720F1D">
        <w:rPr>
          <w:rFonts w:ascii="Arial" w:hAnsi="Arial" w:cs="Arial"/>
        </w:rPr>
        <w:t>).</w:t>
      </w:r>
    </w:p>
  </w:footnote>
  <w:footnote w:id="59">
    <w:p w:rsidR="00124080" w:rsidRPr="00720F1D" w:rsidRDefault="00124080" w:rsidP="00124080">
      <w:pPr>
        <w:pStyle w:val="FootnoteText"/>
        <w:spacing w:after="120"/>
        <w:ind w:left="567" w:hanging="567"/>
        <w:jc w:val="both"/>
        <w:rPr>
          <w:rFonts w:ascii="Arial" w:hAnsi="Arial" w:cs="Arial"/>
          <w:lang w:val="en-US"/>
        </w:rPr>
      </w:pPr>
      <w:r w:rsidRPr="00720F1D">
        <w:rPr>
          <w:rStyle w:val="FootnoteReference"/>
          <w:rFonts w:ascii="Arial" w:hAnsi="Arial" w:cs="Arial"/>
        </w:rPr>
        <w:footnoteRef/>
      </w:r>
      <w:r w:rsidRPr="00720F1D">
        <w:rPr>
          <w:rFonts w:ascii="Arial" w:hAnsi="Arial" w:cs="Arial"/>
        </w:rPr>
        <w:t xml:space="preserve"> </w:t>
      </w:r>
      <w:r w:rsidRPr="00720F1D">
        <w:rPr>
          <w:rFonts w:ascii="Arial" w:hAnsi="Arial" w:cs="Arial"/>
          <w:lang w:val="en-US"/>
        </w:rPr>
        <w:tab/>
        <w:t xml:space="preserve">Following </w:t>
      </w:r>
      <w:proofErr w:type="spellStart"/>
      <w:r w:rsidRPr="00720F1D">
        <w:rPr>
          <w:rFonts w:ascii="Arial" w:hAnsi="Arial" w:cs="Arial"/>
          <w:i/>
          <w:lang w:val="en-US"/>
        </w:rPr>
        <w:t>Schiffahrtgesellschaft</w:t>
      </w:r>
      <w:proofErr w:type="spellEnd"/>
      <w:r w:rsidRPr="00720F1D">
        <w:rPr>
          <w:rFonts w:ascii="Arial" w:hAnsi="Arial" w:cs="Arial"/>
          <w:i/>
          <w:lang w:val="en-US"/>
        </w:rPr>
        <w:t xml:space="preserve"> </w:t>
      </w:r>
      <w:proofErr w:type="spellStart"/>
      <w:r w:rsidRPr="00720F1D">
        <w:rPr>
          <w:rFonts w:ascii="Arial" w:hAnsi="Arial" w:cs="Arial"/>
          <w:i/>
          <w:lang w:val="en-US"/>
        </w:rPr>
        <w:t>Detlev</w:t>
      </w:r>
      <w:proofErr w:type="spellEnd"/>
      <w:r w:rsidRPr="00720F1D">
        <w:rPr>
          <w:rFonts w:ascii="Arial" w:hAnsi="Arial" w:cs="Arial"/>
          <w:i/>
          <w:lang w:val="en-US"/>
        </w:rPr>
        <w:t xml:space="preserve"> von </w:t>
      </w:r>
      <w:proofErr w:type="spellStart"/>
      <w:r w:rsidRPr="00720F1D">
        <w:rPr>
          <w:rFonts w:ascii="Arial" w:hAnsi="Arial" w:cs="Arial"/>
          <w:i/>
          <w:lang w:val="en-US"/>
        </w:rPr>
        <w:t>Appen</w:t>
      </w:r>
      <w:proofErr w:type="spellEnd"/>
      <w:r w:rsidRPr="00720F1D">
        <w:rPr>
          <w:rFonts w:ascii="Arial" w:hAnsi="Arial" w:cs="Arial"/>
          <w:i/>
          <w:lang w:val="en-US"/>
        </w:rPr>
        <w:t xml:space="preserve"> GmbH v </w:t>
      </w:r>
      <w:proofErr w:type="spellStart"/>
      <w:r w:rsidRPr="00720F1D">
        <w:rPr>
          <w:rFonts w:ascii="Arial" w:hAnsi="Arial" w:cs="Arial"/>
          <w:i/>
          <w:lang w:val="en-US"/>
        </w:rPr>
        <w:t>Voest</w:t>
      </w:r>
      <w:proofErr w:type="spellEnd"/>
      <w:r w:rsidRPr="00720F1D">
        <w:rPr>
          <w:rFonts w:ascii="Arial" w:hAnsi="Arial" w:cs="Arial"/>
          <w:i/>
          <w:lang w:val="en-US"/>
        </w:rPr>
        <w:t xml:space="preserve"> Alpine </w:t>
      </w:r>
      <w:proofErr w:type="spellStart"/>
      <w:r w:rsidRPr="00720F1D">
        <w:rPr>
          <w:rFonts w:ascii="Arial" w:hAnsi="Arial" w:cs="Arial"/>
          <w:i/>
          <w:lang w:val="en-US"/>
        </w:rPr>
        <w:t>Intertrading</w:t>
      </w:r>
      <w:proofErr w:type="spellEnd"/>
      <w:r w:rsidRPr="00720F1D">
        <w:rPr>
          <w:rFonts w:ascii="Arial" w:hAnsi="Arial" w:cs="Arial"/>
          <w:i/>
          <w:lang w:val="en-US"/>
        </w:rPr>
        <w:t xml:space="preserve"> GmbH (The Jay Bola)</w:t>
      </w:r>
      <w:r w:rsidRPr="00720F1D">
        <w:rPr>
          <w:rFonts w:ascii="Arial" w:hAnsi="Arial" w:cs="Arial"/>
          <w:lang w:val="en-US"/>
        </w:rPr>
        <w:t xml:space="preserve"> [1997] 2 Lloyd’s Rep. 279.</w:t>
      </w:r>
    </w:p>
  </w:footnote>
  <w:footnote w:id="60">
    <w:p w:rsidR="00124080" w:rsidRPr="00720F1D" w:rsidRDefault="00124080" w:rsidP="00124080">
      <w:pPr>
        <w:pStyle w:val="FootnoteText"/>
        <w:spacing w:after="120"/>
        <w:ind w:left="567" w:hanging="567"/>
        <w:jc w:val="both"/>
        <w:rPr>
          <w:rFonts w:ascii="Arial" w:hAnsi="Arial" w:cs="Arial"/>
          <w:lang w:val="en-US"/>
        </w:rPr>
      </w:pPr>
      <w:r w:rsidRPr="00720F1D">
        <w:rPr>
          <w:rStyle w:val="FootnoteReference"/>
          <w:rFonts w:ascii="Arial" w:hAnsi="Arial" w:cs="Arial"/>
        </w:rPr>
        <w:footnoteRef/>
      </w:r>
      <w:r w:rsidRPr="00720F1D">
        <w:rPr>
          <w:rFonts w:ascii="Arial" w:hAnsi="Arial" w:cs="Arial"/>
        </w:rPr>
        <w:t xml:space="preserve"> </w:t>
      </w:r>
      <w:r w:rsidRPr="00720F1D">
        <w:rPr>
          <w:rFonts w:ascii="Arial" w:hAnsi="Arial" w:cs="Arial"/>
          <w:lang w:val="en-US"/>
        </w:rPr>
        <w:tab/>
        <w:t>[2015] 1 Lloyd’s Rep. 266.</w:t>
      </w:r>
    </w:p>
  </w:footnote>
  <w:footnote w:id="61">
    <w:p w:rsidR="00124080" w:rsidRPr="00720F1D" w:rsidRDefault="00124080" w:rsidP="00124080">
      <w:pPr>
        <w:pStyle w:val="FootnoteText"/>
        <w:spacing w:after="120"/>
        <w:ind w:left="567" w:hanging="567"/>
        <w:jc w:val="both"/>
        <w:rPr>
          <w:rFonts w:ascii="Arial" w:hAnsi="Arial" w:cs="Arial"/>
          <w:lang w:val="en-US"/>
        </w:rPr>
      </w:pPr>
      <w:r w:rsidRPr="00720F1D">
        <w:rPr>
          <w:rStyle w:val="FootnoteReference"/>
          <w:rFonts w:ascii="Arial" w:hAnsi="Arial" w:cs="Arial"/>
        </w:rPr>
        <w:footnoteRef/>
      </w:r>
      <w:r w:rsidRPr="00720F1D">
        <w:rPr>
          <w:rFonts w:ascii="Arial" w:hAnsi="Arial" w:cs="Arial"/>
        </w:rPr>
        <w:t xml:space="preserve"> </w:t>
      </w:r>
      <w:r w:rsidRPr="00720F1D">
        <w:rPr>
          <w:rFonts w:ascii="Arial" w:hAnsi="Arial" w:cs="Arial"/>
          <w:lang w:val="en-US"/>
        </w:rPr>
        <w:tab/>
        <w:t>[2013] 2 A.C. 337, para. 46..</w:t>
      </w:r>
    </w:p>
  </w:footnote>
  <w:footnote w:id="62">
    <w:p w:rsidR="00124080" w:rsidRPr="00720F1D" w:rsidRDefault="00124080" w:rsidP="00124080">
      <w:pPr>
        <w:pStyle w:val="FootnoteText"/>
        <w:spacing w:after="120"/>
        <w:ind w:left="567" w:hanging="567"/>
        <w:jc w:val="both"/>
        <w:rPr>
          <w:rFonts w:ascii="Arial" w:hAnsi="Arial" w:cs="Arial"/>
          <w:lang w:val="en-US"/>
        </w:rPr>
      </w:pPr>
      <w:r w:rsidRPr="00720F1D">
        <w:rPr>
          <w:rStyle w:val="FootnoteReference"/>
          <w:rFonts w:ascii="Arial" w:hAnsi="Arial" w:cs="Arial"/>
        </w:rPr>
        <w:footnoteRef/>
      </w:r>
      <w:r w:rsidRPr="00720F1D">
        <w:rPr>
          <w:rFonts w:ascii="Arial" w:hAnsi="Arial" w:cs="Arial"/>
        </w:rPr>
        <w:t xml:space="preserve"> </w:t>
      </w:r>
      <w:r w:rsidRPr="00720F1D">
        <w:rPr>
          <w:rFonts w:ascii="Arial" w:hAnsi="Arial" w:cs="Arial"/>
          <w:lang w:val="en-US"/>
        </w:rPr>
        <w:tab/>
        <w:t>[2010] 1 W.L.R. 1023, para. 110.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C7A" w:rsidRDefault="00464D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C7A" w:rsidRDefault="00464D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C7A" w:rsidRDefault="00464D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D0BB8"/>
    <w:multiLevelType w:val="multilevel"/>
    <w:tmpl w:val="D3A88BF0"/>
    <w:lvl w:ilvl="0">
      <w:start w:val="1"/>
      <w:numFmt w:val="decimal"/>
      <w:lvlText w:val="%1."/>
      <w:lvlJc w:val="left"/>
      <w:pPr>
        <w:tabs>
          <w:tab w:val="num" w:pos="720"/>
        </w:tabs>
        <w:ind w:left="720" w:hanging="720"/>
      </w:pPr>
      <w:rPr>
        <w:rFonts w:ascii="Arial" w:hAnsi="Arial" w:cs="Arial" w:hint="default"/>
        <w:b w:val="0"/>
      </w:rPr>
    </w:lvl>
    <w:lvl w:ilvl="1">
      <w:start w:val="1"/>
      <w:numFmt w:val="decimal"/>
      <w:lvlText w:val="(%2)"/>
      <w:lvlJc w:val="left"/>
      <w:pPr>
        <w:tabs>
          <w:tab w:val="num" w:pos="1701"/>
        </w:tabs>
        <w:ind w:left="1701" w:hanging="981"/>
      </w:pPr>
      <w:rPr>
        <w:rFonts w:ascii="Arial" w:hAnsi="Arial" w:cs="Arial" w:hint="default"/>
      </w:rPr>
    </w:lvl>
    <w:lvl w:ilvl="2">
      <w:start w:val="1"/>
      <w:numFmt w:val="lowerLetter"/>
      <w:lvlText w:val="(%3)"/>
      <w:lvlJc w:val="left"/>
      <w:pPr>
        <w:ind w:left="2160" w:hanging="180"/>
      </w:pPr>
      <w:rPr>
        <w:rFonts w:ascii="Arial" w:hAnsi="Arial" w:cs="Arial"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 w15:restartNumberingAfterBreak="0">
    <w:nsid w:val="0BC962AA"/>
    <w:multiLevelType w:val="multilevel"/>
    <w:tmpl w:val="DE2832C6"/>
    <w:lvl w:ilvl="0">
      <w:start w:val="1"/>
      <w:numFmt w:val="upperLetter"/>
      <w:pStyle w:val="Heading1"/>
      <w:lvlText w:val="%1."/>
      <w:lvlJc w:val="left"/>
      <w:pPr>
        <w:ind w:left="360" w:hanging="360"/>
      </w:pPr>
      <w:rPr>
        <w:rFonts w:cs="Times New Roman" w:hint="default"/>
      </w:rPr>
    </w:lvl>
    <w:lvl w:ilvl="1">
      <w:start w:val="1"/>
      <w:numFmt w:val="decimal"/>
      <w:lvlText w:val="%1.%2."/>
      <w:lvlJc w:val="left"/>
      <w:pPr>
        <w:tabs>
          <w:tab w:val="num" w:pos="283"/>
        </w:tabs>
        <w:ind w:left="283" w:hanging="283"/>
      </w:pPr>
      <w:rPr>
        <w:rFonts w:cs="Times New Roman" w:hint="default"/>
      </w:rPr>
    </w:lvl>
    <w:lvl w:ilvl="2">
      <w:start w:val="1"/>
      <w:numFmt w:val="decimal"/>
      <w:lvlText w:val="%1.%2.%3"/>
      <w:lvlJc w:val="left"/>
      <w:pPr>
        <w:tabs>
          <w:tab w:val="num" w:pos="425"/>
        </w:tabs>
        <w:ind w:left="425" w:hanging="425"/>
      </w:pPr>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500"/>
    <w:rsid w:val="00124080"/>
    <w:rsid w:val="00464D2F"/>
    <w:rsid w:val="00DC7500"/>
    <w:rsid w:val="00E35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7DDF40B-4E0E-4CCC-9772-09CF24D2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080"/>
    <w:pPr>
      <w:widowControl w:val="0"/>
      <w:suppressAutoHyphens/>
      <w:spacing w:after="0" w:line="240" w:lineRule="auto"/>
    </w:pPr>
    <w:rPr>
      <w:rFonts w:ascii="Times New Roman" w:eastAsia="Times New Roman" w:hAnsi="Times New Roman" w:cs="Times New Roman"/>
      <w:kern w:val="2"/>
      <w:sz w:val="24"/>
      <w:szCs w:val="24"/>
      <w:lang w:eastAsia="en-GB"/>
    </w:rPr>
  </w:style>
  <w:style w:type="paragraph" w:styleId="Heading1">
    <w:name w:val="heading 1"/>
    <w:basedOn w:val="Normal"/>
    <w:next w:val="BodyText"/>
    <w:link w:val="Heading1Char"/>
    <w:uiPriority w:val="99"/>
    <w:qFormat/>
    <w:rsid w:val="00124080"/>
    <w:pPr>
      <w:keepNext/>
      <w:numPr>
        <w:numId w:val="2"/>
      </w:numPr>
      <w:spacing w:before="240" w:after="120"/>
      <w:outlineLvl w:val="0"/>
    </w:pPr>
    <w:rPr>
      <w:rFonts w:ascii="Arial" w:hAnsi="Arial"/>
      <w:b/>
      <w:bCs/>
      <w:caps/>
      <w:kern w:val="24"/>
      <w:szCs w:val="32"/>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24080"/>
    <w:rPr>
      <w:rFonts w:ascii="Arial" w:eastAsia="Times New Roman" w:hAnsi="Arial" w:cs="Times New Roman"/>
      <w:b/>
      <w:bCs/>
      <w:caps/>
      <w:kern w:val="24"/>
      <w:sz w:val="24"/>
      <w:szCs w:val="32"/>
      <w:u w:val="single"/>
      <w:lang w:val="x-none" w:eastAsia="en-GB"/>
    </w:rPr>
  </w:style>
  <w:style w:type="paragraph" w:styleId="BodyText">
    <w:name w:val="Body Text"/>
    <w:basedOn w:val="Normal"/>
    <w:link w:val="BodyTextChar"/>
    <w:uiPriority w:val="99"/>
    <w:rsid w:val="00124080"/>
    <w:pPr>
      <w:spacing w:after="120"/>
    </w:pPr>
    <w:rPr>
      <w:lang w:val="x-none"/>
    </w:rPr>
  </w:style>
  <w:style w:type="character" w:customStyle="1" w:styleId="BodyTextChar">
    <w:name w:val="Body Text Char"/>
    <w:basedOn w:val="DefaultParagraphFont"/>
    <w:link w:val="BodyText"/>
    <w:uiPriority w:val="99"/>
    <w:rsid w:val="00124080"/>
    <w:rPr>
      <w:rFonts w:ascii="Times New Roman" w:eastAsia="Times New Roman" w:hAnsi="Times New Roman" w:cs="Times New Roman"/>
      <w:kern w:val="2"/>
      <w:sz w:val="24"/>
      <w:szCs w:val="24"/>
      <w:lang w:val="x-none" w:eastAsia="en-GB"/>
    </w:rPr>
  </w:style>
  <w:style w:type="character" w:styleId="Hyperlink">
    <w:name w:val="Hyperlink"/>
    <w:uiPriority w:val="99"/>
    <w:unhideWhenUsed/>
    <w:rsid w:val="00124080"/>
    <w:rPr>
      <w:color w:val="0000FF"/>
      <w:u w:val="single"/>
    </w:rPr>
  </w:style>
  <w:style w:type="character" w:styleId="Emphasis">
    <w:name w:val="Emphasis"/>
    <w:uiPriority w:val="20"/>
    <w:qFormat/>
    <w:rsid w:val="00124080"/>
    <w:rPr>
      <w:i/>
      <w:iCs/>
    </w:rPr>
  </w:style>
  <w:style w:type="paragraph" w:styleId="FootnoteText">
    <w:name w:val="footnote text"/>
    <w:aliases w:val="Footnote Text Char1,Footnote Text Char Char,Footnote Text Char1 Char Char,Footnote Text Char Char Char Char,Footnote Text Char1 Char Char Char Char,Footnote Text Char Char Char Char Char Char,Car"/>
    <w:basedOn w:val="Normal"/>
    <w:link w:val="FootnoteTextChar"/>
    <w:unhideWhenUsed/>
    <w:rsid w:val="00124080"/>
    <w:rPr>
      <w:sz w:val="20"/>
      <w:szCs w:val="20"/>
      <w:lang w:val="x-none"/>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ar Char"/>
    <w:basedOn w:val="DefaultParagraphFont"/>
    <w:link w:val="FootnoteText"/>
    <w:rsid w:val="00124080"/>
    <w:rPr>
      <w:rFonts w:ascii="Times New Roman" w:eastAsia="Times New Roman" w:hAnsi="Times New Roman" w:cs="Times New Roman"/>
      <w:kern w:val="2"/>
      <w:sz w:val="20"/>
      <w:szCs w:val="20"/>
      <w:lang w:val="x-none" w:eastAsia="en-GB"/>
    </w:rPr>
  </w:style>
  <w:style w:type="character" w:styleId="FootnoteReference">
    <w:name w:val="footnote reference"/>
    <w:unhideWhenUsed/>
    <w:rsid w:val="00124080"/>
    <w:rPr>
      <w:vertAlign w:val="superscript"/>
    </w:rPr>
  </w:style>
  <w:style w:type="character" w:styleId="Strong">
    <w:name w:val="Strong"/>
    <w:uiPriority w:val="22"/>
    <w:qFormat/>
    <w:rsid w:val="00124080"/>
    <w:rPr>
      <w:b/>
      <w:bCs/>
    </w:rPr>
  </w:style>
  <w:style w:type="paragraph" w:styleId="Header">
    <w:name w:val="header"/>
    <w:basedOn w:val="Normal"/>
    <w:link w:val="HeaderChar"/>
    <w:uiPriority w:val="99"/>
    <w:unhideWhenUsed/>
    <w:rsid w:val="00124080"/>
    <w:pPr>
      <w:tabs>
        <w:tab w:val="center" w:pos="4513"/>
        <w:tab w:val="right" w:pos="9026"/>
      </w:tabs>
    </w:pPr>
  </w:style>
  <w:style w:type="character" w:customStyle="1" w:styleId="HeaderChar">
    <w:name w:val="Header Char"/>
    <w:basedOn w:val="DefaultParagraphFont"/>
    <w:link w:val="Header"/>
    <w:uiPriority w:val="99"/>
    <w:rsid w:val="00124080"/>
    <w:rPr>
      <w:rFonts w:ascii="Times New Roman" w:eastAsia="Times New Roman" w:hAnsi="Times New Roman" w:cs="Times New Roman"/>
      <w:kern w:val="2"/>
      <w:sz w:val="24"/>
      <w:szCs w:val="24"/>
      <w:lang w:eastAsia="en-GB"/>
    </w:rPr>
  </w:style>
  <w:style w:type="paragraph" w:styleId="Footer">
    <w:name w:val="footer"/>
    <w:basedOn w:val="Normal"/>
    <w:link w:val="FooterChar"/>
    <w:uiPriority w:val="99"/>
    <w:unhideWhenUsed/>
    <w:rsid w:val="00124080"/>
    <w:pPr>
      <w:tabs>
        <w:tab w:val="center" w:pos="4513"/>
        <w:tab w:val="right" w:pos="9026"/>
      </w:tabs>
    </w:pPr>
  </w:style>
  <w:style w:type="character" w:customStyle="1" w:styleId="FooterChar">
    <w:name w:val="Footer Char"/>
    <w:basedOn w:val="DefaultParagraphFont"/>
    <w:link w:val="Footer"/>
    <w:uiPriority w:val="99"/>
    <w:rsid w:val="00124080"/>
    <w:rPr>
      <w:rFonts w:ascii="Times New Roman" w:eastAsia="Times New Roman" w:hAnsi="Times New Roman" w:cs="Times New Roman"/>
      <w:kern w:val="2"/>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lii.org/cgi-bin/markup.cgi?doc=/ew/cases/EWHC/TCC/2008/426.html&amp;query=delocalised+and+arbitration&amp;method=boolea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ily.mackenzie@brickcourt.co.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ichael.bolding@brickcourt.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ichard.lord@brickcourt.co.uk"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ogin.westlaw.co.uk/maf/wluk/app/document?src=doc&amp;linktype=ref&amp;context=21&amp;crumb-action=replace&amp;docguid=IEE0BF730E42711DA8FC2A0F0355337E9" TargetMode="External"/><Relationship Id="rId2" Type="http://schemas.openxmlformats.org/officeDocument/2006/relationships/hyperlink" Target="http://kluwerarbitrationblog.com/blog/2015/03/03/arbitration-clauses-incorporated-by-reference-an-overview-of-the-pragmatic-approach-developed-by-european-courts/?utm_source=feedburner&amp;utm_medium=email&amp;utm_campaign=Feed%3A+KluwerArbitrationBlogFull+%28Kluwer+Arbitration+Blog+-+Latest+Entries%29" TargetMode="External"/><Relationship Id="rId1" Type="http://schemas.openxmlformats.org/officeDocument/2006/relationships/hyperlink" Target="http://feedproxy.google.com/~r/KluwerArbitrationBlogFull/~3/Y26PlPo98vY/?utm_source=feedburner&amp;utm_medium=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6CE3F-B91A-4DB4-91D5-5D5CC9BA6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33</Pages>
  <Words>8294</Words>
  <Characters>47277</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Quarrie</dc:creator>
  <cp:keywords/>
  <dc:description/>
  <cp:lastModifiedBy>Paul Gray</cp:lastModifiedBy>
  <cp:revision>2</cp:revision>
  <dcterms:created xsi:type="dcterms:W3CDTF">2015-06-10T10:21:00Z</dcterms:created>
  <dcterms:modified xsi:type="dcterms:W3CDTF">2015-06-18T17:20:00Z</dcterms:modified>
</cp:coreProperties>
</file>