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175D8" w14:textId="0AF6121B" w:rsidR="00EE2DE3" w:rsidRDefault="00EE2DE3" w:rsidP="00EE2DE3">
      <w:pPr>
        <w:pStyle w:val="ListParagraph"/>
        <w:spacing w:line="276" w:lineRule="auto"/>
        <w:jc w:val="both"/>
        <w:rPr>
          <w:rFonts w:cstheme="minorHAnsi"/>
          <w:sz w:val="24"/>
          <w:szCs w:val="24"/>
        </w:rPr>
      </w:pPr>
    </w:p>
    <w:p w14:paraId="73A5A720" w14:textId="77777777" w:rsidR="00CB0D2D" w:rsidRDefault="00CB0D2D" w:rsidP="00835001">
      <w:pPr>
        <w:pStyle w:val="ListParagraph"/>
        <w:spacing w:line="276" w:lineRule="auto"/>
        <w:rPr>
          <w:rFonts w:cstheme="minorHAnsi"/>
          <w:b/>
          <w:bCs/>
          <w:sz w:val="24"/>
          <w:szCs w:val="24"/>
        </w:rPr>
      </w:pPr>
    </w:p>
    <w:p w14:paraId="46FB1685" w14:textId="1A5D0E3B" w:rsidR="00CB0D2D" w:rsidRDefault="00CB0D2D" w:rsidP="006945C0">
      <w:pPr>
        <w:pStyle w:val="ListParagraph"/>
        <w:spacing w:line="276" w:lineRule="auto"/>
        <w:jc w:val="center"/>
        <w:rPr>
          <w:rFonts w:cstheme="minorHAnsi"/>
          <w:b/>
          <w:bCs/>
          <w:sz w:val="24"/>
          <w:szCs w:val="24"/>
        </w:rPr>
      </w:pPr>
      <w:r>
        <w:rPr>
          <w:noProof/>
          <w:lang w:eastAsia="en-GB"/>
        </w:rPr>
        <w:drawing>
          <wp:inline distT="0" distB="0" distL="0" distR="0" wp14:anchorId="7EF7A39A" wp14:editId="7BD31D2E">
            <wp:extent cx="2733675" cy="5159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73015" cy="598849"/>
                    </a:xfrm>
                    <a:prstGeom prst="rect">
                      <a:avLst/>
                    </a:prstGeom>
                  </pic:spPr>
                </pic:pic>
              </a:graphicData>
            </a:graphic>
          </wp:inline>
        </w:drawing>
      </w:r>
    </w:p>
    <w:p w14:paraId="569AEEE3" w14:textId="77777777" w:rsidR="00CB0D2D" w:rsidRDefault="00CB0D2D" w:rsidP="00835001">
      <w:pPr>
        <w:pStyle w:val="ListParagraph"/>
        <w:spacing w:line="276" w:lineRule="auto"/>
        <w:rPr>
          <w:rFonts w:cstheme="minorHAnsi"/>
          <w:b/>
          <w:bCs/>
          <w:sz w:val="24"/>
          <w:szCs w:val="24"/>
        </w:rPr>
      </w:pPr>
    </w:p>
    <w:p w14:paraId="6D685B82" w14:textId="011EC65D" w:rsidR="00CB0D2D" w:rsidRDefault="00CB0D2D" w:rsidP="00835001">
      <w:pPr>
        <w:pStyle w:val="ListParagraph"/>
        <w:spacing w:line="276" w:lineRule="auto"/>
        <w:rPr>
          <w:rFonts w:cstheme="minorHAnsi"/>
          <w:b/>
          <w:bCs/>
          <w:sz w:val="24"/>
          <w:szCs w:val="24"/>
        </w:rPr>
      </w:pPr>
    </w:p>
    <w:p w14:paraId="1D564636" w14:textId="0F2F9FD6" w:rsidR="00CB0D2D" w:rsidRDefault="00CB0D2D" w:rsidP="00835001">
      <w:pPr>
        <w:pStyle w:val="ListParagraph"/>
        <w:spacing w:line="276" w:lineRule="auto"/>
        <w:rPr>
          <w:rFonts w:cstheme="minorHAnsi"/>
          <w:b/>
          <w:bCs/>
          <w:sz w:val="32"/>
          <w:szCs w:val="32"/>
        </w:rPr>
      </w:pPr>
    </w:p>
    <w:p w14:paraId="1949714C" w14:textId="2D1A681C" w:rsidR="00274D8B" w:rsidRPr="002D71B5" w:rsidRDefault="00274D8B" w:rsidP="00835001">
      <w:pPr>
        <w:spacing w:line="276" w:lineRule="auto"/>
        <w:rPr>
          <w:rFonts w:cstheme="minorHAnsi"/>
          <w:b/>
          <w:bCs/>
          <w:sz w:val="32"/>
          <w:szCs w:val="32"/>
        </w:rPr>
      </w:pPr>
    </w:p>
    <w:p w14:paraId="35FFAAED" w14:textId="7529AC1A" w:rsidR="00245639" w:rsidRDefault="00B725B1" w:rsidP="00602A35">
      <w:pPr>
        <w:pStyle w:val="ListParagraph"/>
        <w:spacing w:line="276" w:lineRule="auto"/>
        <w:jc w:val="center"/>
        <w:rPr>
          <w:rFonts w:cstheme="minorHAnsi"/>
          <w:b/>
          <w:bCs/>
          <w:color w:val="0070C0"/>
          <w:sz w:val="48"/>
          <w:szCs w:val="48"/>
        </w:rPr>
      </w:pPr>
      <w:r w:rsidRPr="00274D8B">
        <w:rPr>
          <w:rFonts w:cstheme="minorHAnsi"/>
          <w:b/>
          <w:bCs/>
          <w:color w:val="0070C0"/>
          <w:sz w:val="48"/>
          <w:szCs w:val="48"/>
        </w:rPr>
        <w:t>UNITED KINGDOM SANCTIONS</w:t>
      </w:r>
    </w:p>
    <w:p w14:paraId="5ABC4A45" w14:textId="77777777" w:rsidR="002D71B5" w:rsidRPr="002D71B5" w:rsidRDefault="002D71B5" w:rsidP="00835001">
      <w:pPr>
        <w:pStyle w:val="ListParagraph"/>
        <w:spacing w:line="276" w:lineRule="auto"/>
        <w:rPr>
          <w:rFonts w:cstheme="minorHAnsi"/>
          <w:b/>
          <w:bCs/>
          <w:color w:val="0070C0"/>
          <w:sz w:val="48"/>
          <w:szCs w:val="48"/>
        </w:rPr>
      </w:pPr>
    </w:p>
    <w:p w14:paraId="38ACB903" w14:textId="02F434C0" w:rsidR="00602A35" w:rsidRDefault="00245639" w:rsidP="00602A35">
      <w:pPr>
        <w:pStyle w:val="ListParagraph"/>
        <w:spacing w:line="276" w:lineRule="auto"/>
        <w:jc w:val="center"/>
        <w:rPr>
          <w:rFonts w:cstheme="minorHAnsi"/>
          <w:b/>
          <w:bCs/>
          <w:color w:val="0070C0"/>
          <w:sz w:val="32"/>
          <w:szCs w:val="32"/>
        </w:rPr>
      </w:pPr>
      <w:r>
        <w:rPr>
          <w:rFonts w:cstheme="minorHAnsi"/>
          <w:b/>
          <w:bCs/>
          <w:color w:val="0070C0"/>
          <w:sz w:val="32"/>
          <w:szCs w:val="32"/>
        </w:rPr>
        <w:t xml:space="preserve">Lockdown </w:t>
      </w:r>
      <w:r w:rsidR="00602A35">
        <w:rPr>
          <w:rFonts w:cstheme="minorHAnsi"/>
          <w:b/>
          <w:bCs/>
          <w:color w:val="0070C0"/>
          <w:sz w:val="32"/>
          <w:szCs w:val="32"/>
        </w:rPr>
        <w:t>Lunchtime</w:t>
      </w:r>
    </w:p>
    <w:p w14:paraId="719F4EBA" w14:textId="77777777" w:rsidR="00602A35" w:rsidRDefault="00602A35" w:rsidP="00602A35">
      <w:pPr>
        <w:pStyle w:val="ListParagraph"/>
        <w:spacing w:line="276" w:lineRule="auto"/>
        <w:jc w:val="center"/>
        <w:rPr>
          <w:rFonts w:cstheme="minorHAnsi"/>
          <w:b/>
          <w:bCs/>
          <w:color w:val="0070C0"/>
          <w:sz w:val="32"/>
          <w:szCs w:val="32"/>
        </w:rPr>
      </w:pPr>
    </w:p>
    <w:p w14:paraId="14366851" w14:textId="16D10843" w:rsidR="00245639" w:rsidRDefault="00245639" w:rsidP="00602A35">
      <w:pPr>
        <w:pStyle w:val="ListParagraph"/>
        <w:spacing w:line="276" w:lineRule="auto"/>
        <w:jc w:val="center"/>
        <w:rPr>
          <w:rFonts w:cstheme="minorHAnsi"/>
          <w:b/>
          <w:bCs/>
          <w:color w:val="0070C0"/>
          <w:sz w:val="32"/>
          <w:szCs w:val="32"/>
        </w:rPr>
      </w:pPr>
      <w:r>
        <w:rPr>
          <w:rFonts w:cstheme="minorHAnsi"/>
          <w:b/>
          <w:bCs/>
          <w:color w:val="0070C0"/>
          <w:sz w:val="32"/>
          <w:szCs w:val="32"/>
        </w:rPr>
        <w:t>22 January 2021</w:t>
      </w:r>
      <w:r w:rsidR="00602A35">
        <w:rPr>
          <w:rFonts w:cstheme="minorHAnsi"/>
          <w:b/>
          <w:bCs/>
          <w:color w:val="0070C0"/>
          <w:sz w:val="32"/>
          <w:szCs w:val="32"/>
        </w:rPr>
        <w:t xml:space="preserve"> at </w:t>
      </w:r>
      <w:r w:rsidR="00935FFE">
        <w:rPr>
          <w:rFonts w:cstheme="minorHAnsi"/>
          <w:b/>
          <w:bCs/>
          <w:color w:val="0070C0"/>
          <w:sz w:val="32"/>
          <w:szCs w:val="32"/>
        </w:rPr>
        <w:t>1</w:t>
      </w:r>
      <w:r w:rsidR="00602A35">
        <w:rPr>
          <w:rFonts w:cstheme="minorHAnsi"/>
          <w:b/>
          <w:bCs/>
          <w:color w:val="0070C0"/>
          <w:sz w:val="32"/>
          <w:szCs w:val="32"/>
        </w:rPr>
        <w:t>2pm</w:t>
      </w:r>
    </w:p>
    <w:p w14:paraId="2DC4116B" w14:textId="55DCF7A8" w:rsidR="00245639" w:rsidRDefault="00245639" w:rsidP="00B725B1">
      <w:pPr>
        <w:pStyle w:val="ListParagraph"/>
        <w:spacing w:line="276" w:lineRule="auto"/>
        <w:jc w:val="center"/>
        <w:rPr>
          <w:rFonts w:cstheme="minorHAnsi"/>
          <w:b/>
          <w:bCs/>
          <w:color w:val="0070C0"/>
          <w:sz w:val="32"/>
          <w:szCs w:val="32"/>
        </w:rPr>
      </w:pPr>
    </w:p>
    <w:p w14:paraId="5C5A6AC8" w14:textId="5FBF4F1D" w:rsidR="002D71B5" w:rsidRPr="002D71B5" w:rsidRDefault="00245639">
      <w:pPr>
        <w:spacing w:after="160" w:line="259" w:lineRule="auto"/>
        <w:rPr>
          <w:rFonts w:cstheme="minorHAnsi"/>
          <w:bCs/>
          <w:color w:val="0070C0"/>
          <w:sz w:val="32"/>
          <w:szCs w:val="32"/>
        </w:rPr>
      </w:pPr>
      <w:r>
        <w:rPr>
          <w:rFonts w:cstheme="minorHAnsi"/>
          <w:b/>
          <w:bCs/>
          <w:color w:val="0070C0"/>
          <w:sz w:val="32"/>
          <w:szCs w:val="32"/>
        </w:rPr>
        <w:br w:type="page"/>
      </w:r>
    </w:p>
    <w:p w14:paraId="10162912" w14:textId="743C5406" w:rsidR="00245639" w:rsidRDefault="00052BDE" w:rsidP="00C1604D">
      <w:pPr>
        <w:pStyle w:val="ListParagraph"/>
        <w:spacing w:line="276" w:lineRule="auto"/>
        <w:jc w:val="center"/>
        <w:rPr>
          <w:rFonts w:cstheme="minorHAnsi"/>
          <w:b/>
          <w:bCs/>
          <w:color w:val="0070C0"/>
          <w:sz w:val="32"/>
          <w:szCs w:val="32"/>
        </w:rPr>
      </w:pPr>
      <w:r>
        <w:rPr>
          <w:rFonts w:cstheme="minorHAnsi"/>
          <w:b/>
          <w:bCs/>
          <w:color w:val="0070C0"/>
          <w:sz w:val="32"/>
          <w:szCs w:val="32"/>
        </w:rPr>
        <w:lastRenderedPageBreak/>
        <w:t>SPEAKER PROFILES</w:t>
      </w:r>
    </w:p>
    <w:p w14:paraId="7701790E" w14:textId="3B18BD11" w:rsidR="00835001" w:rsidRPr="00835001" w:rsidRDefault="00835001" w:rsidP="00C1604D">
      <w:pPr>
        <w:pStyle w:val="ListParagraph"/>
        <w:spacing w:line="276" w:lineRule="auto"/>
        <w:jc w:val="center"/>
        <w:rPr>
          <w:rFonts w:cstheme="minorHAnsi"/>
          <w:b/>
          <w:bCs/>
          <w:color w:val="0070C0"/>
          <w:sz w:val="20"/>
          <w:szCs w:val="20"/>
        </w:rPr>
      </w:pPr>
      <w:r>
        <w:rPr>
          <w:rFonts w:cstheme="minorHAnsi"/>
          <w:b/>
          <w:bCs/>
          <w:color w:val="0070C0"/>
          <w:sz w:val="20"/>
          <w:szCs w:val="20"/>
        </w:rPr>
        <w:t>Main switchboard: +44 20 7379 3550</w:t>
      </w:r>
    </w:p>
    <w:p w14:paraId="54C40B21" w14:textId="77777777" w:rsidR="00052BDE" w:rsidRDefault="00052BDE" w:rsidP="00052BDE">
      <w:pPr>
        <w:rPr>
          <w:b/>
        </w:rPr>
      </w:pPr>
    </w:p>
    <w:p w14:paraId="04D4A0AE" w14:textId="77777777" w:rsidR="00052BDE" w:rsidRDefault="00052BDE" w:rsidP="00052BDE">
      <w:pPr>
        <w:rPr>
          <w:b/>
        </w:rPr>
      </w:pPr>
    </w:p>
    <w:p w14:paraId="3F491E25" w14:textId="3FBE5BCD" w:rsidR="00052BDE" w:rsidRPr="00052BDE" w:rsidRDefault="00052BDE" w:rsidP="00052BDE">
      <w:pPr>
        <w:rPr>
          <w:b/>
        </w:rPr>
      </w:pPr>
      <w:r w:rsidRPr="00052BDE">
        <w:rPr>
          <w:b/>
        </w:rPr>
        <w:t>Qudsi Rasheed OBE</w:t>
      </w:r>
    </w:p>
    <w:p w14:paraId="4B7D33FB" w14:textId="77777777" w:rsidR="00052BDE" w:rsidRDefault="00052BDE" w:rsidP="00052BDE"/>
    <w:p w14:paraId="245473AE" w14:textId="36040FE4" w:rsidR="00935FFE" w:rsidRPr="00052BDE" w:rsidRDefault="00052BDE" w:rsidP="00052BDE">
      <w:pPr>
        <w:jc w:val="both"/>
        <w:rPr>
          <w:rFonts w:ascii="Times New Roman" w:hAnsi="Times New Roman" w:cs="Times New Roman"/>
        </w:rPr>
      </w:pPr>
      <w:r>
        <w:t>Qudsiis a diplomat at the Foreign, Commonwealth and Development Office. Most recently, he was Deputy Director Multilateral Policy and Head of the Sanctions Unit. His recent diplomatic postings include Head of the UK’s Syria Office in Beirut, and External Relations Counsellor at the UK Representation to the EU in Brussels, where, amongst other things, he was the UK’s sanctions negotiator to the EU. Prior to joining</w:t>
      </w:r>
      <w:r>
        <w:rPr>
          <w:lang w:val="en"/>
        </w:rPr>
        <w:t xml:space="preserve"> the FCDO, he was a barrister at Brick Court Chambers, and was also a visiting tutor at King’s College London. </w:t>
      </w:r>
    </w:p>
    <w:p w14:paraId="39ED2834" w14:textId="1126216C" w:rsidR="00052BDE" w:rsidRPr="00935FFE" w:rsidRDefault="00052BDE" w:rsidP="00935FFE">
      <w:pPr>
        <w:spacing w:line="276" w:lineRule="auto"/>
        <w:rPr>
          <w:rFonts w:cstheme="minorHAnsi"/>
          <w:b/>
          <w:bCs/>
          <w:color w:val="0070C0"/>
          <w:sz w:val="32"/>
          <w:szCs w:val="32"/>
        </w:rPr>
      </w:pPr>
    </w:p>
    <w:p w14:paraId="399B7CD5" w14:textId="0874663D" w:rsidR="002D71B5" w:rsidRDefault="002D71B5" w:rsidP="002D71B5">
      <w:pPr>
        <w:jc w:val="both"/>
        <w:rPr>
          <w:b/>
        </w:rPr>
      </w:pPr>
      <w:r w:rsidRPr="00546FE4">
        <w:rPr>
          <w:b/>
        </w:rPr>
        <w:t>Lord Anderson of Ipswich KBE QC</w:t>
      </w:r>
      <w:r>
        <w:rPr>
          <w:b/>
        </w:rPr>
        <w:tab/>
      </w:r>
      <w:r>
        <w:rPr>
          <w:b/>
        </w:rPr>
        <w:tab/>
      </w:r>
      <w:hyperlink r:id="rId8" w:history="1">
        <w:r w:rsidR="006945C0" w:rsidRPr="00F72FB4">
          <w:rPr>
            <w:rStyle w:val="Hyperlink"/>
            <w:b/>
          </w:rPr>
          <w:t>david.anderson@brickcourt.co.uk</w:t>
        </w:r>
      </w:hyperlink>
    </w:p>
    <w:p w14:paraId="55BF9DE3" w14:textId="77777777" w:rsidR="006945C0" w:rsidRDefault="006945C0" w:rsidP="002D71B5">
      <w:pPr>
        <w:jc w:val="both"/>
        <w:rPr>
          <w:b/>
        </w:rPr>
      </w:pPr>
    </w:p>
    <w:p w14:paraId="4CE78EAA" w14:textId="65445B62" w:rsidR="002D71B5" w:rsidRDefault="006945C0" w:rsidP="002D71B5">
      <w:pPr>
        <w:jc w:val="both"/>
        <w:rPr>
          <w:b/>
        </w:rPr>
      </w:pPr>
      <w:r>
        <w:rPr>
          <w:b/>
          <w:noProof/>
          <w:lang w:eastAsia="en-GB"/>
        </w:rPr>
        <w:drawing>
          <wp:inline distT="0" distB="0" distL="0" distR="0" wp14:anchorId="74052A23" wp14:editId="5FD022FF">
            <wp:extent cx="1021922" cy="103822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vidAnderson02_W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7412" cy="1043803"/>
                    </a:xfrm>
                    <a:prstGeom prst="rect">
                      <a:avLst/>
                    </a:prstGeom>
                  </pic:spPr>
                </pic:pic>
              </a:graphicData>
            </a:graphic>
          </wp:inline>
        </w:drawing>
      </w:r>
    </w:p>
    <w:p w14:paraId="0A72A316" w14:textId="77777777" w:rsidR="006945C0" w:rsidRPr="00546FE4" w:rsidRDefault="006945C0" w:rsidP="002D71B5">
      <w:pPr>
        <w:jc w:val="both"/>
        <w:rPr>
          <w:b/>
        </w:rPr>
      </w:pPr>
    </w:p>
    <w:p w14:paraId="0B59B349" w14:textId="363674F1" w:rsidR="002D71B5" w:rsidRDefault="002D71B5" w:rsidP="002D71B5">
      <w:pPr>
        <w:jc w:val="both"/>
      </w:pPr>
      <w:r w:rsidRPr="00F50A31">
        <w:t xml:space="preserve">David Anderson practises in the fields of public, regulatory, international and EU-related law. His sanctions cases have included </w:t>
      </w:r>
      <w:r w:rsidRPr="00FD7459">
        <w:rPr>
          <w:i/>
        </w:rPr>
        <w:t xml:space="preserve">Kadi </w:t>
      </w:r>
      <w:r w:rsidRPr="00F50A31">
        <w:t xml:space="preserve">(2008-2010) and </w:t>
      </w:r>
      <w:r w:rsidRPr="00FD7459">
        <w:rPr>
          <w:i/>
        </w:rPr>
        <w:t xml:space="preserve">Mubarak </w:t>
      </w:r>
      <w:r w:rsidRPr="00F50A31">
        <w:t xml:space="preserve">(2020) in the Court of Justice of the EU, and </w:t>
      </w:r>
      <w:r w:rsidRPr="00546FE4">
        <w:rPr>
          <w:i/>
        </w:rPr>
        <w:t>MODSAF</w:t>
      </w:r>
      <w:r w:rsidRPr="00FD7459">
        <w:rPr>
          <w:i/>
        </w:rPr>
        <w:t xml:space="preserve"> v IMS </w:t>
      </w:r>
      <w:r w:rsidRPr="00F50A31">
        <w:t xml:space="preserve">(2020) in the Court of Appeal. From 2011-2017 he reviewed the operation of terrorist asset-freezing law as Independent Reviewer of Terrorism Legislation.  In 2018 David was knighted for services to national security and human rights, and appointed to the House of Lords as a cross-bench “people’s peer” where he sits on the EU Justice and Security Committee. </w:t>
      </w:r>
    </w:p>
    <w:p w14:paraId="3F1D6C5D" w14:textId="56E6A164" w:rsidR="006D4BE5" w:rsidRDefault="006D4BE5" w:rsidP="002D71B5">
      <w:pPr>
        <w:jc w:val="both"/>
      </w:pPr>
    </w:p>
    <w:p w14:paraId="68CA6898" w14:textId="77777777" w:rsidR="00935FFE" w:rsidRDefault="00935FFE" w:rsidP="002D71B5">
      <w:pPr>
        <w:jc w:val="both"/>
      </w:pPr>
    </w:p>
    <w:p w14:paraId="26238674" w14:textId="2F74C537" w:rsidR="002D71B5" w:rsidRDefault="002D71B5" w:rsidP="002D71B5">
      <w:pPr>
        <w:jc w:val="both"/>
        <w:rPr>
          <w:b/>
          <w:lang w:val="pt-BR"/>
        </w:rPr>
      </w:pPr>
      <w:r w:rsidRPr="00602A35">
        <w:rPr>
          <w:b/>
          <w:lang w:val="pt-BR"/>
        </w:rPr>
        <w:t>Fergus Randolph QC</w:t>
      </w:r>
      <w:r w:rsidR="00835001" w:rsidRPr="00602A35">
        <w:rPr>
          <w:b/>
          <w:lang w:val="pt-BR"/>
        </w:rPr>
        <w:tab/>
      </w:r>
      <w:r w:rsidR="00835001" w:rsidRPr="00602A35">
        <w:rPr>
          <w:b/>
          <w:lang w:val="pt-BR"/>
        </w:rPr>
        <w:tab/>
      </w:r>
      <w:r w:rsidR="00835001" w:rsidRPr="00602A35">
        <w:rPr>
          <w:b/>
          <w:lang w:val="pt-BR"/>
        </w:rPr>
        <w:tab/>
      </w:r>
      <w:r w:rsidR="00835001" w:rsidRPr="00602A35">
        <w:rPr>
          <w:b/>
          <w:lang w:val="pt-BR"/>
        </w:rPr>
        <w:tab/>
      </w:r>
      <w:hyperlink r:id="rId10" w:history="1">
        <w:r w:rsidR="006945C0" w:rsidRPr="00F72FB4">
          <w:rPr>
            <w:rStyle w:val="Hyperlink"/>
            <w:b/>
            <w:lang w:val="pt-BR"/>
          </w:rPr>
          <w:t>fergus.randolph@brickcourt.co.uk</w:t>
        </w:r>
      </w:hyperlink>
    </w:p>
    <w:p w14:paraId="554D634E" w14:textId="388A102B" w:rsidR="006945C0" w:rsidRDefault="006945C0" w:rsidP="002D71B5">
      <w:pPr>
        <w:jc w:val="both"/>
        <w:rPr>
          <w:b/>
          <w:lang w:val="pt-BR"/>
        </w:rPr>
      </w:pPr>
    </w:p>
    <w:p w14:paraId="239B1624" w14:textId="39592DF6" w:rsidR="006945C0" w:rsidRPr="00602A35" w:rsidRDefault="006945C0" w:rsidP="002D71B5">
      <w:pPr>
        <w:jc w:val="both"/>
        <w:rPr>
          <w:b/>
          <w:lang w:val="pt-BR"/>
        </w:rPr>
      </w:pPr>
      <w:r>
        <w:rPr>
          <w:b/>
          <w:noProof/>
          <w:lang w:eastAsia="en-GB"/>
        </w:rPr>
        <w:drawing>
          <wp:inline distT="0" distB="0" distL="0" distR="0" wp14:anchorId="2D451501" wp14:editId="0A145866">
            <wp:extent cx="1648539" cy="120015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rgus_Randolph.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4203" cy="1247954"/>
                    </a:xfrm>
                    <a:prstGeom prst="rect">
                      <a:avLst/>
                    </a:prstGeom>
                  </pic:spPr>
                </pic:pic>
              </a:graphicData>
            </a:graphic>
          </wp:inline>
        </w:drawing>
      </w:r>
    </w:p>
    <w:p w14:paraId="1974411D" w14:textId="77777777" w:rsidR="002D71B5" w:rsidRPr="00602A35" w:rsidRDefault="002D71B5" w:rsidP="002D71B5">
      <w:pPr>
        <w:jc w:val="both"/>
        <w:rPr>
          <w:b/>
          <w:lang w:val="pt-BR"/>
        </w:rPr>
      </w:pPr>
    </w:p>
    <w:p w14:paraId="3BE9D3CD" w14:textId="4F17363D" w:rsidR="002D71B5" w:rsidRDefault="002D71B5" w:rsidP="002D71B5">
      <w:pPr>
        <w:jc w:val="both"/>
      </w:pPr>
      <w:r>
        <w:t xml:space="preserve">Fergus </w:t>
      </w:r>
      <w:r w:rsidRPr="00FE04E9">
        <w:t>is at the forefront of EU and competition la</w:t>
      </w:r>
      <w:r>
        <w:t xml:space="preserve">w litigation at the English bar and </w:t>
      </w:r>
      <w:r w:rsidRPr="00FE04E9">
        <w:t xml:space="preserve">is </w:t>
      </w:r>
      <w:r>
        <w:t xml:space="preserve">also </w:t>
      </w:r>
      <w:r w:rsidRPr="00FE04E9">
        <w:t>a full member of the Brussels bar</w:t>
      </w:r>
      <w:r>
        <w:t xml:space="preserve">.  He </w:t>
      </w:r>
      <w:r w:rsidRPr="00FE04E9">
        <w:t>has acted on behalf of several Iranian companies that have been the subject of sanct</w:t>
      </w:r>
      <w:r>
        <w:t xml:space="preserve">ions imposed by the EU.  He </w:t>
      </w:r>
      <w:r w:rsidRPr="00FE04E9">
        <w:t>succeeded in persuading the EU General Court to annul those sanctions</w:t>
      </w:r>
      <w:r>
        <w:t>.</w:t>
      </w:r>
    </w:p>
    <w:p w14:paraId="483280CE" w14:textId="05602BBD" w:rsidR="006D4BE5" w:rsidRDefault="006D4BE5" w:rsidP="002D71B5">
      <w:pPr>
        <w:jc w:val="both"/>
      </w:pPr>
    </w:p>
    <w:p w14:paraId="557AAF53" w14:textId="57D379A5" w:rsidR="006945C0" w:rsidRDefault="006945C0" w:rsidP="002D71B5">
      <w:pPr>
        <w:jc w:val="both"/>
      </w:pPr>
    </w:p>
    <w:p w14:paraId="66EE9DC2" w14:textId="32B30DDB" w:rsidR="006945C0" w:rsidRDefault="006945C0" w:rsidP="002D71B5">
      <w:pPr>
        <w:jc w:val="both"/>
      </w:pPr>
    </w:p>
    <w:p w14:paraId="12D5E55E" w14:textId="0C2C1DFD" w:rsidR="00935FFE" w:rsidRDefault="00935FFE" w:rsidP="002D71B5">
      <w:pPr>
        <w:jc w:val="both"/>
      </w:pPr>
    </w:p>
    <w:p w14:paraId="13872F88" w14:textId="77777777" w:rsidR="00052BDE" w:rsidRPr="00546FE4" w:rsidRDefault="00052BDE" w:rsidP="002D71B5">
      <w:pPr>
        <w:jc w:val="both"/>
      </w:pPr>
    </w:p>
    <w:p w14:paraId="146F3A24" w14:textId="0142BF88" w:rsidR="002D71B5" w:rsidRDefault="002D71B5" w:rsidP="002D71B5">
      <w:pPr>
        <w:jc w:val="both"/>
        <w:rPr>
          <w:b/>
          <w:lang w:val="es-ES"/>
        </w:rPr>
      </w:pPr>
      <w:r w:rsidRPr="00602A35">
        <w:rPr>
          <w:b/>
          <w:lang w:val="es-ES"/>
        </w:rPr>
        <w:lastRenderedPageBreak/>
        <w:t xml:space="preserve">Maya Lester QC </w:t>
      </w:r>
      <w:r w:rsidR="00835001" w:rsidRPr="00602A35">
        <w:rPr>
          <w:b/>
          <w:lang w:val="es-ES"/>
        </w:rPr>
        <w:tab/>
      </w:r>
      <w:r w:rsidR="00835001" w:rsidRPr="00602A35">
        <w:rPr>
          <w:b/>
          <w:lang w:val="es-ES"/>
        </w:rPr>
        <w:tab/>
      </w:r>
      <w:r w:rsidR="00835001" w:rsidRPr="00602A35">
        <w:rPr>
          <w:b/>
          <w:lang w:val="es-ES"/>
        </w:rPr>
        <w:tab/>
      </w:r>
      <w:r w:rsidR="00835001" w:rsidRPr="00602A35">
        <w:rPr>
          <w:b/>
          <w:lang w:val="es-ES"/>
        </w:rPr>
        <w:tab/>
      </w:r>
      <w:hyperlink r:id="rId12" w:history="1">
        <w:r w:rsidR="006945C0" w:rsidRPr="00F72FB4">
          <w:rPr>
            <w:rStyle w:val="Hyperlink"/>
            <w:b/>
            <w:lang w:val="es-ES"/>
          </w:rPr>
          <w:t>maya.lester@brickcourt.co.uk</w:t>
        </w:r>
      </w:hyperlink>
    </w:p>
    <w:p w14:paraId="76B1248D" w14:textId="7A3243CE" w:rsidR="006945C0" w:rsidRDefault="006945C0" w:rsidP="002D71B5">
      <w:pPr>
        <w:jc w:val="both"/>
        <w:rPr>
          <w:b/>
          <w:lang w:val="es-ES"/>
        </w:rPr>
      </w:pPr>
    </w:p>
    <w:p w14:paraId="3B713B76" w14:textId="46FAE519" w:rsidR="006945C0" w:rsidRDefault="006945C0" w:rsidP="002D71B5">
      <w:pPr>
        <w:jc w:val="both"/>
        <w:rPr>
          <w:b/>
          <w:lang w:val="es-ES"/>
        </w:rPr>
      </w:pPr>
      <w:r>
        <w:rPr>
          <w:b/>
          <w:noProof/>
          <w:lang w:eastAsia="en-GB"/>
        </w:rPr>
        <w:drawing>
          <wp:inline distT="0" distB="0" distL="0" distR="0" wp14:anchorId="2233D0BE" wp14:editId="6DFFE57B">
            <wp:extent cx="1687791" cy="1228725"/>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ya_Lester_QC_1_Cutou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99443" cy="1237208"/>
                    </a:xfrm>
                    <a:prstGeom prst="rect">
                      <a:avLst/>
                    </a:prstGeom>
                  </pic:spPr>
                </pic:pic>
              </a:graphicData>
            </a:graphic>
          </wp:inline>
        </w:drawing>
      </w:r>
    </w:p>
    <w:p w14:paraId="34A46E58" w14:textId="77777777" w:rsidR="006945C0" w:rsidRPr="00602A35" w:rsidRDefault="006945C0" w:rsidP="002D71B5">
      <w:pPr>
        <w:jc w:val="both"/>
        <w:rPr>
          <w:b/>
          <w:lang w:val="es-ES"/>
        </w:rPr>
      </w:pPr>
    </w:p>
    <w:p w14:paraId="798DB734" w14:textId="77777777" w:rsidR="002D71B5" w:rsidRPr="00602A35" w:rsidRDefault="002D71B5" w:rsidP="002D71B5">
      <w:pPr>
        <w:jc w:val="both"/>
        <w:rPr>
          <w:b/>
          <w:lang w:val="es-ES"/>
        </w:rPr>
      </w:pPr>
    </w:p>
    <w:p w14:paraId="0A162251" w14:textId="7CBFA834" w:rsidR="002D71B5" w:rsidRDefault="002D71B5" w:rsidP="002D71B5">
      <w:pPr>
        <w:jc w:val="both"/>
      </w:pPr>
      <w:r>
        <w:t>Maya specialises in sanctions law (in a broad public, EU and international law practice) and is the</w:t>
      </w:r>
      <w:r w:rsidR="00045109">
        <w:t xml:space="preserve"> “star individual” </w:t>
      </w:r>
      <w:r>
        <w:t>for sanct</w:t>
      </w:r>
      <w:r w:rsidR="00045109">
        <w:t xml:space="preserve">ions in the legal directories. She founded and </w:t>
      </w:r>
      <w:r>
        <w:t>co-</w:t>
      </w:r>
      <w:r w:rsidR="00602A35">
        <w:t>authors</w:t>
      </w:r>
      <w:r>
        <w:t xml:space="preserve"> </w:t>
      </w:r>
      <w:hyperlink r:id="rId14" w:history="1">
        <w:r w:rsidR="00045109" w:rsidRPr="008E7394">
          <w:rPr>
            <w:rStyle w:val="Hyperlink"/>
          </w:rPr>
          <w:t>www.europeansanctions.com</w:t>
        </w:r>
      </w:hyperlink>
      <w:r w:rsidR="00045109">
        <w:t xml:space="preserve"> </w:t>
      </w:r>
      <w:r>
        <w:t xml:space="preserve">(the main international sanctions legal resource, with over 8,000 followers worldwide) and has given evidence to five parliamentary inquiries on sanctions and spoken at numerous conferences. She has represented and advised hundreds of companies and individuals before the European and English courts and has acted in most of the leading cases, including </w:t>
      </w:r>
      <w:r w:rsidRPr="00546FE4">
        <w:rPr>
          <w:i/>
        </w:rPr>
        <w:t>Lamesa, Kadi II, Tay Za, Central Bank of Iran, Sberbank, Rotenberg, NITC</w:t>
      </w:r>
      <w:r>
        <w:t xml:space="preserve"> and </w:t>
      </w:r>
      <w:r w:rsidRPr="00546FE4">
        <w:rPr>
          <w:i/>
        </w:rPr>
        <w:t>IRISL</w:t>
      </w:r>
      <w:r>
        <w:t xml:space="preserve">. </w:t>
      </w:r>
    </w:p>
    <w:p w14:paraId="10601111" w14:textId="32CD0D6F" w:rsidR="002D71B5" w:rsidRDefault="002D71B5" w:rsidP="002D71B5">
      <w:pPr>
        <w:jc w:val="both"/>
      </w:pPr>
    </w:p>
    <w:p w14:paraId="7153A170" w14:textId="77777777" w:rsidR="006D4BE5" w:rsidRDefault="006D4BE5" w:rsidP="002D71B5">
      <w:pPr>
        <w:jc w:val="both"/>
        <w:rPr>
          <w:b/>
        </w:rPr>
      </w:pPr>
    </w:p>
    <w:p w14:paraId="0E2F297D" w14:textId="679687A5" w:rsidR="002D71B5" w:rsidRDefault="002D71B5" w:rsidP="002D71B5">
      <w:pPr>
        <w:jc w:val="both"/>
        <w:rPr>
          <w:b/>
        </w:rPr>
      </w:pPr>
      <w:r w:rsidRPr="00546FE4">
        <w:rPr>
          <w:b/>
        </w:rPr>
        <w:t xml:space="preserve">Jonathan Dawid </w:t>
      </w:r>
      <w:r w:rsidR="00835001">
        <w:rPr>
          <w:b/>
        </w:rPr>
        <w:tab/>
      </w:r>
      <w:r w:rsidR="00835001">
        <w:rPr>
          <w:b/>
        </w:rPr>
        <w:tab/>
      </w:r>
      <w:r w:rsidR="00835001">
        <w:rPr>
          <w:b/>
        </w:rPr>
        <w:tab/>
      </w:r>
      <w:r w:rsidR="00835001">
        <w:rPr>
          <w:b/>
        </w:rPr>
        <w:tab/>
      </w:r>
      <w:hyperlink r:id="rId15" w:history="1">
        <w:r w:rsidR="006945C0" w:rsidRPr="00F72FB4">
          <w:rPr>
            <w:rStyle w:val="Hyperlink"/>
            <w:b/>
          </w:rPr>
          <w:t>jonathan.dawid@brickcourt.co.uk</w:t>
        </w:r>
      </w:hyperlink>
    </w:p>
    <w:p w14:paraId="5824A8B2" w14:textId="5D22BF94" w:rsidR="006945C0" w:rsidRDefault="006945C0" w:rsidP="002D71B5">
      <w:pPr>
        <w:jc w:val="both"/>
        <w:rPr>
          <w:b/>
        </w:rPr>
      </w:pPr>
    </w:p>
    <w:p w14:paraId="191C6DD4" w14:textId="2F140EA8" w:rsidR="006945C0" w:rsidRDefault="006945C0" w:rsidP="002D71B5">
      <w:pPr>
        <w:jc w:val="both"/>
        <w:rPr>
          <w:b/>
        </w:rPr>
      </w:pPr>
      <w:r>
        <w:rPr>
          <w:b/>
          <w:noProof/>
          <w:lang w:eastAsia="en-GB"/>
        </w:rPr>
        <w:drawing>
          <wp:inline distT="0" distB="0" distL="0" distR="0" wp14:anchorId="2F830738" wp14:editId="4E559072">
            <wp:extent cx="1870960" cy="1362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onathan_Dawid_Cutout.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03485" cy="1385754"/>
                    </a:xfrm>
                    <a:prstGeom prst="rect">
                      <a:avLst/>
                    </a:prstGeom>
                  </pic:spPr>
                </pic:pic>
              </a:graphicData>
            </a:graphic>
          </wp:inline>
        </w:drawing>
      </w:r>
    </w:p>
    <w:p w14:paraId="57291A9D" w14:textId="77777777" w:rsidR="002D71B5" w:rsidRPr="00546FE4" w:rsidRDefault="002D71B5" w:rsidP="002D71B5">
      <w:pPr>
        <w:jc w:val="both"/>
        <w:rPr>
          <w:b/>
        </w:rPr>
      </w:pPr>
    </w:p>
    <w:p w14:paraId="42574C65" w14:textId="44BD4BD8" w:rsidR="002D71B5" w:rsidRDefault="002D71B5" w:rsidP="002D71B5">
      <w:pPr>
        <w:jc w:val="both"/>
      </w:pPr>
      <w:r>
        <w:t>Jonathan is regularly instructed in matters concerning UK and international sanctions and export controls</w:t>
      </w:r>
      <w:r w:rsidRPr="002F1D04">
        <w:t xml:space="preserve"> especially in areas involving the interaction between sanctions and commercial law</w:t>
      </w:r>
      <w:r>
        <w:t>, with a particular focus on their application to financial services. He recently acted for VTB Bank in its CJEU appeal against listing under Regulation (EC) 833/2014, C-729-18P.</w:t>
      </w:r>
      <w:r w:rsidRPr="002F1D04">
        <w:t xml:space="preserve"> He regularly advises on sanctions under UK and EU law, including UN sanctions and export controls in relation to dual-use technology.</w:t>
      </w:r>
    </w:p>
    <w:p w14:paraId="2D1384F2" w14:textId="0364FE1E" w:rsidR="006945C0" w:rsidRDefault="006945C0" w:rsidP="002D71B5">
      <w:pPr>
        <w:jc w:val="both"/>
      </w:pPr>
    </w:p>
    <w:p w14:paraId="45ADC39F" w14:textId="530F1978" w:rsidR="00935FFE" w:rsidRDefault="00935FFE" w:rsidP="002D71B5">
      <w:pPr>
        <w:jc w:val="both"/>
        <w:rPr>
          <w:b/>
          <w:lang w:val="nl-NL"/>
        </w:rPr>
      </w:pPr>
    </w:p>
    <w:p w14:paraId="7A1AEF10" w14:textId="77777777" w:rsidR="00812244" w:rsidRDefault="00812244" w:rsidP="002D71B5">
      <w:pPr>
        <w:jc w:val="both"/>
        <w:rPr>
          <w:b/>
          <w:lang w:val="nl-NL"/>
        </w:rPr>
      </w:pPr>
    </w:p>
    <w:p w14:paraId="722595F7" w14:textId="77777777" w:rsidR="00812244" w:rsidRDefault="00812244" w:rsidP="002D71B5">
      <w:pPr>
        <w:jc w:val="both"/>
        <w:rPr>
          <w:b/>
          <w:lang w:val="nl-NL"/>
        </w:rPr>
      </w:pPr>
    </w:p>
    <w:p w14:paraId="742292D5" w14:textId="77777777" w:rsidR="00812244" w:rsidRDefault="00812244" w:rsidP="002D71B5">
      <w:pPr>
        <w:jc w:val="both"/>
        <w:rPr>
          <w:b/>
          <w:lang w:val="nl-NL"/>
        </w:rPr>
      </w:pPr>
    </w:p>
    <w:p w14:paraId="0BD6EF63" w14:textId="77777777" w:rsidR="00812244" w:rsidRDefault="00812244" w:rsidP="002D71B5">
      <w:pPr>
        <w:jc w:val="both"/>
        <w:rPr>
          <w:b/>
          <w:lang w:val="nl-NL"/>
        </w:rPr>
      </w:pPr>
    </w:p>
    <w:p w14:paraId="164FA5AB" w14:textId="77777777" w:rsidR="00812244" w:rsidRDefault="00812244" w:rsidP="002D71B5">
      <w:pPr>
        <w:jc w:val="both"/>
        <w:rPr>
          <w:b/>
          <w:lang w:val="nl-NL"/>
        </w:rPr>
      </w:pPr>
    </w:p>
    <w:p w14:paraId="55D5D2E7" w14:textId="77777777" w:rsidR="00812244" w:rsidRDefault="00812244" w:rsidP="002D71B5">
      <w:pPr>
        <w:jc w:val="both"/>
        <w:rPr>
          <w:b/>
          <w:lang w:val="nl-NL"/>
        </w:rPr>
      </w:pPr>
    </w:p>
    <w:p w14:paraId="45B4E61E" w14:textId="77777777" w:rsidR="00812244" w:rsidRDefault="00812244" w:rsidP="002D71B5">
      <w:pPr>
        <w:jc w:val="both"/>
        <w:rPr>
          <w:b/>
          <w:lang w:val="nl-NL"/>
        </w:rPr>
      </w:pPr>
    </w:p>
    <w:p w14:paraId="5B6F5E36" w14:textId="77777777" w:rsidR="00812244" w:rsidRDefault="00812244" w:rsidP="002D71B5">
      <w:pPr>
        <w:jc w:val="both"/>
        <w:rPr>
          <w:b/>
          <w:lang w:val="nl-NL"/>
        </w:rPr>
      </w:pPr>
    </w:p>
    <w:p w14:paraId="324520CD" w14:textId="77777777" w:rsidR="00812244" w:rsidRDefault="00812244" w:rsidP="002D71B5">
      <w:pPr>
        <w:jc w:val="both"/>
        <w:rPr>
          <w:b/>
          <w:lang w:val="nl-NL"/>
        </w:rPr>
      </w:pPr>
    </w:p>
    <w:p w14:paraId="7E31687E" w14:textId="77777777" w:rsidR="00812244" w:rsidRDefault="00812244" w:rsidP="002D71B5">
      <w:pPr>
        <w:jc w:val="both"/>
        <w:rPr>
          <w:b/>
          <w:lang w:val="nl-NL"/>
        </w:rPr>
      </w:pPr>
    </w:p>
    <w:p w14:paraId="172A8B01" w14:textId="77777777" w:rsidR="00812244" w:rsidRDefault="00812244" w:rsidP="002D71B5">
      <w:pPr>
        <w:jc w:val="both"/>
        <w:rPr>
          <w:b/>
          <w:lang w:val="nl-NL"/>
        </w:rPr>
      </w:pPr>
    </w:p>
    <w:p w14:paraId="644A36F4" w14:textId="77777777" w:rsidR="00812244" w:rsidRDefault="00812244" w:rsidP="002D71B5">
      <w:pPr>
        <w:jc w:val="both"/>
        <w:rPr>
          <w:b/>
          <w:lang w:val="nl-NL"/>
        </w:rPr>
      </w:pPr>
    </w:p>
    <w:p w14:paraId="5A4CB35F" w14:textId="77777777" w:rsidR="00812244" w:rsidRDefault="00812244" w:rsidP="002D71B5">
      <w:pPr>
        <w:jc w:val="both"/>
        <w:rPr>
          <w:b/>
          <w:lang w:val="nl-NL"/>
        </w:rPr>
      </w:pPr>
    </w:p>
    <w:p w14:paraId="2A1A8A12" w14:textId="1D6F84F7" w:rsidR="002D71B5" w:rsidRDefault="002D71B5" w:rsidP="002D71B5">
      <w:pPr>
        <w:jc w:val="both"/>
        <w:rPr>
          <w:b/>
          <w:lang w:val="nl-NL"/>
        </w:rPr>
      </w:pPr>
      <w:r w:rsidRPr="00602A35">
        <w:rPr>
          <w:b/>
          <w:lang w:val="nl-NL"/>
        </w:rPr>
        <w:lastRenderedPageBreak/>
        <w:t xml:space="preserve">Richard Blakeley </w:t>
      </w:r>
      <w:r w:rsidR="00835001" w:rsidRPr="00602A35">
        <w:rPr>
          <w:b/>
          <w:lang w:val="nl-NL"/>
        </w:rPr>
        <w:tab/>
      </w:r>
      <w:r w:rsidR="00835001" w:rsidRPr="00602A35">
        <w:rPr>
          <w:b/>
          <w:lang w:val="nl-NL"/>
        </w:rPr>
        <w:tab/>
      </w:r>
      <w:r w:rsidR="00835001" w:rsidRPr="00602A35">
        <w:rPr>
          <w:b/>
          <w:lang w:val="nl-NL"/>
        </w:rPr>
        <w:tab/>
      </w:r>
      <w:r w:rsidR="00835001" w:rsidRPr="00602A35">
        <w:rPr>
          <w:b/>
          <w:lang w:val="nl-NL"/>
        </w:rPr>
        <w:tab/>
      </w:r>
      <w:hyperlink r:id="rId17" w:history="1">
        <w:r w:rsidR="006945C0" w:rsidRPr="00F72FB4">
          <w:rPr>
            <w:rStyle w:val="Hyperlink"/>
            <w:b/>
            <w:lang w:val="nl-NL"/>
          </w:rPr>
          <w:t>richard.blakeley@brickcourt.co.uk</w:t>
        </w:r>
      </w:hyperlink>
    </w:p>
    <w:p w14:paraId="4ECFCA8F" w14:textId="124FCF20" w:rsidR="006945C0" w:rsidRDefault="006945C0" w:rsidP="002D71B5">
      <w:pPr>
        <w:jc w:val="both"/>
        <w:rPr>
          <w:b/>
          <w:lang w:val="nl-NL"/>
        </w:rPr>
      </w:pPr>
    </w:p>
    <w:p w14:paraId="1AC9B39A" w14:textId="6A70AEE4" w:rsidR="006945C0" w:rsidRPr="00602A35" w:rsidRDefault="006945C0" w:rsidP="002D71B5">
      <w:pPr>
        <w:jc w:val="both"/>
        <w:rPr>
          <w:b/>
          <w:lang w:val="nl-NL"/>
        </w:rPr>
      </w:pPr>
      <w:r>
        <w:rPr>
          <w:b/>
          <w:noProof/>
          <w:lang w:eastAsia="en-GB"/>
        </w:rPr>
        <w:drawing>
          <wp:inline distT="0" distB="0" distL="0" distR="0" wp14:anchorId="7FF24527" wp14:editId="3DE215A9">
            <wp:extent cx="1962546" cy="1428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ichard-Blakeley.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91873" cy="1450100"/>
                    </a:xfrm>
                    <a:prstGeom prst="rect">
                      <a:avLst/>
                    </a:prstGeom>
                  </pic:spPr>
                </pic:pic>
              </a:graphicData>
            </a:graphic>
          </wp:inline>
        </w:drawing>
      </w:r>
    </w:p>
    <w:p w14:paraId="1D773BB3" w14:textId="77777777" w:rsidR="002D71B5" w:rsidRPr="00602A35" w:rsidRDefault="002D71B5" w:rsidP="002D71B5">
      <w:pPr>
        <w:jc w:val="both"/>
        <w:rPr>
          <w:b/>
          <w:lang w:val="nl-NL"/>
        </w:rPr>
      </w:pPr>
    </w:p>
    <w:p w14:paraId="572FA409" w14:textId="4192BAC8" w:rsidR="002D71B5" w:rsidRDefault="002D71B5" w:rsidP="002D71B5">
      <w:pPr>
        <w:jc w:val="both"/>
      </w:pPr>
      <w:r>
        <w:t xml:space="preserve">Richard has appeared in dozens of sanctions cases led and unled before the English and EU courts. These include cases concerning de-listing, licensing and the interpretation of sanctions clauses (including the </w:t>
      </w:r>
      <w:r w:rsidRPr="00546FE4">
        <w:rPr>
          <w:i/>
        </w:rPr>
        <w:t>Mamancochet</w:t>
      </w:r>
      <w:r>
        <w:t xml:space="preserve"> </w:t>
      </w:r>
      <w:r w:rsidRPr="00FD7459">
        <w:rPr>
          <w:i/>
        </w:rPr>
        <w:t>Mining</w:t>
      </w:r>
      <w:r>
        <w:t xml:space="preserve"> case referred to below).  In his younger days, Richard was named Global Young Practitioner of the Year by </w:t>
      </w:r>
      <w:r w:rsidRPr="00546FE4">
        <w:rPr>
          <w:i/>
        </w:rPr>
        <w:t>World Export Control Review</w:t>
      </w:r>
      <w:r>
        <w:t>.</w:t>
      </w:r>
    </w:p>
    <w:p w14:paraId="35146AF1" w14:textId="7C6A19F6" w:rsidR="00835001" w:rsidRDefault="00835001" w:rsidP="002D71B5">
      <w:pPr>
        <w:jc w:val="both"/>
      </w:pPr>
    </w:p>
    <w:p w14:paraId="015BED95" w14:textId="77777777" w:rsidR="00045109" w:rsidRDefault="00045109" w:rsidP="002D71B5">
      <w:pPr>
        <w:jc w:val="both"/>
      </w:pPr>
    </w:p>
    <w:p w14:paraId="59B4E2C1" w14:textId="79861CAD" w:rsidR="002D71B5" w:rsidRDefault="002D71B5" w:rsidP="002D71B5">
      <w:pPr>
        <w:jc w:val="both"/>
        <w:rPr>
          <w:b/>
          <w:lang w:val="it-IT"/>
        </w:rPr>
      </w:pPr>
      <w:r w:rsidRPr="00602A35">
        <w:rPr>
          <w:b/>
          <w:lang w:val="it-IT"/>
        </w:rPr>
        <w:t>Malcolm Birdling</w:t>
      </w:r>
      <w:r w:rsidR="00835001" w:rsidRPr="00602A35">
        <w:rPr>
          <w:b/>
          <w:lang w:val="it-IT"/>
        </w:rPr>
        <w:tab/>
      </w:r>
      <w:r w:rsidR="00835001" w:rsidRPr="00602A35">
        <w:rPr>
          <w:b/>
          <w:lang w:val="it-IT"/>
        </w:rPr>
        <w:tab/>
      </w:r>
      <w:r w:rsidR="00835001" w:rsidRPr="00602A35">
        <w:rPr>
          <w:b/>
          <w:lang w:val="it-IT"/>
        </w:rPr>
        <w:tab/>
      </w:r>
      <w:r w:rsidR="00835001" w:rsidRPr="00602A35">
        <w:rPr>
          <w:b/>
          <w:lang w:val="it-IT"/>
        </w:rPr>
        <w:tab/>
      </w:r>
      <w:hyperlink r:id="rId19" w:history="1">
        <w:r w:rsidR="006945C0" w:rsidRPr="00F72FB4">
          <w:rPr>
            <w:rStyle w:val="Hyperlink"/>
            <w:b/>
            <w:lang w:val="it-IT"/>
          </w:rPr>
          <w:t>malcolm.birdling@brickcourt.co.uk</w:t>
        </w:r>
      </w:hyperlink>
    </w:p>
    <w:p w14:paraId="1CD83AAE" w14:textId="2BAD30CB" w:rsidR="006945C0" w:rsidRDefault="006945C0" w:rsidP="002D71B5">
      <w:pPr>
        <w:jc w:val="both"/>
        <w:rPr>
          <w:b/>
          <w:lang w:val="it-IT"/>
        </w:rPr>
      </w:pPr>
    </w:p>
    <w:p w14:paraId="2E35A314" w14:textId="2283F253" w:rsidR="006945C0" w:rsidRPr="00602A35" w:rsidRDefault="006945C0" w:rsidP="002D71B5">
      <w:pPr>
        <w:jc w:val="both"/>
        <w:rPr>
          <w:b/>
          <w:lang w:val="it-IT"/>
        </w:rPr>
      </w:pPr>
      <w:r>
        <w:rPr>
          <w:b/>
          <w:noProof/>
          <w:lang w:eastAsia="en-GB"/>
        </w:rPr>
        <w:drawing>
          <wp:inline distT="0" distB="0" distL="0" distR="0" wp14:anchorId="3AF42B86" wp14:editId="612D67D1">
            <wp:extent cx="1884045" cy="137160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lcolm_Birdling_1_Cutout.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12508" cy="1392321"/>
                    </a:xfrm>
                    <a:prstGeom prst="rect">
                      <a:avLst/>
                    </a:prstGeom>
                  </pic:spPr>
                </pic:pic>
              </a:graphicData>
            </a:graphic>
          </wp:inline>
        </w:drawing>
      </w:r>
    </w:p>
    <w:p w14:paraId="41B7A24A" w14:textId="77777777" w:rsidR="002D71B5" w:rsidRPr="00602A35" w:rsidRDefault="002D71B5" w:rsidP="002D71B5">
      <w:pPr>
        <w:jc w:val="both"/>
        <w:rPr>
          <w:b/>
          <w:lang w:val="it-IT"/>
        </w:rPr>
      </w:pPr>
    </w:p>
    <w:p w14:paraId="0B6BFF20" w14:textId="0686660C" w:rsidR="002D71B5" w:rsidRDefault="002D71B5" w:rsidP="002D71B5">
      <w:pPr>
        <w:jc w:val="both"/>
      </w:pPr>
      <w:r>
        <w:t xml:space="preserve">Malcolm is an experienced public lawyer with a diverse practice acting for individuals, organisations and Government bodies. His recent experience includes advising as to the consequences of the new domestic sanctions regime, and acting as junior counsel for the successful appellants in only the second successful de-proscription appeal before the POAC. </w:t>
      </w:r>
    </w:p>
    <w:p w14:paraId="6D059D0B" w14:textId="77777777" w:rsidR="002D71B5" w:rsidRPr="00546FE4" w:rsidRDefault="002D71B5" w:rsidP="002D71B5">
      <w:pPr>
        <w:jc w:val="both"/>
      </w:pPr>
    </w:p>
    <w:p w14:paraId="411612EA" w14:textId="77777777" w:rsidR="006D4BE5" w:rsidRDefault="006D4BE5" w:rsidP="002D71B5">
      <w:pPr>
        <w:jc w:val="both"/>
        <w:rPr>
          <w:b/>
          <w:lang w:val="sv-SE"/>
        </w:rPr>
      </w:pPr>
    </w:p>
    <w:p w14:paraId="49272F83" w14:textId="3475295A" w:rsidR="002D71B5" w:rsidRDefault="002D71B5" w:rsidP="002D71B5">
      <w:pPr>
        <w:jc w:val="both"/>
        <w:rPr>
          <w:b/>
          <w:lang w:val="sv-SE"/>
        </w:rPr>
      </w:pPr>
      <w:r w:rsidRPr="00602A35">
        <w:rPr>
          <w:b/>
          <w:lang w:val="sv-SE"/>
        </w:rPr>
        <w:t>David Heaton</w:t>
      </w:r>
      <w:r w:rsidR="00835001" w:rsidRPr="00602A35">
        <w:rPr>
          <w:b/>
          <w:lang w:val="sv-SE"/>
        </w:rPr>
        <w:tab/>
      </w:r>
      <w:r w:rsidR="00835001" w:rsidRPr="00602A35">
        <w:rPr>
          <w:b/>
          <w:lang w:val="sv-SE"/>
        </w:rPr>
        <w:tab/>
      </w:r>
      <w:r w:rsidR="00835001" w:rsidRPr="00602A35">
        <w:rPr>
          <w:b/>
          <w:lang w:val="sv-SE"/>
        </w:rPr>
        <w:tab/>
      </w:r>
      <w:r w:rsidR="00835001" w:rsidRPr="00602A35">
        <w:rPr>
          <w:b/>
          <w:lang w:val="sv-SE"/>
        </w:rPr>
        <w:tab/>
      </w:r>
      <w:r w:rsidR="00835001" w:rsidRPr="00602A35">
        <w:rPr>
          <w:b/>
          <w:lang w:val="sv-SE"/>
        </w:rPr>
        <w:tab/>
      </w:r>
      <w:hyperlink r:id="rId21" w:history="1">
        <w:r w:rsidR="006945C0" w:rsidRPr="00F72FB4">
          <w:rPr>
            <w:rStyle w:val="Hyperlink"/>
            <w:b/>
            <w:lang w:val="sv-SE"/>
          </w:rPr>
          <w:t>david.heaton@brickcourt.co.uk</w:t>
        </w:r>
      </w:hyperlink>
    </w:p>
    <w:p w14:paraId="7161081C" w14:textId="5D3EE576" w:rsidR="006945C0" w:rsidRDefault="006945C0" w:rsidP="002D71B5">
      <w:pPr>
        <w:jc w:val="both"/>
        <w:rPr>
          <w:b/>
          <w:lang w:val="sv-SE"/>
        </w:rPr>
      </w:pPr>
    </w:p>
    <w:p w14:paraId="50F5CE29" w14:textId="37B77779" w:rsidR="006945C0" w:rsidRPr="00602A35" w:rsidRDefault="006945C0" w:rsidP="002D71B5">
      <w:pPr>
        <w:jc w:val="both"/>
        <w:rPr>
          <w:b/>
          <w:lang w:val="sv-SE"/>
        </w:rPr>
      </w:pPr>
      <w:r>
        <w:rPr>
          <w:b/>
          <w:noProof/>
          <w:lang w:eastAsia="en-GB"/>
        </w:rPr>
        <w:drawing>
          <wp:inline distT="0" distB="0" distL="0" distR="0" wp14:anchorId="146F31DB" wp14:editId="5F6CDFCD">
            <wp:extent cx="1988715" cy="1447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avid-Heaton.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12654" cy="1465228"/>
                    </a:xfrm>
                    <a:prstGeom prst="rect">
                      <a:avLst/>
                    </a:prstGeom>
                  </pic:spPr>
                </pic:pic>
              </a:graphicData>
            </a:graphic>
          </wp:inline>
        </w:drawing>
      </w:r>
    </w:p>
    <w:p w14:paraId="664FCFEF" w14:textId="77777777" w:rsidR="002D71B5" w:rsidRPr="00602A35" w:rsidRDefault="002D71B5" w:rsidP="002D71B5">
      <w:pPr>
        <w:jc w:val="both"/>
        <w:rPr>
          <w:b/>
          <w:lang w:val="sv-SE"/>
        </w:rPr>
      </w:pPr>
    </w:p>
    <w:p w14:paraId="7A852DDF" w14:textId="51C67498" w:rsidR="00052BDE" w:rsidRPr="00812244" w:rsidRDefault="002D71B5" w:rsidP="00812244">
      <w:pPr>
        <w:jc w:val="both"/>
      </w:pPr>
      <w:r>
        <w:t xml:space="preserve">David has appeared in several sanctions cases before the English, Cayman Islands and EU courts and arbitrators, including the </w:t>
      </w:r>
      <w:r w:rsidRPr="00546FE4">
        <w:rPr>
          <w:i/>
        </w:rPr>
        <w:t xml:space="preserve">Palladyne </w:t>
      </w:r>
      <w:r>
        <w:t xml:space="preserve">litigation in the Cayman Islands, the </w:t>
      </w:r>
      <w:r w:rsidRPr="00546FE4">
        <w:rPr>
          <w:i/>
        </w:rPr>
        <w:t>MODSAF</w:t>
      </w:r>
      <w:r>
        <w:t xml:space="preserve"> litigation in England and Wales and several ongoing arbitrations. He regularly advises on sanctions-related issues. His work has touched on the scope and interpretation of sanctions prohibitions, including the interaction of UN, EU and UK sanctions instruments, the effect of “no claims” clauses, licensing grounds and import/export prohibitions. He has been recognised for sanctions expertise by Chambers &amp; Partners.</w:t>
      </w:r>
      <w:bookmarkStart w:id="0" w:name="_GoBack"/>
      <w:bookmarkEnd w:id="0"/>
    </w:p>
    <w:p w14:paraId="5DF4F287" w14:textId="03449E9A" w:rsidR="00835001" w:rsidRPr="00835001" w:rsidRDefault="00835001" w:rsidP="00835001">
      <w:pPr>
        <w:spacing w:line="276" w:lineRule="auto"/>
        <w:jc w:val="center"/>
        <w:rPr>
          <w:rFonts w:cstheme="minorHAnsi"/>
          <w:b/>
          <w:bCs/>
          <w:color w:val="0070C0"/>
          <w:sz w:val="32"/>
          <w:szCs w:val="32"/>
        </w:rPr>
      </w:pPr>
      <w:r w:rsidRPr="00835001">
        <w:rPr>
          <w:rFonts w:cstheme="minorHAnsi"/>
          <w:b/>
          <w:bCs/>
          <w:color w:val="0070C0"/>
          <w:sz w:val="32"/>
          <w:szCs w:val="32"/>
        </w:rPr>
        <w:lastRenderedPageBreak/>
        <w:t xml:space="preserve">BRICK COURT CHAMBERS SANCTIONS </w:t>
      </w:r>
      <w:r>
        <w:rPr>
          <w:rFonts w:cstheme="minorHAnsi"/>
          <w:b/>
          <w:bCs/>
          <w:color w:val="0070C0"/>
          <w:sz w:val="32"/>
          <w:szCs w:val="32"/>
        </w:rPr>
        <w:t>PRACTICE</w:t>
      </w:r>
    </w:p>
    <w:p w14:paraId="5142CBFB" w14:textId="271CD7C6" w:rsidR="00245639" w:rsidRDefault="00245639" w:rsidP="00EE20AB">
      <w:pPr>
        <w:spacing w:after="160" w:line="259" w:lineRule="auto"/>
        <w:jc w:val="both"/>
        <w:rPr>
          <w:rFonts w:cstheme="minorHAnsi"/>
          <w:sz w:val="24"/>
          <w:szCs w:val="24"/>
        </w:rPr>
      </w:pPr>
    </w:p>
    <w:p w14:paraId="77025C0C" w14:textId="6CEE0E63" w:rsidR="00EE20AB" w:rsidRDefault="00EE20AB" w:rsidP="00602A35">
      <w:pPr>
        <w:spacing w:line="276" w:lineRule="auto"/>
        <w:jc w:val="both"/>
      </w:pPr>
      <w:r w:rsidRPr="00331BDA">
        <w:t xml:space="preserve">Brick Court Chambers </w:t>
      </w:r>
      <w:r w:rsidR="00602A35">
        <w:t>at</w:t>
      </w:r>
      <w:r w:rsidRPr="00331BDA">
        <w:t xml:space="preserve"> at the fore</w:t>
      </w:r>
      <w:r w:rsidR="004F7BC6">
        <w:t>front of sanctions litigation</w:t>
      </w:r>
      <w:r w:rsidR="00602A35">
        <w:t xml:space="preserve"> and advice</w:t>
      </w:r>
      <w:r w:rsidR="004F7BC6">
        <w:t xml:space="preserve">. </w:t>
      </w:r>
      <w:r w:rsidR="00A92C11">
        <w:t>Members of chambers</w:t>
      </w:r>
      <w:r w:rsidR="00A92C11" w:rsidRPr="00A92C11">
        <w:t xml:space="preserve"> </w:t>
      </w:r>
      <w:r w:rsidR="00A92C11">
        <w:t xml:space="preserve">have </w:t>
      </w:r>
      <w:r w:rsidR="00602A35">
        <w:t xml:space="preserve">wide </w:t>
      </w:r>
      <w:r w:rsidR="00A92C11">
        <w:t xml:space="preserve">expertise in </w:t>
      </w:r>
      <w:r w:rsidR="00602A35">
        <w:t xml:space="preserve">advisory and </w:t>
      </w:r>
      <w:r w:rsidR="00A92C11">
        <w:t>compliance work, investigations for breach of sanctions, challenges to</w:t>
      </w:r>
      <w:r w:rsidR="00602A35">
        <w:t xml:space="preserve"> sanctions</w:t>
      </w:r>
      <w:r w:rsidR="004F7BC6">
        <w:t xml:space="preserve"> </w:t>
      </w:r>
      <w:r w:rsidR="00A92C11">
        <w:t>listings</w:t>
      </w:r>
      <w:r w:rsidR="004F7BC6">
        <w:t xml:space="preserve">, and </w:t>
      </w:r>
      <w:r w:rsidR="00A92C11" w:rsidRPr="00A92C11">
        <w:t xml:space="preserve">have acted in more sanctions cases in the UK and EU courts than any other barristers’ chambers.  </w:t>
      </w:r>
      <w:r w:rsidR="00A92C11">
        <w:t>They advise</w:t>
      </w:r>
      <w:r w:rsidR="00A92C11" w:rsidRPr="00A92C11">
        <w:t xml:space="preserve"> </w:t>
      </w:r>
      <w:r w:rsidR="00602A35">
        <w:t xml:space="preserve">private and public bodies and individuals </w:t>
      </w:r>
      <w:r w:rsidR="00A92C11" w:rsidRPr="00A92C11">
        <w:t xml:space="preserve">on the whole range of sanctions regimes, including counter terrorism and nuclear proliferation sanctions, regime / country sanctions, </w:t>
      </w:r>
      <w:r w:rsidR="00602A35">
        <w:t>the Blocking Regulation, listings, sanctions clauses, licences and contractual issues</w:t>
      </w:r>
      <w:r w:rsidR="00A92C11" w:rsidRPr="00A92C11">
        <w:t>.</w:t>
      </w:r>
      <w:r w:rsidRPr="00331BDA">
        <w:t xml:space="preserve"> </w:t>
      </w:r>
    </w:p>
    <w:p w14:paraId="30921FC3" w14:textId="05D5F58A" w:rsidR="00EE20AB" w:rsidRDefault="00EE20AB" w:rsidP="00602A35">
      <w:pPr>
        <w:spacing w:line="276" w:lineRule="auto"/>
      </w:pPr>
    </w:p>
    <w:p w14:paraId="7C39726A" w14:textId="77777777" w:rsidR="006D4BE5" w:rsidRDefault="006D4BE5" w:rsidP="00602A35">
      <w:pPr>
        <w:spacing w:line="276" w:lineRule="auto"/>
      </w:pPr>
    </w:p>
    <w:p w14:paraId="70D948CA" w14:textId="750FE097" w:rsidR="00EE20AB" w:rsidRDefault="00EE20AB" w:rsidP="00602A35">
      <w:pPr>
        <w:spacing w:line="276" w:lineRule="auto"/>
      </w:pPr>
      <w:r>
        <w:t xml:space="preserve">Significant </w:t>
      </w:r>
      <w:r w:rsidR="00602A35">
        <w:t xml:space="preserve">sanctions </w:t>
      </w:r>
      <w:r>
        <w:t xml:space="preserve">cases </w:t>
      </w:r>
      <w:r w:rsidR="00602A35">
        <w:t xml:space="preserve">in which members of chambers have acted </w:t>
      </w:r>
      <w:r>
        <w:t>include:</w:t>
      </w:r>
    </w:p>
    <w:p w14:paraId="4547860D" w14:textId="42E5112E" w:rsidR="00245639" w:rsidRDefault="00245639" w:rsidP="00602A35">
      <w:pPr>
        <w:spacing w:after="160" w:line="276" w:lineRule="auto"/>
        <w:rPr>
          <w:rFonts w:cstheme="minorHAnsi"/>
        </w:rPr>
      </w:pPr>
    </w:p>
    <w:tbl>
      <w:tblPr>
        <w:tblStyle w:val="TableGrid"/>
        <w:tblW w:w="9395" w:type="dxa"/>
        <w:tblInd w:w="-5" w:type="dxa"/>
        <w:tblLook w:val="04A0" w:firstRow="1" w:lastRow="0" w:firstColumn="1" w:lastColumn="0" w:noHBand="0" w:noVBand="1"/>
      </w:tblPr>
      <w:tblGrid>
        <w:gridCol w:w="5060"/>
        <w:gridCol w:w="4335"/>
      </w:tblGrid>
      <w:tr w:rsidR="00D96DB9" w14:paraId="39B81FC4" w14:textId="77777777" w:rsidTr="00052BDE">
        <w:trPr>
          <w:trHeight w:val="502"/>
        </w:trPr>
        <w:tc>
          <w:tcPr>
            <w:tcW w:w="5060" w:type="dxa"/>
          </w:tcPr>
          <w:p w14:paraId="3AF81E70" w14:textId="54301E67" w:rsidR="00D96DB9" w:rsidRPr="003A1C8B" w:rsidRDefault="00D96DB9" w:rsidP="00D96DB9">
            <w:pPr>
              <w:pStyle w:val="ListParagraph"/>
              <w:numPr>
                <w:ilvl w:val="0"/>
                <w:numId w:val="23"/>
              </w:numPr>
              <w:spacing w:after="0" w:line="276" w:lineRule="auto"/>
              <w:rPr>
                <w:rFonts w:cstheme="minorHAnsi"/>
                <w:i/>
                <w:lang w:val="sv-SE"/>
              </w:rPr>
            </w:pPr>
            <w:r w:rsidRPr="003A1C8B">
              <w:rPr>
                <w:rFonts w:cstheme="minorHAnsi"/>
                <w:i/>
                <w:lang w:val="sv-SE"/>
              </w:rPr>
              <w:t>Palladyne International Asset Management BV v Upper Brook</w:t>
            </w:r>
            <w:r w:rsidR="00052BDE">
              <w:rPr>
                <w:rFonts w:cstheme="minorHAnsi"/>
                <w:i/>
                <w:lang w:val="sv-SE"/>
              </w:rPr>
              <w:t xml:space="preserve"> A Ltd</w:t>
            </w:r>
            <w:r w:rsidRPr="003A1C8B">
              <w:rPr>
                <w:rFonts w:cstheme="minorHAnsi"/>
                <w:i/>
                <w:lang w:val="sv-SE"/>
              </w:rPr>
              <w:t xml:space="preserve"> &amp; Ors</w:t>
            </w:r>
          </w:p>
        </w:tc>
        <w:tc>
          <w:tcPr>
            <w:tcW w:w="4335" w:type="dxa"/>
          </w:tcPr>
          <w:p w14:paraId="5BB494AA" w14:textId="77777777" w:rsidR="00D96DB9" w:rsidRPr="006E3CB4" w:rsidRDefault="00D96DB9" w:rsidP="00D96DB9">
            <w:pPr>
              <w:pStyle w:val="ListParagraph"/>
              <w:numPr>
                <w:ilvl w:val="0"/>
                <w:numId w:val="23"/>
              </w:numPr>
              <w:spacing w:after="0" w:line="276" w:lineRule="auto"/>
              <w:rPr>
                <w:i/>
              </w:rPr>
            </w:pPr>
            <w:r w:rsidRPr="006E3CB4">
              <w:rPr>
                <w:i/>
              </w:rPr>
              <w:t>Zubedi v Council</w:t>
            </w:r>
          </w:p>
        </w:tc>
      </w:tr>
      <w:tr w:rsidR="00D96DB9" w14:paraId="4FCE5FB0" w14:textId="77777777" w:rsidTr="00CA7623">
        <w:trPr>
          <w:trHeight w:val="589"/>
        </w:trPr>
        <w:tc>
          <w:tcPr>
            <w:tcW w:w="5060" w:type="dxa"/>
          </w:tcPr>
          <w:p w14:paraId="67A76C28" w14:textId="77777777" w:rsidR="00D96DB9" w:rsidRPr="003A1C8B" w:rsidRDefault="00D96DB9" w:rsidP="00D96DB9">
            <w:pPr>
              <w:pStyle w:val="ListParagraph"/>
              <w:numPr>
                <w:ilvl w:val="0"/>
                <w:numId w:val="23"/>
              </w:numPr>
              <w:spacing w:after="0" w:line="276" w:lineRule="auto"/>
              <w:rPr>
                <w:rFonts w:cstheme="minorHAnsi"/>
                <w:i/>
              </w:rPr>
            </w:pPr>
            <w:r w:rsidRPr="003A1C8B">
              <w:rPr>
                <w:rFonts w:cstheme="minorHAnsi"/>
                <w:i/>
              </w:rPr>
              <w:t>Lamesa Investments Ltd v Cynergy Bank Ltd</w:t>
            </w:r>
          </w:p>
        </w:tc>
        <w:tc>
          <w:tcPr>
            <w:tcW w:w="4335" w:type="dxa"/>
          </w:tcPr>
          <w:p w14:paraId="1CED1F16" w14:textId="77777777" w:rsidR="00D96DB9" w:rsidRPr="006E3CB4" w:rsidRDefault="00D96DB9" w:rsidP="00D96DB9">
            <w:pPr>
              <w:pStyle w:val="ListParagraph"/>
              <w:numPr>
                <w:ilvl w:val="0"/>
                <w:numId w:val="23"/>
              </w:numPr>
              <w:spacing w:after="0" w:line="276" w:lineRule="auto"/>
              <w:rPr>
                <w:i/>
              </w:rPr>
            </w:pPr>
            <w:r w:rsidRPr="006E3CB4">
              <w:rPr>
                <w:i/>
              </w:rPr>
              <w:t>Chyzch v Council</w:t>
            </w:r>
          </w:p>
        </w:tc>
      </w:tr>
      <w:tr w:rsidR="00D96DB9" w14:paraId="784C7705" w14:textId="77777777" w:rsidTr="00D96DB9">
        <w:trPr>
          <w:trHeight w:val="584"/>
        </w:trPr>
        <w:tc>
          <w:tcPr>
            <w:tcW w:w="5060" w:type="dxa"/>
          </w:tcPr>
          <w:p w14:paraId="3B39D4D4" w14:textId="77777777" w:rsidR="00D96DB9" w:rsidRPr="003A1C8B" w:rsidRDefault="00D96DB9" w:rsidP="00D96DB9">
            <w:pPr>
              <w:pStyle w:val="ListParagraph"/>
              <w:numPr>
                <w:ilvl w:val="0"/>
                <w:numId w:val="23"/>
              </w:numPr>
              <w:spacing w:after="0" w:line="276" w:lineRule="auto"/>
              <w:rPr>
                <w:rFonts w:cstheme="minorHAnsi"/>
                <w:i/>
              </w:rPr>
            </w:pPr>
            <w:r w:rsidRPr="003A1C8B">
              <w:rPr>
                <w:rFonts w:cstheme="minorHAnsi"/>
                <w:i/>
              </w:rPr>
              <w:t>Crescent Petroleum Company International Ltd v National Iranian Oil Company</w:t>
            </w:r>
          </w:p>
        </w:tc>
        <w:tc>
          <w:tcPr>
            <w:tcW w:w="4335" w:type="dxa"/>
          </w:tcPr>
          <w:p w14:paraId="34A6A674" w14:textId="77777777" w:rsidR="00D96DB9" w:rsidRPr="006E3CB4" w:rsidRDefault="00D96DB9" w:rsidP="00D96DB9">
            <w:pPr>
              <w:pStyle w:val="ListParagraph"/>
              <w:numPr>
                <w:ilvl w:val="0"/>
                <w:numId w:val="23"/>
              </w:numPr>
              <w:spacing w:after="0" w:line="276" w:lineRule="auto"/>
              <w:rPr>
                <w:i/>
              </w:rPr>
            </w:pPr>
            <w:r w:rsidRPr="006E3CB4">
              <w:rPr>
                <w:i/>
              </w:rPr>
              <w:t>Dinamo Minsk v Council</w:t>
            </w:r>
          </w:p>
        </w:tc>
      </w:tr>
      <w:tr w:rsidR="00D96DB9" w14:paraId="36F0A213" w14:textId="77777777" w:rsidTr="00CA7623">
        <w:trPr>
          <w:trHeight w:val="589"/>
        </w:trPr>
        <w:tc>
          <w:tcPr>
            <w:tcW w:w="5060" w:type="dxa"/>
          </w:tcPr>
          <w:p w14:paraId="287EF494" w14:textId="77777777" w:rsidR="00D96DB9" w:rsidRPr="003A1C8B" w:rsidRDefault="00D96DB9" w:rsidP="00D96DB9">
            <w:pPr>
              <w:pStyle w:val="ListParagraph"/>
              <w:numPr>
                <w:ilvl w:val="0"/>
                <w:numId w:val="23"/>
              </w:numPr>
              <w:spacing w:after="0" w:line="276" w:lineRule="auto"/>
              <w:rPr>
                <w:rFonts w:cstheme="minorHAnsi"/>
                <w:i/>
              </w:rPr>
            </w:pPr>
            <w:r w:rsidRPr="003A1C8B">
              <w:rPr>
                <w:rFonts w:cstheme="minorHAnsi"/>
                <w:i/>
              </w:rPr>
              <w:t>Mamancochet Mining Limited v Aegis and 29 Ors</w:t>
            </w:r>
          </w:p>
        </w:tc>
        <w:tc>
          <w:tcPr>
            <w:tcW w:w="4335" w:type="dxa"/>
          </w:tcPr>
          <w:p w14:paraId="29798BB0" w14:textId="77777777" w:rsidR="00D96DB9" w:rsidRPr="006E3CB4" w:rsidRDefault="00D96DB9" w:rsidP="00D96DB9">
            <w:pPr>
              <w:pStyle w:val="ListParagraph"/>
              <w:numPr>
                <w:ilvl w:val="0"/>
                <w:numId w:val="23"/>
              </w:numPr>
              <w:spacing w:after="0" w:line="276" w:lineRule="auto"/>
              <w:rPr>
                <w:i/>
              </w:rPr>
            </w:pPr>
            <w:r w:rsidRPr="006E3CB4">
              <w:rPr>
                <w:i/>
              </w:rPr>
              <w:t>Tay Za v Council</w:t>
            </w:r>
          </w:p>
        </w:tc>
      </w:tr>
      <w:tr w:rsidR="00D96DB9" w14:paraId="31EE620D" w14:textId="77777777" w:rsidTr="00CA7623">
        <w:trPr>
          <w:trHeight w:val="294"/>
        </w:trPr>
        <w:tc>
          <w:tcPr>
            <w:tcW w:w="5060" w:type="dxa"/>
          </w:tcPr>
          <w:p w14:paraId="48868326" w14:textId="77777777" w:rsidR="00D96DB9" w:rsidRPr="003A1C8B" w:rsidRDefault="00D96DB9" w:rsidP="00D96DB9">
            <w:pPr>
              <w:pStyle w:val="ListParagraph"/>
              <w:numPr>
                <w:ilvl w:val="0"/>
                <w:numId w:val="23"/>
              </w:numPr>
              <w:spacing w:after="0" w:line="276" w:lineRule="auto"/>
              <w:rPr>
                <w:rFonts w:cstheme="minorHAnsi"/>
                <w:i/>
              </w:rPr>
            </w:pPr>
            <w:r w:rsidRPr="003A1C8B">
              <w:rPr>
                <w:rFonts w:cstheme="minorHAnsi"/>
                <w:i/>
              </w:rPr>
              <w:t>Jahanshahi &amp; Ors v Metrobank Plc</w:t>
            </w:r>
          </w:p>
        </w:tc>
        <w:tc>
          <w:tcPr>
            <w:tcW w:w="4335" w:type="dxa"/>
          </w:tcPr>
          <w:p w14:paraId="6B62373F" w14:textId="77777777" w:rsidR="00D96DB9" w:rsidRPr="006E3CB4" w:rsidRDefault="00D96DB9" w:rsidP="00D96DB9">
            <w:pPr>
              <w:pStyle w:val="ListParagraph"/>
              <w:numPr>
                <w:ilvl w:val="0"/>
                <w:numId w:val="23"/>
              </w:numPr>
              <w:spacing w:after="0" w:line="276" w:lineRule="auto"/>
              <w:rPr>
                <w:i/>
              </w:rPr>
            </w:pPr>
            <w:r w:rsidRPr="006E3CB4">
              <w:rPr>
                <w:i/>
              </w:rPr>
              <w:t>Ocean Administration v Council</w:t>
            </w:r>
          </w:p>
        </w:tc>
      </w:tr>
      <w:tr w:rsidR="00D96DB9" w14:paraId="7390BEC4" w14:textId="77777777" w:rsidTr="00CA7623">
        <w:trPr>
          <w:trHeight w:val="574"/>
        </w:trPr>
        <w:tc>
          <w:tcPr>
            <w:tcW w:w="5060" w:type="dxa"/>
          </w:tcPr>
          <w:p w14:paraId="2134516F" w14:textId="77777777" w:rsidR="00D96DB9" w:rsidRPr="003A1C8B" w:rsidRDefault="00D96DB9" w:rsidP="00D96DB9">
            <w:pPr>
              <w:pStyle w:val="ListParagraph"/>
              <w:numPr>
                <w:ilvl w:val="0"/>
                <w:numId w:val="23"/>
              </w:numPr>
              <w:spacing w:after="0" w:line="276" w:lineRule="auto"/>
              <w:rPr>
                <w:rFonts w:cstheme="minorHAnsi"/>
                <w:i/>
              </w:rPr>
            </w:pPr>
            <w:r w:rsidRPr="003A1C8B">
              <w:rPr>
                <w:rFonts w:cstheme="minorHAnsi"/>
                <w:i/>
              </w:rPr>
              <w:t>Kanthappu Arumugam &amp; Ors v SoS for Home Department</w:t>
            </w:r>
          </w:p>
        </w:tc>
        <w:tc>
          <w:tcPr>
            <w:tcW w:w="4335" w:type="dxa"/>
          </w:tcPr>
          <w:p w14:paraId="6F24D874" w14:textId="77777777" w:rsidR="00D96DB9" w:rsidRPr="006E3CB4" w:rsidRDefault="00D96DB9" w:rsidP="00D96DB9">
            <w:pPr>
              <w:pStyle w:val="ListParagraph"/>
              <w:numPr>
                <w:ilvl w:val="0"/>
                <w:numId w:val="23"/>
              </w:numPr>
              <w:spacing w:after="0" w:line="276" w:lineRule="auto"/>
              <w:rPr>
                <w:i/>
              </w:rPr>
            </w:pPr>
            <w:r w:rsidRPr="006E3CB4">
              <w:rPr>
                <w:i/>
              </w:rPr>
              <w:t>Elegant Target v Council</w:t>
            </w:r>
          </w:p>
        </w:tc>
      </w:tr>
      <w:tr w:rsidR="00D96DB9" w14:paraId="09B43E77" w14:textId="77777777" w:rsidTr="00CA7623">
        <w:trPr>
          <w:trHeight w:val="952"/>
        </w:trPr>
        <w:tc>
          <w:tcPr>
            <w:tcW w:w="5060" w:type="dxa"/>
          </w:tcPr>
          <w:p w14:paraId="12F3634F" w14:textId="77777777" w:rsidR="00D96DB9" w:rsidRPr="003A1C8B" w:rsidRDefault="00D96DB9" w:rsidP="00D96DB9">
            <w:pPr>
              <w:pStyle w:val="ListParagraph"/>
              <w:numPr>
                <w:ilvl w:val="0"/>
                <w:numId w:val="23"/>
              </w:numPr>
              <w:spacing w:after="0" w:line="276" w:lineRule="auto"/>
              <w:rPr>
                <w:rFonts w:cstheme="minorHAnsi"/>
                <w:i/>
              </w:rPr>
            </w:pPr>
            <w:r w:rsidRPr="003A1C8B">
              <w:rPr>
                <w:rFonts w:cstheme="minorHAnsi"/>
                <w:i/>
              </w:rPr>
              <w:t>Ministry of Defence and Support for Armed Forces of Islamic Republic of Iran v International Military Services Ltd</w:t>
            </w:r>
          </w:p>
        </w:tc>
        <w:tc>
          <w:tcPr>
            <w:tcW w:w="4335" w:type="dxa"/>
          </w:tcPr>
          <w:p w14:paraId="1E359C27" w14:textId="77777777" w:rsidR="00D96DB9" w:rsidRPr="006E3CB4" w:rsidRDefault="00D96DB9" w:rsidP="00D96DB9">
            <w:pPr>
              <w:pStyle w:val="ListParagraph"/>
              <w:numPr>
                <w:ilvl w:val="0"/>
                <w:numId w:val="23"/>
              </w:numPr>
              <w:spacing w:after="0" w:line="276" w:lineRule="auto"/>
              <w:rPr>
                <w:i/>
              </w:rPr>
            </w:pPr>
            <w:r w:rsidRPr="006E3CB4">
              <w:rPr>
                <w:i/>
              </w:rPr>
              <w:t>Good Luck Shipping v Council</w:t>
            </w:r>
          </w:p>
        </w:tc>
      </w:tr>
      <w:tr w:rsidR="00D96DB9" w14:paraId="174ABC47" w14:textId="77777777" w:rsidTr="00CA7623">
        <w:trPr>
          <w:trHeight w:val="294"/>
        </w:trPr>
        <w:tc>
          <w:tcPr>
            <w:tcW w:w="5060" w:type="dxa"/>
          </w:tcPr>
          <w:p w14:paraId="62CD1AD8" w14:textId="3F55EDF8" w:rsidR="00D96DB9" w:rsidRPr="003A1C8B" w:rsidRDefault="00052BDE" w:rsidP="00D96DB9">
            <w:pPr>
              <w:pStyle w:val="ListParagraph"/>
              <w:numPr>
                <w:ilvl w:val="0"/>
                <w:numId w:val="23"/>
              </w:numPr>
              <w:spacing w:after="0" w:line="276" w:lineRule="auto"/>
              <w:rPr>
                <w:rFonts w:cstheme="minorHAnsi"/>
                <w:i/>
              </w:rPr>
            </w:pPr>
            <w:r>
              <w:rPr>
                <w:rFonts w:cstheme="minorHAnsi"/>
                <w:i/>
              </w:rPr>
              <w:t>Bre</w:t>
            </w:r>
            <w:r w:rsidR="00D96DB9" w:rsidRPr="003A1C8B">
              <w:rPr>
                <w:rFonts w:cstheme="minorHAnsi"/>
                <w:i/>
              </w:rPr>
              <w:t>ish v Mahmoud and Ors</w:t>
            </w:r>
          </w:p>
        </w:tc>
        <w:tc>
          <w:tcPr>
            <w:tcW w:w="4335" w:type="dxa"/>
          </w:tcPr>
          <w:p w14:paraId="718BB279" w14:textId="77777777" w:rsidR="00D96DB9" w:rsidRPr="006E3CB4" w:rsidRDefault="00D96DB9" w:rsidP="00D96DB9">
            <w:pPr>
              <w:pStyle w:val="ListParagraph"/>
              <w:numPr>
                <w:ilvl w:val="0"/>
                <w:numId w:val="23"/>
              </w:numPr>
              <w:spacing w:after="0" w:line="276" w:lineRule="auto"/>
              <w:rPr>
                <w:i/>
              </w:rPr>
            </w:pPr>
            <w:r w:rsidRPr="006E3CB4">
              <w:rPr>
                <w:i/>
              </w:rPr>
              <w:t>Nabipour v Council</w:t>
            </w:r>
          </w:p>
        </w:tc>
      </w:tr>
      <w:tr w:rsidR="00D96DB9" w14:paraId="1F023F4F" w14:textId="77777777" w:rsidTr="00CA7623">
        <w:trPr>
          <w:trHeight w:val="294"/>
        </w:trPr>
        <w:tc>
          <w:tcPr>
            <w:tcW w:w="5060" w:type="dxa"/>
          </w:tcPr>
          <w:p w14:paraId="2925AE0F" w14:textId="77777777" w:rsidR="00D96DB9" w:rsidRPr="003A1C8B" w:rsidRDefault="00D96DB9" w:rsidP="00D96DB9">
            <w:pPr>
              <w:pStyle w:val="ListParagraph"/>
              <w:numPr>
                <w:ilvl w:val="0"/>
                <w:numId w:val="23"/>
              </w:numPr>
              <w:spacing w:after="0" w:line="276" w:lineRule="auto"/>
              <w:rPr>
                <w:i/>
              </w:rPr>
            </w:pPr>
            <w:r w:rsidRPr="003A1C8B">
              <w:rPr>
                <w:i/>
              </w:rPr>
              <w:t xml:space="preserve">Arash v Groupama </w:t>
            </w:r>
          </w:p>
        </w:tc>
        <w:tc>
          <w:tcPr>
            <w:tcW w:w="4335" w:type="dxa"/>
          </w:tcPr>
          <w:p w14:paraId="25934D1E" w14:textId="77777777" w:rsidR="00D96DB9" w:rsidRPr="006E3CB4" w:rsidRDefault="00D96DB9" w:rsidP="00D96DB9">
            <w:pPr>
              <w:pStyle w:val="ListParagraph"/>
              <w:numPr>
                <w:ilvl w:val="0"/>
                <w:numId w:val="23"/>
              </w:numPr>
              <w:spacing w:after="0" w:line="276" w:lineRule="auto"/>
              <w:rPr>
                <w:i/>
              </w:rPr>
            </w:pPr>
            <w:r w:rsidRPr="006E3CB4">
              <w:rPr>
                <w:i/>
              </w:rPr>
              <w:t>Azizi &amp; Sedghi v Council</w:t>
            </w:r>
          </w:p>
        </w:tc>
      </w:tr>
      <w:tr w:rsidR="00D96DB9" w14:paraId="50866A69" w14:textId="77777777" w:rsidTr="00CA7623">
        <w:trPr>
          <w:trHeight w:val="383"/>
        </w:trPr>
        <w:tc>
          <w:tcPr>
            <w:tcW w:w="5060" w:type="dxa"/>
          </w:tcPr>
          <w:p w14:paraId="34437126" w14:textId="60BE4176" w:rsidR="00D96DB9" w:rsidRPr="003A1C8B" w:rsidRDefault="00D96DB9" w:rsidP="00052BDE">
            <w:pPr>
              <w:pStyle w:val="ListParagraph"/>
              <w:numPr>
                <w:ilvl w:val="0"/>
                <w:numId w:val="23"/>
              </w:numPr>
              <w:spacing w:after="0" w:line="276" w:lineRule="auto"/>
              <w:rPr>
                <w:i/>
                <w:lang w:val="pt-BR"/>
              </w:rPr>
            </w:pPr>
            <w:r w:rsidRPr="003A1C8B">
              <w:rPr>
                <w:i/>
                <w:lang w:val="pt-BR"/>
              </w:rPr>
              <w:t>Kadi v Council &amp; Commission</w:t>
            </w:r>
            <w:r w:rsidR="00052BDE">
              <w:rPr>
                <w:i/>
                <w:lang w:val="pt-BR"/>
              </w:rPr>
              <w:t xml:space="preserve"> (Nos</w:t>
            </w:r>
            <w:r w:rsidR="00052BDE" w:rsidRPr="003A1C8B">
              <w:rPr>
                <w:i/>
                <w:lang w:val="pt-BR"/>
              </w:rPr>
              <w:t xml:space="preserve"> 1 &amp; 2)</w:t>
            </w:r>
          </w:p>
        </w:tc>
        <w:tc>
          <w:tcPr>
            <w:tcW w:w="4335" w:type="dxa"/>
          </w:tcPr>
          <w:p w14:paraId="1A58822B" w14:textId="77777777" w:rsidR="00D96DB9" w:rsidRPr="006E3CB4" w:rsidRDefault="00D96DB9" w:rsidP="00D96DB9">
            <w:pPr>
              <w:pStyle w:val="ListParagraph"/>
              <w:numPr>
                <w:ilvl w:val="0"/>
                <w:numId w:val="23"/>
              </w:numPr>
              <w:spacing w:after="0" w:line="276" w:lineRule="auto"/>
              <w:rPr>
                <w:i/>
              </w:rPr>
            </w:pPr>
            <w:r w:rsidRPr="006E3CB4">
              <w:rPr>
                <w:i/>
              </w:rPr>
              <w:t>Ministry of Energy of Iran v Council</w:t>
            </w:r>
          </w:p>
        </w:tc>
      </w:tr>
      <w:tr w:rsidR="00D96DB9" w14:paraId="62B6EDB4" w14:textId="77777777" w:rsidTr="00CA7623">
        <w:trPr>
          <w:trHeight w:val="294"/>
        </w:trPr>
        <w:tc>
          <w:tcPr>
            <w:tcW w:w="5060" w:type="dxa"/>
          </w:tcPr>
          <w:p w14:paraId="4FAD203A" w14:textId="77777777" w:rsidR="00D96DB9" w:rsidRPr="003A1C8B" w:rsidRDefault="00D96DB9" w:rsidP="00D96DB9">
            <w:pPr>
              <w:pStyle w:val="ListParagraph"/>
              <w:numPr>
                <w:ilvl w:val="0"/>
                <w:numId w:val="23"/>
              </w:numPr>
              <w:spacing w:after="0" w:line="276" w:lineRule="auto"/>
              <w:rPr>
                <w:rFonts w:cstheme="minorHAnsi"/>
                <w:i/>
              </w:rPr>
            </w:pPr>
            <w:r w:rsidRPr="003A1C8B">
              <w:rPr>
                <w:rFonts w:cstheme="minorHAnsi"/>
                <w:i/>
              </w:rPr>
              <w:t>VTB Bank v Council</w:t>
            </w:r>
          </w:p>
        </w:tc>
        <w:tc>
          <w:tcPr>
            <w:tcW w:w="4335" w:type="dxa"/>
          </w:tcPr>
          <w:p w14:paraId="3FBA21FE" w14:textId="77777777" w:rsidR="00D96DB9" w:rsidRPr="006E3CB4" w:rsidRDefault="00D96DB9" w:rsidP="00D96DB9">
            <w:pPr>
              <w:pStyle w:val="ListParagraph"/>
              <w:numPr>
                <w:ilvl w:val="0"/>
                <w:numId w:val="23"/>
              </w:numPr>
              <w:spacing w:after="0" w:line="276" w:lineRule="auto"/>
              <w:rPr>
                <w:i/>
              </w:rPr>
            </w:pPr>
            <w:r w:rsidRPr="006E3CB4">
              <w:rPr>
                <w:i/>
              </w:rPr>
              <w:t>Central Bank of Iran v Council</w:t>
            </w:r>
          </w:p>
        </w:tc>
      </w:tr>
      <w:tr w:rsidR="00D96DB9" w14:paraId="2370F903" w14:textId="77777777" w:rsidTr="00CA7623">
        <w:trPr>
          <w:trHeight w:val="294"/>
        </w:trPr>
        <w:tc>
          <w:tcPr>
            <w:tcW w:w="5060" w:type="dxa"/>
          </w:tcPr>
          <w:p w14:paraId="1ECA09D4" w14:textId="77777777" w:rsidR="00D96DB9" w:rsidRPr="003A1C8B" w:rsidRDefault="00D96DB9" w:rsidP="00D96DB9">
            <w:pPr>
              <w:pStyle w:val="ListParagraph"/>
              <w:numPr>
                <w:ilvl w:val="0"/>
                <w:numId w:val="23"/>
              </w:numPr>
              <w:spacing w:after="0" w:line="276" w:lineRule="auto"/>
              <w:rPr>
                <w:rFonts w:cstheme="minorHAnsi"/>
                <w:i/>
              </w:rPr>
            </w:pPr>
            <w:r w:rsidRPr="003A1C8B">
              <w:rPr>
                <w:rFonts w:cstheme="minorHAnsi"/>
                <w:i/>
              </w:rPr>
              <w:t>Mubarak v Council</w:t>
            </w:r>
          </w:p>
        </w:tc>
        <w:tc>
          <w:tcPr>
            <w:tcW w:w="4335" w:type="dxa"/>
          </w:tcPr>
          <w:p w14:paraId="47E7D206" w14:textId="77777777" w:rsidR="00D96DB9" w:rsidRPr="006E3CB4" w:rsidRDefault="00D96DB9" w:rsidP="00D96DB9">
            <w:pPr>
              <w:pStyle w:val="ListParagraph"/>
              <w:numPr>
                <w:ilvl w:val="0"/>
                <w:numId w:val="23"/>
              </w:numPr>
              <w:spacing w:after="0" w:line="276" w:lineRule="auto"/>
              <w:rPr>
                <w:i/>
                <w:lang w:val="it-IT"/>
              </w:rPr>
            </w:pPr>
            <w:r w:rsidRPr="006E3CB4">
              <w:rPr>
                <w:i/>
                <w:lang w:val="it-IT"/>
              </w:rPr>
              <w:t xml:space="preserve">R (Azizi v Sedghi) v FCO </w:t>
            </w:r>
          </w:p>
        </w:tc>
      </w:tr>
      <w:tr w:rsidR="00D96DB9" w14:paraId="68AA37AB" w14:textId="77777777" w:rsidTr="00CA7623">
        <w:trPr>
          <w:trHeight w:val="294"/>
        </w:trPr>
        <w:tc>
          <w:tcPr>
            <w:tcW w:w="5060" w:type="dxa"/>
          </w:tcPr>
          <w:p w14:paraId="400DB0D8" w14:textId="77777777" w:rsidR="00D96DB9" w:rsidRPr="003A1C8B" w:rsidRDefault="00D96DB9" w:rsidP="00D96DB9">
            <w:pPr>
              <w:pStyle w:val="ListParagraph"/>
              <w:numPr>
                <w:ilvl w:val="0"/>
                <w:numId w:val="23"/>
              </w:numPr>
              <w:spacing w:after="0" w:line="276" w:lineRule="auto"/>
              <w:rPr>
                <w:rFonts w:cstheme="minorHAnsi"/>
                <w:i/>
              </w:rPr>
            </w:pPr>
            <w:r w:rsidRPr="003A1C8B">
              <w:rPr>
                <w:rFonts w:cstheme="minorHAnsi"/>
                <w:i/>
              </w:rPr>
              <w:t>Bank Saderat Plc v Council</w:t>
            </w:r>
          </w:p>
        </w:tc>
        <w:tc>
          <w:tcPr>
            <w:tcW w:w="4335" w:type="dxa"/>
          </w:tcPr>
          <w:p w14:paraId="6846369E" w14:textId="77777777" w:rsidR="00D96DB9" w:rsidRPr="006E3CB4" w:rsidRDefault="00D96DB9" w:rsidP="00D96DB9">
            <w:pPr>
              <w:pStyle w:val="ListParagraph"/>
              <w:numPr>
                <w:ilvl w:val="0"/>
                <w:numId w:val="23"/>
              </w:numPr>
              <w:spacing w:after="0" w:line="276" w:lineRule="auto"/>
              <w:rPr>
                <w:i/>
              </w:rPr>
            </w:pPr>
            <w:r w:rsidRPr="006E3CB4">
              <w:rPr>
                <w:i/>
              </w:rPr>
              <w:t>R (Sarkandi) v FCO</w:t>
            </w:r>
          </w:p>
        </w:tc>
      </w:tr>
      <w:tr w:rsidR="00D96DB9" w14:paraId="0733AFAD" w14:textId="77777777" w:rsidTr="00CA7623">
        <w:trPr>
          <w:trHeight w:val="349"/>
        </w:trPr>
        <w:tc>
          <w:tcPr>
            <w:tcW w:w="5060" w:type="dxa"/>
          </w:tcPr>
          <w:p w14:paraId="65268704" w14:textId="77777777" w:rsidR="00D96DB9" w:rsidRPr="003A1C8B" w:rsidRDefault="00D96DB9" w:rsidP="00D96DB9">
            <w:pPr>
              <w:pStyle w:val="ListParagraph"/>
              <w:numPr>
                <w:ilvl w:val="0"/>
                <w:numId w:val="23"/>
              </w:numPr>
              <w:spacing w:after="0" w:line="276" w:lineRule="auto"/>
              <w:rPr>
                <w:rFonts w:cstheme="minorHAnsi"/>
                <w:i/>
              </w:rPr>
            </w:pPr>
            <w:r w:rsidRPr="003A1C8B">
              <w:rPr>
                <w:rFonts w:cstheme="minorHAnsi"/>
                <w:i/>
              </w:rPr>
              <w:t>Bank Tejarat v Council / Bank Mellat v Council</w:t>
            </w:r>
          </w:p>
        </w:tc>
        <w:tc>
          <w:tcPr>
            <w:tcW w:w="4335" w:type="dxa"/>
          </w:tcPr>
          <w:p w14:paraId="121693E0" w14:textId="77777777" w:rsidR="00D96DB9" w:rsidRPr="002C409C" w:rsidRDefault="00D96DB9" w:rsidP="00D96DB9">
            <w:pPr>
              <w:pStyle w:val="ListParagraph"/>
              <w:numPr>
                <w:ilvl w:val="0"/>
                <w:numId w:val="23"/>
              </w:numPr>
              <w:spacing w:after="0" w:line="276" w:lineRule="auto"/>
              <w:rPr>
                <w:i/>
              </w:rPr>
            </w:pPr>
            <w:r w:rsidRPr="006E3CB4">
              <w:rPr>
                <w:i/>
              </w:rPr>
              <w:t>Iran Aluminium Company v Council</w:t>
            </w:r>
          </w:p>
        </w:tc>
      </w:tr>
      <w:tr w:rsidR="00D96DB9" w14:paraId="5D53E133" w14:textId="77777777" w:rsidTr="00CA7623">
        <w:trPr>
          <w:trHeight w:val="294"/>
        </w:trPr>
        <w:tc>
          <w:tcPr>
            <w:tcW w:w="5060" w:type="dxa"/>
          </w:tcPr>
          <w:p w14:paraId="64E73545" w14:textId="77777777" w:rsidR="00D96DB9" w:rsidRPr="003A1C8B" w:rsidRDefault="00D96DB9" w:rsidP="00D96DB9">
            <w:pPr>
              <w:pStyle w:val="ListParagraph"/>
              <w:numPr>
                <w:ilvl w:val="0"/>
                <w:numId w:val="23"/>
              </w:numPr>
              <w:spacing w:after="0" w:line="276" w:lineRule="auto"/>
              <w:rPr>
                <w:rFonts w:cstheme="minorHAnsi"/>
                <w:i/>
              </w:rPr>
            </w:pPr>
            <w:r w:rsidRPr="003A1C8B">
              <w:rPr>
                <w:rFonts w:cstheme="minorHAnsi"/>
                <w:i/>
              </w:rPr>
              <w:t xml:space="preserve">Yanukovych v Council </w:t>
            </w:r>
          </w:p>
        </w:tc>
        <w:tc>
          <w:tcPr>
            <w:tcW w:w="4335" w:type="dxa"/>
          </w:tcPr>
          <w:p w14:paraId="14F38577" w14:textId="77777777" w:rsidR="00D96DB9" w:rsidRPr="006E3CB4" w:rsidRDefault="00D96DB9" w:rsidP="00D96DB9">
            <w:pPr>
              <w:pStyle w:val="ListParagraph"/>
              <w:numPr>
                <w:ilvl w:val="0"/>
                <w:numId w:val="23"/>
              </w:numPr>
              <w:spacing w:after="0" w:line="276" w:lineRule="auto"/>
              <w:rPr>
                <w:i/>
              </w:rPr>
            </w:pPr>
            <w:r w:rsidRPr="006E3CB4">
              <w:rPr>
                <w:i/>
              </w:rPr>
              <w:t>El Materi v Council</w:t>
            </w:r>
          </w:p>
        </w:tc>
      </w:tr>
      <w:tr w:rsidR="00D96DB9" w14:paraId="60E4387C" w14:textId="77777777" w:rsidTr="00CA7623">
        <w:trPr>
          <w:trHeight w:val="294"/>
        </w:trPr>
        <w:tc>
          <w:tcPr>
            <w:tcW w:w="5060" w:type="dxa"/>
          </w:tcPr>
          <w:p w14:paraId="75F3397D" w14:textId="77777777" w:rsidR="00D96DB9" w:rsidRPr="003A1C8B" w:rsidRDefault="00D96DB9" w:rsidP="00D96DB9">
            <w:pPr>
              <w:pStyle w:val="ListParagraph"/>
              <w:numPr>
                <w:ilvl w:val="0"/>
                <w:numId w:val="23"/>
              </w:numPr>
              <w:spacing w:after="0" w:line="276" w:lineRule="auto"/>
              <w:rPr>
                <w:i/>
              </w:rPr>
            </w:pPr>
            <w:r w:rsidRPr="003A1C8B">
              <w:rPr>
                <w:i/>
              </w:rPr>
              <w:t>IRISL v Council</w:t>
            </w:r>
          </w:p>
        </w:tc>
        <w:tc>
          <w:tcPr>
            <w:tcW w:w="4335" w:type="dxa"/>
          </w:tcPr>
          <w:p w14:paraId="0EF17A0F" w14:textId="77777777" w:rsidR="00D96DB9" w:rsidRPr="006E3CB4" w:rsidRDefault="00D96DB9" w:rsidP="00D96DB9">
            <w:pPr>
              <w:pStyle w:val="ListParagraph"/>
              <w:numPr>
                <w:ilvl w:val="0"/>
                <w:numId w:val="23"/>
              </w:numPr>
              <w:spacing w:after="0" w:line="276" w:lineRule="auto"/>
              <w:rPr>
                <w:i/>
              </w:rPr>
            </w:pPr>
            <w:r w:rsidRPr="006E3CB4">
              <w:rPr>
                <w:i/>
              </w:rPr>
              <w:t>Kaddour v Council</w:t>
            </w:r>
          </w:p>
        </w:tc>
      </w:tr>
      <w:tr w:rsidR="00D96DB9" w14:paraId="5856BA92" w14:textId="77777777" w:rsidTr="00CA7623">
        <w:trPr>
          <w:trHeight w:val="294"/>
        </w:trPr>
        <w:tc>
          <w:tcPr>
            <w:tcW w:w="5060" w:type="dxa"/>
          </w:tcPr>
          <w:p w14:paraId="2E57DF3D" w14:textId="77777777" w:rsidR="00D96DB9" w:rsidRPr="003A1C8B" w:rsidRDefault="00D96DB9" w:rsidP="00D96DB9">
            <w:pPr>
              <w:pStyle w:val="ListParagraph"/>
              <w:numPr>
                <w:ilvl w:val="0"/>
                <w:numId w:val="23"/>
              </w:numPr>
              <w:spacing w:after="0" w:line="276" w:lineRule="auto"/>
              <w:rPr>
                <w:i/>
              </w:rPr>
            </w:pPr>
            <w:r w:rsidRPr="003A1C8B">
              <w:rPr>
                <w:i/>
              </w:rPr>
              <w:t>Kim &amp; Ors v Council</w:t>
            </w:r>
          </w:p>
        </w:tc>
        <w:tc>
          <w:tcPr>
            <w:tcW w:w="4335" w:type="dxa"/>
          </w:tcPr>
          <w:p w14:paraId="7C1BFA1A" w14:textId="77777777" w:rsidR="00D96DB9" w:rsidRPr="006E3CB4" w:rsidRDefault="00D96DB9" w:rsidP="00D96DB9">
            <w:pPr>
              <w:pStyle w:val="ListParagraph"/>
              <w:numPr>
                <w:ilvl w:val="0"/>
                <w:numId w:val="23"/>
              </w:numPr>
              <w:spacing w:after="0" w:line="276" w:lineRule="auto"/>
              <w:rPr>
                <w:i/>
              </w:rPr>
            </w:pPr>
            <w:r w:rsidRPr="006E3CB4">
              <w:rPr>
                <w:i/>
              </w:rPr>
              <w:t>Zubedi v Council</w:t>
            </w:r>
          </w:p>
        </w:tc>
      </w:tr>
      <w:tr w:rsidR="00D96DB9" w14:paraId="52578D88" w14:textId="77777777" w:rsidTr="00CA7623">
        <w:trPr>
          <w:trHeight w:val="294"/>
        </w:trPr>
        <w:tc>
          <w:tcPr>
            <w:tcW w:w="5060" w:type="dxa"/>
          </w:tcPr>
          <w:p w14:paraId="12404816" w14:textId="77777777" w:rsidR="00D96DB9" w:rsidRPr="003A1C8B" w:rsidRDefault="00D96DB9" w:rsidP="00D96DB9">
            <w:pPr>
              <w:pStyle w:val="ListParagraph"/>
              <w:numPr>
                <w:ilvl w:val="0"/>
                <w:numId w:val="23"/>
              </w:numPr>
              <w:spacing w:after="0" w:line="276" w:lineRule="auto"/>
              <w:rPr>
                <w:i/>
              </w:rPr>
            </w:pPr>
            <w:r w:rsidRPr="003A1C8B">
              <w:rPr>
                <w:i/>
              </w:rPr>
              <w:t>DenizBank v Council</w:t>
            </w:r>
          </w:p>
        </w:tc>
        <w:tc>
          <w:tcPr>
            <w:tcW w:w="4335" w:type="dxa"/>
          </w:tcPr>
          <w:p w14:paraId="471A2DB0" w14:textId="77777777" w:rsidR="00D96DB9" w:rsidRPr="006E3CB4" w:rsidRDefault="00D96DB9" w:rsidP="00D96DB9">
            <w:pPr>
              <w:pStyle w:val="ListParagraph"/>
              <w:numPr>
                <w:ilvl w:val="0"/>
                <w:numId w:val="23"/>
              </w:numPr>
              <w:spacing w:after="0" w:line="276" w:lineRule="auto"/>
              <w:rPr>
                <w:i/>
              </w:rPr>
            </w:pPr>
            <w:r w:rsidRPr="006E3CB4">
              <w:rPr>
                <w:i/>
              </w:rPr>
              <w:t>Al Tabbaa v Council</w:t>
            </w:r>
          </w:p>
        </w:tc>
      </w:tr>
      <w:tr w:rsidR="00D96DB9" w14:paraId="43B5A34B" w14:textId="77777777" w:rsidTr="00CA7623">
        <w:trPr>
          <w:trHeight w:val="280"/>
        </w:trPr>
        <w:tc>
          <w:tcPr>
            <w:tcW w:w="5060" w:type="dxa"/>
          </w:tcPr>
          <w:p w14:paraId="03DD7706" w14:textId="77777777" w:rsidR="00D96DB9" w:rsidRPr="003A1C8B" w:rsidRDefault="00D96DB9" w:rsidP="00D96DB9">
            <w:pPr>
              <w:pStyle w:val="ListParagraph"/>
              <w:numPr>
                <w:ilvl w:val="0"/>
                <w:numId w:val="23"/>
              </w:numPr>
              <w:spacing w:after="0" w:line="276" w:lineRule="auto"/>
              <w:rPr>
                <w:i/>
              </w:rPr>
            </w:pPr>
            <w:r w:rsidRPr="003A1C8B">
              <w:rPr>
                <w:i/>
              </w:rPr>
              <w:t>Sabra v Council</w:t>
            </w:r>
          </w:p>
        </w:tc>
        <w:tc>
          <w:tcPr>
            <w:tcW w:w="4335" w:type="dxa"/>
          </w:tcPr>
          <w:p w14:paraId="622BC1C6" w14:textId="77777777" w:rsidR="00D96DB9" w:rsidRPr="006E3CB4" w:rsidRDefault="00D96DB9" w:rsidP="00D96DB9">
            <w:pPr>
              <w:pStyle w:val="ListParagraph"/>
              <w:numPr>
                <w:ilvl w:val="0"/>
                <w:numId w:val="23"/>
              </w:numPr>
              <w:spacing w:after="0" w:line="276" w:lineRule="auto"/>
              <w:rPr>
                <w:i/>
              </w:rPr>
            </w:pPr>
            <w:r w:rsidRPr="006E3CB4">
              <w:rPr>
                <w:i/>
              </w:rPr>
              <w:t>El Maghraby &amp; Gazaerly v Council</w:t>
            </w:r>
          </w:p>
        </w:tc>
      </w:tr>
      <w:tr w:rsidR="00D96DB9" w14:paraId="0B5882DF" w14:textId="77777777" w:rsidTr="00CA7623">
        <w:trPr>
          <w:trHeight w:val="294"/>
        </w:trPr>
        <w:tc>
          <w:tcPr>
            <w:tcW w:w="5060" w:type="dxa"/>
          </w:tcPr>
          <w:p w14:paraId="2A465056" w14:textId="77777777" w:rsidR="00D96DB9" w:rsidRPr="003A1C8B" w:rsidRDefault="00D96DB9" w:rsidP="00D96DB9">
            <w:pPr>
              <w:pStyle w:val="ListParagraph"/>
              <w:numPr>
                <w:ilvl w:val="0"/>
                <w:numId w:val="23"/>
              </w:numPr>
              <w:spacing w:after="0" w:line="276" w:lineRule="auto"/>
              <w:rPr>
                <w:i/>
              </w:rPr>
            </w:pPr>
            <w:r w:rsidRPr="003A1C8B">
              <w:rPr>
                <w:i/>
              </w:rPr>
              <w:t>Sberbank v Council</w:t>
            </w:r>
          </w:p>
        </w:tc>
        <w:tc>
          <w:tcPr>
            <w:tcW w:w="4335" w:type="dxa"/>
          </w:tcPr>
          <w:p w14:paraId="6684AFC8" w14:textId="77777777" w:rsidR="00D96DB9" w:rsidRPr="006E3CB4" w:rsidRDefault="00D96DB9" w:rsidP="00D96DB9">
            <w:pPr>
              <w:pStyle w:val="ListParagraph"/>
              <w:numPr>
                <w:ilvl w:val="0"/>
                <w:numId w:val="23"/>
              </w:numPr>
              <w:spacing w:after="0" w:line="276" w:lineRule="auto"/>
              <w:rPr>
                <w:i/>
              </w:rPr>
            </w:pPr>
            <w:r w:rsidRPr="006E3CB4">
              <w:rPr>
                <w:i/>
              </w:rPr>
              <w:t>Rautenbach v Council</w:t>
            </w:r>
          </w:p>
        </w:tc>
      </w:tr>
      <w:tr w:rsidR="00D96DB9" w14:paraId="46BA3E91" w14:textId="77777777" w:rsidTr="00CA7623">
        <w:trPr>
          <w:trHeight w:val="294"/>
        </w:trPr>
        <w:tc>
          <w:tcPr>
            <w:tcW w:w="5060" w:type="dxa"/>
          </w:tcPr>
          <w:p w14:paraId="5DA1581D" w14:textId="77777777" w:rsidR="00D96DB9" w:rsidRPr="003A1C8B" w:rsidRDefault="00D96DB9" w:rsidP="00D96DB9">
            <w:pPr>
              <w:pStyle w:val="ListParagraph"/>
              <w:numPr>
                <w:ilvl w:val="0"/>
                <w:numId w:val="23"/>
              </w:numPr>
              <w:spacing w:after="0" w:line="276" w:lineRule="auto"/>
              <w:rPr>
                <w:i/>
              </w:rPr>
            </w:pPr>
            <w:r w:rsidRPr="003A1C8B">
              <w:rPr>
                <w:i/>
              </w:rPr>
              <w:t>Rotenberg v Council</w:t>
            </w:r>
          </w:p>
        </w:tc>
        <w:tc>
          <w:tcPr>
            <w:tcW w:w="4335" w:type="dxa"/>
          </w:tcPr>
          <w:p w14:paraId="11BE25BB" w14:textId="77777777" w:rsidR="00D96DB9" w:rsidRPr="006E3CB4" w:rsidRDefault="00D96DB9" w:rsidP="00D96DB9">
            <w:pPr>
              <w:pStyle w:val="ListParagraph"/>
              <w:numPr>
                <w:ilvl w:val="0"/>
                <w:numId w:val="23"/>
              </w:numPr>
              <w:spacing w:after="0" w:line="276" w:lineRule="auto"/>
              <w:rPr>
                <w:i/>
              </w:rPr>
            </w:pPr>
            <w:r w:rsidRPr="006E3CB4">
              <w:rPr>
                <w:i/>
              </w:rPr>
              <w:t>Tomana v Council</w:t>
            </w:r>
          </w:p>
        </w:tc>
      </w:tr>
    </w:tbl>
    <w:p w14:paraId="15E65B5A" w14:textId="18CE3780" w:rsidR="004F7BC6" w:rsidRDefault="004F7BC6" w:rsidP="00245639">
      <w:pPr>
        <w:spacing w:line="276" w:lineRule="auto"/>
        <w:jc w:val="both"/>
        <w:rPr>
          <w:rFonts w:cstheme="minorHAnsi"/>
        </w:rPr>
      </w:pPr>
    </w:p>
    <w:p w14:paraId="6A09069F" w14:textId="77777777" w:rsidR="004F7BC6" w:rsidRPr="00245639" w:rsidRDefault="004F7BC6" w:rsidP="00245639">
      <w:pPr>
        <w:spacing w:line="276" w:lineRule="auto"/>
        <w:jc w:val="both"/>
        <w:rPr>
          <w:rFonts w:cstheme="minorHAnsi"/>
          <w:sz w:val="24"/>
          <w:szCs w:val="24"/>
        </w:rPr>
      </w:pPr>
    </w:p>
    <w:p w14:paraId="34B10873" w14:textId="72D4A296" w:rsidR="00B725B1" w:rsidRPr="00D35AB9" w:rsidRDefault="00B725B1" w:rsidP="00B725B1">
      <w:pPr>
        <w:pStyle w:val="ListParagraph"/>
        <w:spacing w:line="276" w:lineRule="auto"/>
        <w:jc w:val="center"/>
        <w:rPr>
          <w:rFonts w:cstheme="minorHAnsi"/>
          <w:b/>
          <w:bCs/>
          <w:color w:val="0070C0"/>
          <w:sz w:val="32"/>
          <w:szCs w:val="32"/>
        </w:rPr>
      </w:pPr>
      <w:r w:rsidRPr="00D35AB9">
        <w:rPr>
          <w:rFonts w:cstheme="minorHAnsi"/>
          <w:b/>
          <w:bCs/>
          <w:color w:val="0070C0"/>
          <w:sz w:val="32"/>
          <w:szCs w:val="32"/>
        </w:rPr>
        <w:lastRenderedPageBreak/>
        <w:t>KEY</w:t>
      </w:r>
      <w:r w:rsidR="00245639" w:rsidRPr="00D35AB9">
        <w:rPr>
          <w:rFonts w:cstheme="minorHAnsi"/>
          <w:b/>
          <w:bCs/>
          <w:color w:val="0070C0"/>
          <w:sz w:val="32"/>
          <w:szCs w:val="32"/>
        </w:rPr>
        <w:t xml:space="preserve"> SANCTIONS</w:t>
      </w:r>
      <w:r w:rsidRPr="00D35AB9">
        <w:rPr>
          <w:rFonts w:cstheme="minorHAnsi"/>
          <w:b/>
          <w:bCs/>
          <w:color w:val="0070C0"/>
          <w:sz w:val="32"/>
          <w:szCs w:val="32"/>
        </w:rPr>
        <w:t xml:space="preserve"> DOCUMENTS</w:t>
      </w:r>
      <w:r w:rsidR="002A3FEB" w:rsidRPr="00D35AB9">
        <w:rPr>
          <w:rFonts w:cstheme="minorHAnsi"/>
          <w:b/>
          <w:bCs/>
          <w:color w:val="0070C0"/>
          <w:sz w:val="32"/>
          <w:szCs w:val="32"/>
        </w:rPr>
        <w:t xml:space="preserve"> &amp;</w:t>
      </w:r>
      <w:r w:rsidRPr="00D35AB9">
        <w:rPr>
          <w:rFonts w:cstheme="minorHAnsi"/>
          <w:b/>
          <w:bCs/>
          <w:color w:val="0070C0"/>
          <w:sz w:val="32"/>
          <w:szCs w:val="32"/>
        </w:rPr>
        <w:t xml:space="preserve"> RESOURCES</w:t>
      </w:r>
    </w:p>
    <w:p w14:paraId="7592FB7A" w14:textId="1E6C5E26" w:rsidR="00B725B1" w:rsidRPr="009D1D5E" w:rsidRDefault="00B725B1" w:rsidP="00245639">
      <w:pPr>
        <w:spacing w:line="276" w:lineRule="auto"/>
        <w:rPr>
          <w:rFonts w:cstheme="minorHAnsi"/>
          <w:b/>
          <w:bCs/>
        </w:rPr>
      </w:pPr>
    </w:p>
    <w:p w14:paraId="0AE9C8FD" w14:textId="1A547C62" w:rsidR="00245639" w:rsidRPr="009D1D5E" w:rsidRDefault="00812244" w:rsidP="00245639">
      <w:pPr>
        <w:spacing w:line="276" w:lineRule="auto"/>
        <w:jc w:val="both"/>
        <w:rPr>
          <w:rFonts w:cstheme="minorHAnsi"/>
        </w:rPr>
      </w:pPr>
      <w:hyperlink r:id="rId23" w:history="1">
        <w:r w:rsidR="00245639" w:rsidRPr="009D1D5E">
          <w:rPr>
            <w:rStyle w:val="Hyperlink"/>
            <w:rFonts w:cstheme="minorHAnsi"/>
          </w:rPr>
          <w:t>www.europeansanctions.com</w:t>
        </w:r>
      </w:hyperlink>
      <w:r w:rsidR="00245639" w:rsidRPr="009D1D5E">
        <w:rPr>
          <w:rFonts w:cstheme="minorHAnsi"/>
        </w:rPr>
        <w:t xml:space="preserve"> has in its </w:t>
      </w:r>
      <w:r w:rsidR="00245639" w:rsidRPr="009D1D5E">
        <w:rPr>
          <w:rFonts w:cstheme="minorHAnsi"/>
          <w:b/>
          <w:bCs/>
        </w:rPr>
        <w:t xml:space="preserve">UK SECTION </w:t>
      </w:r>
      <w:r w:rsidR="00245639" w:rsidRPr="009D1D5E">
        <w:rPr>
          <w:rFonts w:cstheme="minorHAnsi"/>
        </w:rPr>
        <w:t xml:space="preserve">all UK sanctions legal documents, guidance, judgments, and new stories (updated several times a day). </w:t>
      </w:r>
    </w:p>
    <w:p w14:paraId="608189F7" w14:textId="77777777" w:rsidR="00245639" w:rsidRPr="009D1D5E" w:rsidRDefault="00245639" w:rsidP="00245639">
      <w:pPr>
        <w:spacing w:line="276" w:lineRule="auto"/>
        <w:jc w:val="both"/>
        <w:rPr>
          <w:rFonts w:cstheme="minorHAnsi"/>
          <w:b/>
          <w:bCs/>
        </w:rPr>
      </w:pPr>
    </w:p>
    <w:p w14:paraId="3E649ACA" w14:textId="77777777" w:rsidR="00245639" w:rsidRPr="009D1D5E" w:rsidRDefault="00245639" w:rsidP="00245639">
      <w:pPr>
        <w:spacing w:line="276" w:lineRule="auto"/>
        <w:rPr>
          <w:rFonts w:cstheme="minorHAnsi"/>
          <w:b/>
          <w:bCs/>
        </w:rPr>
      </w:pPr>
    </w:p>
    <w:p w14:paraId="0F5CD353" w14:textId="36346E07" w:rsidR="00B725B1" w:rsidRPr="009D1D5E" w:rsidRDefault="00245639" w:rsidP="00245639">
      <w:pPr>
        <w:spacing w:line="276" w:lineRule="auto"/>
        <w:jc w:val="both"/>
        <w:rPr>
          <w:rFonts w:cstheme="minorHAnsi"/>
          <w:b/>
          <w:bCs/>
        </w:rPr>
      </w:pPr>
      <w:r w:rsidRPr="009D1D5E">
        <w:rPr>
          <w:rFonts w:cstheme="minorHAnsi"/>
          <w:b/>
          <w:bCs/>
        </w:rPr>
        <w:t>UK STATUTORY FRAMEWORK</w:t>
      </w:r>
    </w:p>
    <w:p w14:paraId="2B1BE922" w14:textId="77777777" w:rsidR="00245639" w:rsidRPr="009D1D5E" w:rsidRDefault="00245639" w:rsidP="00245639">
      <w:pPr>
        <w:spacing w:line="276" w:lineRule="auto"/>
        <w:jc w:val="both"/>
        <w:rPr>
          <w:rFonts w:cstheme="minorHAnsi"/>
        </w:rPr>
      </w:pPr>
    </w:p>
    <w:p w14:paraId="28F0A832" w14:textId="4E119F7C" w:rsidR="00E61BA7" w:rsidRPr="009D1D5E" w:rsidRDefault="00812244" w:rsidP="008F1865">
      <w:pPr>
        <w:spacing w:line="276" w:lineRule="auto"/>
        <w:jc w:val="both"/>
        <w:rPr>
          <w:rFonts w:cstheme="minorHAnsi"/>
        </w:rPr>
      </w:pPr>
      <w:hyperlink r:id="rId24" w:history="1">
        <w:r w:rsidR="00EE2DE3" w:rsidRPr="009D1D5E">
          <w:rPr>
            <w:rStyle w:val="Hyperlink"/>
            <w:rFonts w:asciiTheme="minorHAnsi" w:hAnsiTheme="minorHAnsi" w:cstheme="minorHAnsi"/>
          </w:rPr>
          <w:t>Sanctions and Anti-Money Laundering Act 2018</w:t>
        </w:r>
      </w:hyperlink>
      <w:r w:rsidR="009619A8" w:rsidRPr="009D1D5E">
        <w:rPr>
          <w:rFonts w:cstheme="minorHAnsi"/>
        </w:rPr>
        <w:t xml:space="preserve"> </w:t>
      </w:r>
      <w:r w:rsidR="00245639" w:rsidRPr="009D1D5E">
        <w:rPr>
          <w:rFonts w:cstheme="minorHAnsi"/>
        </w:rPr>
        <w:t xml:space="preserve"> and </w:t>
      </w:r>
      <w:hyperlink r:id="rId25" w:history="1">
        <w:r w:rsidR="00220420" w:rsidRPr="009D1D5E">
          <w:rPr>
            <w:rStyle w:val="Hyperlink"/>
            <w:rFonts w:asciiTheme="minorHAnsi" w:hAnsiTheme="minorHAnsi" w:cstheme="minorHAnsi"/>
          </w:rPr>
          <w:t>Explanatory Notes</w:t>
        </w:r>
      </w:hyperlink>
    </w:p>
    <w:p w14:paraId="4C586B15" w14:textId="77777777" w:rsidR="008F1865" w:rsidRPr="009D1D5E" w:rsidRDefault="008F1865" w:rsidP="008F1865">
      <w:pPr>
        <w:spacing w:line="276" w:lineRule="auto"/>
        <w:jc w:val="both"/>
        <w:rPr>
          <w:rFonts w:cstheme="minorHAnsi"/>
        </w:rPr>
      </w:pPr>
    </w:p>
    <w:p w14:paraId="1CBC97B9" w14:textId="15203077" w:rsidR="009619A8" w:rsidRPr="009D1D5E" w:rsidRDefault="00812244" w:rsidP="008F1865">
      <w:pPr>
        <w:spacing w:line="276" w:lineRule="auto"/>
        <w:jc w:val="both"/>
        <w:rPr>
          <w:rFonts w:cstheme="minorHAnsi"/>
        </w:rPr>
      </w:pPr>
      <w:hyperlink r:id="rId26" w:history="1">
        <w:r w:rsidR="00EE2DE3" w:rsidRPr="009D1D5E">
          <w:rPr>
            <w:rStyle w:val="Hyperlink"/>
            <w:rFonts w:asciiTheme="minorHAnsi" w:hAnsiTheme="minorHAnsi" w:cstheme="minorHAnsi"/>
          </w:rPr>
          <w:t>Sanctions Review Procedure (EU Exit) Regulations 2018</w:t>
        </w:r>
      </w:hyperlink>
    </w:p>
    <w:p w14:paraId="0A155373" w14:textId="66F119AB" w:rsidR="00E2592F" w:rsidRPr="009D1D5E" w:rsidRDefault="00E2592F" w:rsidP="00E2592F">
      <w:pPr>
        <w:spacing w:line="276" w:lineRule="auto"/>
        <w:jc w:val="both"/>
        <w:rPr>
          <w:rFonts w:asciiTheme="minorHAnsi" w:hAnsiTheme="minorHAnsi" w:cstheme="minorHAnsi"/>
        </w:rPr>
      </w:pPr>
    </w:p>
    <w:p w14:paraId="5054A762" w14:textId="77777777" w:rsidR="00245639" w:rsidRPr="009D1D5E" w:rsidRDefault="00245639" w:rsidP="00E2592F">
      <w:pPr>
        <w:spacing w:line="276" w:lineRule="auto"/>
        <w:jc w:val="both"/>
        <w:rPr>
          <w:rFonts w:asciiTheme="minorHAnsi" w:hAnsiTheme="minorHAnsi" w:cstheme="minorHAnsi"/>
          <w:b/>
          <w:bCs/>
        </w:rPr>
      </w:pPr>
    </w:p>
    <w:p w14:paraId="4A72AD88" w14:textId="58EDEDB7" w:rsidR="00245639" w:rsidRPr="009D1D5E" w:rsidRDefault="00245639" w:rsidP="00E2592F">
      <w:pPr>
        <w:spacing w:line="276" w:lineRule="auto"/>
        <w:jc w:val="both"/>
        <w:rPr>
          <w:rFonts w:asciiTheme="minorHAnsi" w:hAnsiTheme="minorHAnsi" w:cstheme="minorHAnsi"/>
          <w:b/>
          <w:bCs/>
        </w:rPr>
      </w:pPr>
      <w:r w:rsidRPr="009D1D5E">
        <w:rPr>
          <w:rFonts w:asciiTheme="minorHAnsi" w:hAnsiTheme="minorHAnsi" w:cstheme="minorHAnsi"/>
          <w:b/>
          <w:bCs/>
        </w:rPr>
        <w:t xml:space="preserve">REGULATIONS AND GUIDANCE </w:t>
      </w:r>
    </w:p>
    <w:p w14:paraId="3AC569A9" w14:textId="77777777" w:rsidR="00245639" w:rsidRPr="009D1D5E" w:rsidRDefault="00245639" w:rsidP="00E2592F">
      <w:pPr>
        <w:spacing w:line="276" w:lineRule="auto"/>
        <w:jc w:val="both"/>
        <w:rPr>
          <w:rFonts w:asciiTheme="minorHAnsi" w:hAnsiTheme="minorHAnsi" w:cstheme="minorHAnsi"/>
          <w:b/>
          <w:bCs/>
        </w:rPr>
      </w:pPr>
    </w:p>
    <w:p w14:paraId="4A578EBF" w14:textId="1D8FAD81" w:rsidR="00245639" w:rsidRPr="009D1D5E" w:rsidRDefault="00812244" w:rsidP="00245639">
      <w:pPr>
        <w:spacing w:line="276" w:lineRule="auto"/>
        <w:jc w:val="both"/>
        <w:rPr>
          <w:rFonts w:cstheme="minorHAnsi"/>
        </w:rPr>
      </w:pPr>
      <w:hyperlink r:id="rId27" w:history="1">
        <w:r w:rsidR="00245639" w:rsidRPr="009D1D5E">
          <w:rPr>
            <w:rStyle w:val="Hyperlink"/>
            <w:rFonts w:asciiTheme="minorHAnsi" w:hAnsiTheme="minorHAnsi" w:cstheme="minorHAnsi"/>
          </w:rPr>
          <w:t>UK Financial Sanctions</w:t>
        </w:r>
      </w:hyperlink>
      <w:r w:rsidR="00935FFE">
        <w:rPr>
          <w:rStyle w:val="Hyperlink"/>
          <w:rFonts w:asciiTheme="minorHAnsi" w:hAnsiTheme="minorHAnsi" w:cstheme="minorHAnsi"/>
        </w:rPr>
        <w:t xml:space="preserve"> Guidance</w:t>
      </w:r>
    </w:p>
    <w:p w14:paraId="64DC0B60" w14:textId="68AD4C32" w:rsidR="00245639" w:rsidRPr="009D1D5E" w:rsidRDefault="00245639" w:rsidP="00E2592F">
      <w:pPr>
        <w:spacing w:line="276" w:lineRule="auto"/>
        <w:jc w:val="both"/>
        <w:rPr>
          <w:rFonts w:asciiTheme="minorHAnsi" w:hAnsiTheme="minorHAnsi" w:cstheme="minorHAnsi"/>
          <w:b/>
          <w:bCs/>
        </w:rPr>
      </w:pPr>
    </w:p>
    <w:p w14:paraId="52C829D3" w14:textId="77777777" w:rsidR="00245639" w:rsidRPr="009D1D5E" w:rsidRDefault="00812244" w:rsidP="00245639">
      <w:pPr>
        <w:spacing w:line="276" w:lineRule="auto"/>
        <w:jc w:val="both"/>
        <w:rPr>
          <w:rFonts w:cstheme="minorHAnsi"/>
        </w:rPr>
      </w:pPr>
      <w:hyperlink r:id="rId28" w:history="1">
        <w:r w:rsidR="00245639" w:rsidRPr="009D1D5E">
          <w:rPr>
            <w:rStyle w:val="Hyperlink"/>
            <w:rFonts w:asciiTheme="minorHAnsi" w:hAnsiTheme="minorHAnsi" w:cstheme="minorHAnsi"/>
          </w:rPr>
          <w:t>Guidance on UK sanctions framework after 31 December 2020</w:t>
        </w:r>
      </w:hyperlink>
    </w:p>
    <w:p w14:paraId="710159A5" w14:textId="77777777" w:rsidR="00245639" w:rsidRPr="009D1D5E" w:rsidRDefault="00245639" w:rsidP="00245639">
      <w:pPr>
        <w:spacing w:line="276" w:lineRule="auto"/>
        <w:jc w:val="both"/>
      </w:pPr>
    </w:p>
    <w:p w14:paraId="5BD8F717" w14:textId="77777777" w:rsidR="00245639" w:rsidRPr="009D1D5E" w:rsidRDefault="00812244" w:rsidP="00245639">
      <w:pPr>
        <w:spacing w:line="276" w:lineRule="auto"/>
        <w:jc w:val="both"/>
        <w:rPr>
          <w:rStyle w:val="Hyperlink"/>
          <w:rFonts w:asciiTheme="minorHAnsi" w:hAnsiTheme="minorHAnsi" w:cstheme="minorHAnsi"/>
        </w:rPr>
      </w:pPr>
      <w:hyperlink r:id="rId29" w:history="1">
        <w:r w:rsidR="00245639" w:rsidRPr="009D1D5E">
          <w:rPr>
            <w:rStyle w:val="Hyperlink"/>
            <w:rFonts w:asciiTheme="minorHAnsi" w:hAnsiTheme="minorHAnsi" w:cstheme="minorHAnsi"/>
          </w:rPr>
          <w:t>Regulations and guidance for each UK regime</w:t>
        </w:r>
      </w:hyperlink>
    </w:p>
    <w:p w14:paraId="15152D6A" w14:textId="77777777" w:rsidR="00245639" w:rsidRPr="009D1D5E" w:rsidRDefault="00245639" w:rsidP="00E2592F">
      <w:pPr>
        <w:spacing w:line="276" w:lineRule="auto"/>
        <w:jc w:val="both"/>
        <w:rPr>
          <w:rFonts w:asciiTheme="minorHAnsi" w:hAnsiTheme="minorHAnsi" w:cstheme="minorHAnsi"/>
        </w:rPr>
      </w:pPr>
    </w:p>
    <w:p w14:paraId="75A34359" w14:textId="0EF00599" w:rsidR="008F1865" w:rsidRPr="009D1D5E" w:rsidRDefault="00812244" w:rsidP="008F1865">
      <w:pPr>
        <w:spacing w:line="360" w:lineRule="auto"/>
        <w:rPr>
          <w:rFonts w:cstheme="minorHAnsi"/>
        </w:rPr>
      </w:pPr>
      <w:hyperlink r:id="rId30" w:history="1">
        <w:r w:rsidR="008F1865" w:rsidRPr="009D1D5E">
          <w:rPr>
            <w:rStyle w:val="Hyperlink"/>
            <w:rFonts w:cstheme="minorHAnsi"/>
          </w:rPr>
          <w:t>The Global Human Rights Sanctions Regulations 2020</w:t>
        </w:r>
      </w:hyperlink>
    </w:p>
    <w:p w14:paraId="6A36992E" w14:textId="32CDF87F" w:rsidR="00245639" w:rsidRPr="009D1D5E" w:rsidRDefault="00245639" w:rsidP="008F1865">
      <w:pPr>
        <w:spacing w:line="360" w:lineRule="auto"/>
      </w:pPr>
    </w:p>
    <w:p w14:paraId="72FFBFDD" w14:textId="77777777" w:rsidR="00245639" w:rsidRPr="009D1D5E" w:rsidRDefault="00245639" w:rsidP="00245639">
      <w:pPr>
        <w:spacing w:line="276" w:lineRule="auto"/>
        <w:jc w:val="both"/>
        <w:rPr>
          <w:rFonts w:asciiTheme="minorHAnsi" w:hAnsiTheme="minorHAnsi" w:cstheme="minorHAnsi"/>
          <w:b/>
          <w:bCs/>
        </w:rPr>
      </w:pPr>
    </w:p>
    <w:p w14:paraId="22C2F602" w14:textId="63F96E0C" w:rsidR="00245639" w:rsidRPr="009D1D5E" w:rsidRDefault="00245639" w:rsidP="00245639">
      <w:pPr>
        <w:spacing w:line="276" w:lineRule="auto"/>
        <w:jc w:val="both"/>
        <w:rPr>
          <w:rFonts w:asciiTheme="minorHAnsi" w:hAnsiTheme="minorHAnsi" w:cstheme="minorHAnsi"/>
          <w:b/>
          <w:bCs/>
        </w:rPr>
      </w:pPr>
      <w:r w:rsidRPr="009D1D5E">
        <w:rPr>
          <w:rFonts w:asciiTheme="minorHAnsi" w:hAnsiTheme="minorHAnsi" w:cstheme="minorHAnsi"/>
          <w:b/>
          <w:bCs/>
        </w:rPr>
        <w:t>REVIEW / DE-LISTINGS</w:t>
      </w:r>
    </w:p>
    <w:p w14:paraId="0E1E1310" w14:textId="77777777" w:rsidR="00245639" w:rsidRPr="009D1D5E" w:rsidRDefault="00245639" w:rsidP="008F1865">
      <w:pPr>
        <w:spacing w:line="360" w:lineRule="auto"/>
      </w:pPr>
    </w:p>
    <w:p w14:paraId="4C3E84B2" w14:textId="3E5CEB6F" w:rsidR="008F1865" w:rsidRPr="009D1D5E" w:rsidRDefault="00812244" w:rsidP="008F1865">
      <w:pPr>
        <w:spacing w:line="360" w:lineRule="auto"/>
        <w:rPr>
          <w:rFonts w:asciiTheme="minorHAnsi" w:hAnsiTheme="minorHAnsi" w:cstheme="minorHAnsi"/>
        </w:rPr>
      </w:pPr>
      <w:hyperlink r:id="rId31" w:history="1">
        <w:r w:rsidR="008F1865" w:rsidRPr="009D1D5E">
          <w:rPr>
            <w:rStyle w:val="Hyperlink"/>
            <w:rFonts w:asciiTheme="minorHAnsi" w:hAnsiTheme="minorHAnsi" w:cstheme="minorHAnsi"/>
          </w:rPr>
          <w:t>Guidance on how to request a variation / revocation of a sanctions designation</w:t>
        </w:r>
      </w:hyperlink>
    </w:p>
    <w:p w14:paraId="37E74B7C" w14:textId="77777777" w:rsidR="00245639" w:rsidRPr="009D1D5E" w:rsidRDefault="00245639" w:rsidP="008F1865">
      <w:pPr>
        <w:spacing w:line="360" w:lineRule="auto"/>
      </w:pPr>
    </w:p>
    <w:p w14:paraId="20F63699" w14:textId="0DC0C8E2" w:rsidR="00B725B1" w:rsidRPr="009D1D5E" w:rsidRDefault="00812244" w:rsidP="008F1865">
      <w:pPr>
        <w:spacing w:line="360" w:lineRule="auto"/>
        <w:rPr>
          <w:rFonts w:cstheme="minorHAnsi"/>
        </w:rPr>
      </w:pPr>
      <w:hyperlink r:id="rId32" w:history="1">
        <w:r w:rsidR="00B725B1" w:rsidRPr="009D1D5E">
          <w:rPr>
            <w:rStyle w:val="Hyperlink"/>
            <w:rFonts w:cstheme="minorHAnsi"/>
          </w:rPr>
          <w:t>UK sanctions review request form</w:t>
        </w:r>
      </w:hyperlink>
    </w:p>
    <w:p w14:paraId="370B7AF6" w14:textId="77777777" w:rsidR="00B725B1" w:rsidRDefault="00B725B1" w:rsidP="00B725B1">
      <w:pPr>
        <w:spacing w:line="360" w:lineRule="auto"/>
        <w:rPr>
          <w:rFonts w:asciiTheme="minorHAnsi" w:hAnsiTheme="minorHAnsi" w:cstheme="minorHAnsi"/>
          <w:b/>
          <w:sz w:val="24"/>
          <w:szCs w:val="24"/>
        </w:rPr>
      </w:pPr>
    </w:p>
    <w:p w14:paraId="2440364B" w14:textId="4E6FA666" w:rsidR="008F1865" w:rsidRDefault="008F1865" w:rsidP="008F1865">
      <w:pPr>
        <w:spacing w:line="276" w:lineRule="auto"/>
        <w:jc w:val="both"/>
        <w:rPr>
          <w:rFonts w:cstheme="minorHAnsi"/>
          <w:sz w:val="24"/>
          <w:szCs w:val="24"/>
        </w:rPr>
      </w:pPr>
    </w:p>
    <w:p w14:paraId="2568E82A" w14:textId="77777777" w:rsidR="008F1865" w:rsidRPr="008F1865" w:rsidRDefault="008F1865" w:rsidP="008F1865">
      <w:pPr>
        <w:spacing w:line="276" w:lineRule="auto"/>
        <w:jc w:val="both"/>
        <w:rPr>
          <w:rFonts w:cstheme="minorHAnsi"/>
          <w:sz w:val="24"/>
          <w:szCs w:val="24"/>
        </w:rPr>
      </w:pPr>
    </w:p>
    <w:p w14:paraId="2FD3940D" w14:textId="7D89F1DD" w:rsidR="0005708B" w:rsidRDefault="0005708B" w:rsidP="0005708B">
      <w:pPr>
        <w:spacing w:line="360" w:lineRule="auto"/>
        <w:rPr>
          <w:rFonts w:asciiTheme="minorHAnsi" w:hAnsiTheme="minorHAnsi" w:cstheme="minorHAnsi"/>
          <w:b/>
          <w:sz w:val="24"/>
          <w:szCs w:val="24"/>
        </w:rPr>
      </w:pPr>
    </w:p>
    <w:p w14:paraId="364E2EB2" w14:textId="76F9139F" w:rsidR="002A3FEB" w:rsidRDefault="002A3FEB">
      <w:pPr>
        <w:spacing w:after="160" w:line="259" w:lineRule="auto"/>
        <w:rPr>
          <w:rFonts w:asciiTheme="minorHAnsi" w:hAnsiTheme="minorHAnsi" w:cstheme="minorHAnsi"/>
          <w:b/>
          <w:sz w:val="24"/>
          <w:szCs w:val="24"/>
        </w:rPr>
      </w:pPr>
      <w:r>
        <w:rPr>
          <w:rFonts w:asciiTheme="minorHAnsi" w:hAnsiTheme="minorHAnsi" w:cstheme="minorHAnsi"/>
          <w:b/>
          <w:sz w:val="24"/>
          <w:szCs w:val="24"/>
        </w:rPr>
        <w:br w:type="page"/>
      </w:r>
    </w:p>
    <w:p w14:paraId="047285B0" w14:textId="5713BD1B" w:rsidR="00430251" w:rsidRPr="00D35AB9" w:rsidRDefault="00430251" w:rsidP="00245639">
      <w:pPr>
        <w:spacing w:after="240" w:line="276" w:lineRule="auto"/>
        <w:jc w:val="center"/>
        <w:rPr>
          <w:b/>
          <w:bCs/>
          <w:color w:val="0070C0"/>
          <w:sz w:val="32"/>
          <w:szCs w:val="32"/>
        </w:rPr>
      </w:pPr>
      <w:r w:rsidRPr="00D35AB9">
        <w:rPr>
          <w:b/>
          <w:bCs/>
          <w:color w:val="0070C0"/>
          <w:sz w:val="32"/>
          <w:szCs w:val="32"/>
        </w:rPr>
        <w:lastRenderedPageBreak/>
        <w:t>KEY DIFFERENCES BETWEEN UK AND EU SANCTIONS REGIMES</w:t>
      </w:r>
    </w:p>
    <w:p w14:paraId="698842DC" w14:textId="77777777" w:rsidR="00245639" w:rsidRDefault="00245639" w:rsidP="00430251">
      <w:pPr>
        <w:spacing w:after="240" w:line="276" w:lineRule="auto"/>
        <w:jc w:val="both"/>
        <w:rPr>
          <w:i/>
        </w:rPr>
      </w:pPr>
    </w:p>
    <w:p w14:paraId="095052CA" w14:textId="5532CBE2" w:rsidR="00430251" w:rsidRPr="00145243" w:rsidRDefault="00430251" w:rsidP="00430251">
      <w:pPr>
        <w:spacing w:after="240" w:line="276" w:lineRule="auto"/>
        <w:jc w:val="both"/>
        <w:rPr>
          <w:b/>
          <w:iCs/>
        </w:rPr>
      </w:pPr>
      <w:r w:rsidRPr="00145243">
        <w:rPr>
          <w:b/>
          <w:iCs/>
        </w:rPr>
        <w:t xml:space="preserve">Changes </w:t>
      </w:r>
      <w:r w:rsidR="00245639" w:rsidRPr="00145243">
        <w:rPr>
          <w:b/>
          <w:iCs/>
        </w:rPr>
        <w:t xml:space="preserve">to </w:t>
      </w:r>
      <w:r w:rsidRPr="00145243">
        <w:rPr>
          <w:b/>
          <w:iCs/>
        </w:rPr>
        <w:t xml:space="preserve">/ extension </w:t>
      </w:r>
      <w:r w:rsidR="00245639" w:rsidRPr="00145243">
        <w:rPr>
          <w:b/>
          <w:iCs/>
        </w:rPr>
        <w:t>of</w:t>
      </w:r>
      <w:r w:rsidRPr="00145243">
        <w:rPr>
          <w:b/>
          <w:iCs/>
        </w:rPr>
        <w:t xml:space="preserve"> asset freezing provisions</w:t>
      </w:r>
    </w:p>
    <w:p w14:paraId="6984BB10" w14:textId="77777777" w:rsidR="00430251" w:rsidRDefault="00430251" w:rsidP="00430251">
      <w:pPr>
        <w:pStyle w:val="0ParL1"/>
      </w:pPr>
      <w:r>
        <w:rPr>
          <w:b/>
        </w:rPr>
        <w:t xml:space="preserve">Knowledge/reasonable cause to suspect: </w:t>
      </w:r>
      <w:r>
        <w:t xml:space="preserve">Asset freeze provisions now often require knowledge or reasonable cause to suspect that someone is dealing with frozen funds: see, eg, </w:t>
      </w:r>
      <w:r w:rsidRPr="00C30468">
        <w:t>Libya (Sanctions) (EU Exit) Regulations 2020</w:t>
      </w:r>
      <w:r>
        <w:t xml:space="preserve"> reg 12(1). By contrast, EU regimes generally prohibited any unfreezing, sometimes with protection from liability where there was an absence of knowledge and no reasonable grounds to suspect a breach: see, eg, </w:t>
      </w:r>
      <w:r w:rsidRPr="00C731A0">
        <w:t>Council Regulation (EU) 2016</w:t>
      </w:r>
      <w:r>
        <w:t>/</w:t>
      </w:r>
      <w:r w:rsidRPr="00C731A0">
        <w:t>44</w:t>
      </w:r>
      <w:r>
        <w:t xml:space="preserve"> Articles 5(1) and 16(2).</w:t>
      </w:r>
    </w:p>
    <w:p w14:paraId="2409510C" w14:textId="77777777" w:rsidR="00430251" w:rsidRPr="00505758" w:rsidRDefault="00430251" w:rsidP="00430251">
      <w:pPr>
        <w:pStyle w:val="0ParL1"/>
        <w:rPr>
          <w:b/>
        </w:rPr>
      </w:pPr>
      <w:r w:rsidRPr="003C412B">
        <w:rPr>
          <w:b/>
        </w:rPr>
        <w:t>Ownership and control:</w:t>
      </w:r>
      <w:r>
        <w:t xml:space="preserve"> Asset freezes generally prohibit dealings in assets “owned or controlled” by designated persons. The new UK sanctions regimes lay down an extended and detailed definition of the circumstances in which direct or indirect ownership or control via a corporate vehicle exists. A person will own or control a company where one of two conditions is satisfied (see, eg, </w:t>
      </w:r>
      <w:r w:rsidRPr="00C30468">
        <w:t>Libya (Sanctions) (EU Exit) Regulations 2020</w:t>
      </w:r>
      <w:r>
        <w:t xml:space="preserve"> reg 7):</w:t>
      </w:r>
    </w:p>
    <w:p w14:paraId="1476F2FB" w14:textId="77777777" w:rsidR="00430251" w:rsidRDefault="00430251" w:rsidP="00430251">
      <w:pPr>
        <w:pStyle w:val="0ParL2"/>
      </w:pPr>
      <w:r>
        <w:t>A person (a) holds directly or indirectly more than 50% of the shares in a company, (b) holds directly or indirectly more than 50% of the voting rights in a company, or (c) holds the right, directly or indirectly, to appoint or remove a majority of the board of directors of a company.</w:t>
      </w:r>
    </w:p>
    <w:p w14:paraId="325454CF" w14:textId="54CBA23E" w:rsidR="00430251" w:rsidRPr="003C412B" w:rsidRDefault="00430251" w:rsidP="00430251">
      <w:pPr>
        <w:pStyle w:val="0ParL2"/>
      </w:pPr>
      <w:r>
        <w:t>“</w:t>
      </w:r>
      <w:r w:rsidRPr="00C6701C">
        <w:rPr>
          <w:i/>
        </w:rPr>
        <w:t>it is reasonable, having regard to all the circumstances, to expect that P</w:t>
      </w:r>
      <w:r>
        <w:t xml:space="preserve"> [the person] </w:t>
      </w:r>
      <w:r w:rsidRPr="00C6701C">
        <w:rPr>
          <w:i/>
        </w:rPr>
        <w:t>would (if P chose to) be able, in most cases or in significant respects, by whatever means and whether directly or indirectly, to achieve the result that affairs of C are conducted in accordance with P's wishes</w:t>
      </w:r>
      <w:r>
        <w:t>.</w:t>
      </w:r>
      <w:r w:rsidR="009D1D5E">
        <w:t>”</w:t>
      </w:r>
    </w:p>
    <w:p w14:paraId="684669EE" w14:textId="503FED46" w:rsidR="00430251" w:rsidRPr="00145243" w:rsidRDefault="00430251" w:rsidP="00430251">
      <w:pPr>
        <w:spacing w:after="240" w:line="276" w:lineRule="auto"/>
        <w:jc w:val="both"/>
        <w:rPr>
          <w:b/>
          <w:iCs/>
        </w:rPr>
      </w:pPr>
      <w:r w:rsidRPr="00145243">
        <w:rPr>
          <w:b/>
          <w:iCs/>
        </w:rPr>
        <w:t>Differences in designations and prohibitions</w:t>
      </w:r>
    </w:p>
    <w:p w14:paraId="63FABFAA" w14:textId="5009616C" w:rsidR="00430251" w:rsidRPr="007B3295" w:rsidRDefault="007B3295" w:rsidP="00430251">
      <w:pPr>
        <w:pStyle w:val="0ParL1"/>
        <w:rPr>
          <w:b/>
          <w:iCs w:val="0"/>
        </w:rPr>
      </w:pPr>
      <w:r>
        <w:rPr>
          <w:b/>
          <w:iCs w:val="0"/>
        </w:rPr>
        <w:t xml:space="preserve">Some </w:t>
      </w:r>
      <w:r w:rsidR="00430251" w:rsidRPr="00AC44EC">
        <w:rPr>
          <w:b/>
          <w:iCs w:val="0"/>
        </w:rPr>
        <w:t xml:space="preserve">UK </w:t>
      </w:r>
      <w:r w:rsidR="00430251">
        <w:rPr>
          <w:b/>
          <w:iCs w:val="0"/>
        </w:rPr>
        <w:t xml:space="preserve">designations </w:t>
      </w:r>
      <w:r w:rsidR="00430251" w:rsidRPr="00AC44EC">
        <w:rPr>
          <w:b/>
          <w:iCs w:val="0"/>
        </w:rPr>
        <w:t>are different:</w:t>
      </w:r>
      <w:r w:rsidR="00430251">
        <w:rPr>
          <w:iCs w:val="0"/>
        </w:rPr>
        <w:t xml:space="preserve"> Not all EU designations (ie listings) have been continued under the new UK regimes</w:t>
      </w:r>
      <w:r>
        <w:rPr>
          <w:iCs w:val="0"/>
        </w:rPr>
        <w:t xml:space="preserve"> (eg none of the Ukraine / Egypt / Tunisia misappropriation listings have been carried into UK law)</w:t>
      </w:r>
      <w:r w:rsidR="00430251">
        <w:rPr>
          <w:iCs w:val="0"/>
        </w:rPr>
        <w:t>.</w:t>
      </w:r>
    </w:p>
    <w:p w14:paraId="6CCB9DBD" w14:textId="77777777" w:rsidR="007B3295" w:rsidRPr="007B3295" w:rsidRDefault="00430251" w:rsidP="00430251">
      <w:pPr>
        <w:pStyle w:val="0ParL1"/>
        <w:rPr>
          <w:b/>
          <w:iCs w:val="0"/>
        </w:rPr>
      </w:pPr>
      <w:r>
        <w:rPr>
          <w:b/>
          <w:iCs w:val="0"/>
        </w:rPr>
        <w:t>Differences in prohibitions:</w:t>
      </w:r>
      <w:r>
        <w:rPr>
          <w:iCs w:val="0"/>
        </w:rPr>
        <w:t xml:space="preserve"> </w:t>
      </w:r>
      <w:r w:rsidR="007B3295">
        <w:rPr>
          <w:iCs w:val="0"/>
        </w:rPr>
        <w:t>There are</w:t>
      </w:r>
      <w:r>
        <w:rPr>
          <w:iCs w:val="0"/>
        </w:rPr>
        <w:t xml:space="preserve"> various differences in the scope of various prohibitions exist. For example</w:t>
      </w:r>
      <w:r w:rsidR="007B3295">
        <w:rPr>
          <w:iCs w:val="0"/>
        </w:rPr>
        <w:t>:</w:t>
      </w:r>
    </w:p>
    <w:p w14:paraId="2597CD87" w14:textId="1DF60E4A" w:rsidR="00430251" w:rsidRPr="007B3295" w:rsidRDefault="00430251" w:rsidP="007B3295">
      <w:pPr>
        <w:pStyle w:val="0ParL2"/>
        <w:rPr>
          <w:b/>
        </w:rPr>
      </w:pPr>
      <w:r>
        <w:t>where EU sanctions on Russia had provided exceptions for EU-based subsidiaries, the UK regimes provide only exceptions for</w:t>
      </w:r>
      <w:r w:rsidR="00D520B7">
        <w:t xml:space="preserve"> UK-based subsidiaries;</w:t>
      </w:r>
    </w:p>
    <w:p w14:paraId="03719A67" w14:textId="0496F90D" w:rsidR="007B3295" w:rsidRPr="00AE7881" w:rsidRDefault="00D520B7" w:rsidP="007B3295">
      <w:pPr>
        <w:pStyle w:val="0ParL2"/>
        <w:rPr>
          <w:b/>
        </w:rPr>
      </w:pPr>
      <w:r>
        <w:t>t</w:t>
      </w:r>
      <w:r w:rsidR="009D1D5E">
        <w:t xml:space="preserve">he </w:t>
      </w:r>
      <w:r w:rsidR="007B3295">
        <w:t xml:space="preserve">UK “Global Human Rights” regime in the </w:t>
      </w:r>
      <w:r w:rsidR="007B3295" w:rsidRPr="00245639">
        <w:rPr>
          <w:iCs w:val="0"/>
        </w:rPr>
        <w:t>Global Human Rights Sanctions Regulations 2020</w:t>
      </w:r>
      <w:r w:rsidR="007B3295">
        <w:rPr>
          <w:iCs w:val="0"/>
        </w:rPr>
        <w:t xml:space="preserve"> is more limited in scope than the EU equivalent</w:t>
      </w:r>
      <w:r w:rsidR="007B3295">
        <w:t>.</w:t>
      </w:r>
    </w:p>
    <w:p w14:paraId="56B6B622" w14:textId="77777777" w:rsidR="00835001" w:rsidRDefault="00835001" w:rsidP="00430251">
      <w:pPr>
        <w:spacing w:after="240" w:line="276" w:lineRule="auto"/>
        <w:jc w:val="both"/>
        <w:rPr>
          <w:i/>
          <w:iCs/>
        </w:rPr>
      </w:pPr>
    </w:p>
    <w:p w14:paraId="1D8B2A19" w14:textId="77777777" w:rsidR="00835001" w:rsidRDefault="00835001" w:rsidP="00430251">
      <w:pPr>
        <w:spacing w:after="240" w:line="276" w:lineRule="auto"/>
        <w:jc w:val="both"/>
        <w:rPr>
          <w:i/>
          <w:iCs/>
        </w:rPr>
      </w:pPr>
    </w:p>
    <w:p w14:paraId="4BB475AE" w14:textId="7ABF7227" w:rsidR="00430251" w:rsidRPr="00145243" w:rsidRDefault="00430251" w:rsidP="00430251">
      <w:pPr>
        <w:spacing w:after="240" w:line="276" w:lineRule="auto"/>
        <w:jc w:val="both"/>
        <w:rPr>
          <w:b/>
          <w:iCs/>
        </w:rPr>
      </w:pPr>
      <w:r w:rsidRPr="00145243">
        <w:rPr>
          <w:b/>
          <w:iCs/>
        </w:rPr>
        <w:lastRenderedPageBreak/>
        <w:t>UK nexus</w:t>
      </w:r>
    </w:p>
    <w:p w14:paraId="6513728B" w14:textId="0F97E8CA" w:rsidR="00430251" w:rsidRPr="009B6F6E" w:rsidRDefault="00430251" w:rsidP="00430251">
      <w:pPr>
        <w:pStyle w:val="0ParL1"/>
        <w:rPr>
          <w:iCs w:val="0"/>
        </w:rPr>
      </w:pPr>
      <w:r w:rsidRPr="009B6F6E">
        <w:rPr>
          <w:b/>
          <w:iCs w:val="0"/>
        </w:rPr>
        <w:t>Geographical / nationality nexus required:</w:t>
      </w:r>
      <w:r w:rsidRPr="009B6F6E">
        <w:rPr>
          <w:iCs w:val="0"/>
        </w:rPr>
        <w:t xml:space="preserve"> Power to impose sanctions prohibitions under Sanctions and Anti-Money Laundering Act 2018 s 21(1) extends only to “</w:t>
      </w:r>
      <w:r w:rsidRPr="009B6F6E">
        <w:rPr>
          <w:i/>
        </w:rPr>
        <w:t xml:space="preserve">(a) conduct in the United Kingdom or in the territorial sea by any person; </w:t>
      </w:r>
      <w:r w:rsidRPr="009B6F6E">
        <w:rPr>
          <w:i/>
          <w:iCs w:val="0"/>
        </w:rPr>
        <w:t>(b) conduct elsewhere, but only if the conduct is by a United Kingdom person.</w:t>
      </w:r>
      <w:r>
        <w:rPr>
          <w:iCs w:val="0"/>
        </w:rPr>
        <w:t xml:space="preserve">” Accordingly, the geographical scope of the UK regimes is now clear. </w:t>
      </w:r>
      <w:r w:rsidR="007B3295">
        <w:rPr>
          <w:iCs w:val="0"/>
        </w:rPr>
        <w:t xml:space="preserve">Although </w:t>
      </w:r>
      <w:r>
        <w:rPr>
          <w:iCs w:val="0"/>
        </w:rPr>
        <w:t>the EU regimes had clear application provisions, it was not clear whether the UK statutory instruments implementing them, which imposed criminal penalties, were coextensive or narrower in their geographical scope.</w:t>
      </w:r>
    </w:p>
    <w:p w14:paraId="361E32A3" w14:textId="77777777" w:rsidR="00430251" w:rsidRPr="00145243" w:rsidRDefault="00430251" w:rsidP="00430251">
      <w:pPr>
        <w:spacing w:after="240" w:line="276" w:lineRule="auto"/>
        <w:jc w:val="both"/>
        <w:rPr>
          <w:b/>
          <w:iCs/>
        </w:rPr>
      </w:pPr>
      <w:r w:rsidRPr="00145243">
        <w:rPr>
          <w:b/>
          <w:iCs/>
        </w:rPr>
        <w:t>Absence of “no claims” clauses</w:t>
      </w:r>
    </w:p>
    <w:p w14:paraId="3F895F85" w14:textId="77777777" w:rsidR="00430251" w:rsidRDefault="00430251" w:rsidP="00430251">
      <w:pPr>
        <w:pStyle w:val="0ParL1"/>
      </w:pPr>
      <w:r>
        <w:rPr>
          <w:b/>
        </w:rPr>
        <w:t xml:space="preserve">No “no claims” provisions: </w:t>
      </w:r>
      <w:r>
        <w:t xml:space="preserve">UK regimes do not contain “no claims” provisions that were contained in EU law regimes, and which generally had the effect of preventing a claim being satisfied where that claim was caused by the imposition of sanctions: see, eg, </w:t>
      </w:r>
      <w:r w:rsidRPr="00852BBD">
        <w:rPr>
          <w:i/>
          <w:iCs w:val="0"/>
        </w:rPr>
        <w:t>Ministry of Defence &amp; Support for Armed Forces of the Islamic Republic of Iran v International Military Services Ltd</w:t>
      </w:r>
      <w:r>
        <w:rPr>
          <w:iCs w:val="0"/>
        </w:rPr>
        <w:t xml:space="preserve"> </w:t>
      </w:r>
      <w:r>
        <w:rPr>
          <w:bCs/>
        </w:rPr>
        <w:t xml:space="preserve">[2020] EWCA Civ 145, considering Article 38 of </w:t>
      </w:r>
      <w:r>
        <w:t>Council Regulation (EU) No 267/2012</w:t>
      </w:r>
      <w:r>
        <w:rPr>
          <w:bCs/>
        </w:rPr>
        <w:t>.</w:t>
      </w:r>
      <w:r>
        <w:rPr>
          <w:rStyle w:val="FootnoteReference"/>
          <w:bCs/>
        </w:rPr>
        <w:footnoteReference w:id="1"/>
      </w:r>
      <w:r>
        <w:rPr>
          <w:bCs/>
        </w:rPr>
        <w:t xml:space="preserve"> Query whether to some extent English principles relating to contractual non-performance may fill this gap, at least where English law applies.</w:t>
      </w:r>
    </w:p>
    <w:p w14:paraId="14225606" w14:textId="77777777" w:rsidR="00430251" w:rsidRPr="00145243" w:rsidRDefault="00430251" w:rsidP="00430251">
      <w:pPr>
        <w:spacing w:after="240" w:line="276" w:lineRule="auto"/>
        <w:jc w:val="both"/>
        <w:rPr>
          <w:b/>
          <w:iCs/>
        </w:rPr>
      </w:pPr>
      <w:r w:rsidRPr="00145243">
        <w:rPr>
          <w:b/>
          <w:iCs/>
        </w:rPr>
        <w:t>Other bespoke provisions</w:t>
      </w:r>
    </w:p>
    <w:p w14:paraId="044ADC74" w14:textId="77777777" w:rsidR="00430251" w:rsidRDefault="00430251" w:rsidP="00430251">
      <w:pPr>
        <w:pStyle w:val="0ParL1"/>
      </w:pPr>
      <w:r>
        <w:t>Other bespoke provisions exist that provide the UK with greater scope itself to take actions that would have been prohibited, such as:</w:t>
      </w:r>
    </w:p>
    <w:p w14:paraId="46F8116D" w14:textId="77B5AB17" w:rsidR="00430251" w:rsidRDefault="00430251" w:rsidP="00430251">
      <w:pPr>
        <w:pStyle w:val="0ParL2"/>
      </w:pPr>
      <w:r w:rsidRPr="00477924">
        <w:rPr>
          <w:b/>
        </w:rPr>
        <w:t>National security/crime prevention overrides:</w:t>
      </w:r>
      <w:r>
        <w:t xml:space="preserve"> see, eg, I</w:t>
      </w:r>
      <w:r w:rsidRPr="003C7DFF">
        <w:t>ran (Sanctions) (Nuclear) (EU Exit</w:t>
      </w:r>
      <w:r w:rsidR="00D520B7">
        <w:t xml:space="preserve">) Regulations 2019 </w:t>
      </w:r>
      <w:r>
        <w:t>reg 38(1):</w:t>
      </w:r>
    </w:p>
    <w:p w14:paraId="35C160C9" w14:textId="77777777" w:rsidR="00430251" w:rsidRPr="009D1D5E" w:rsidRDefault="00430251" w:rsidP="00430251">
      <w:pPr>
        <w:pStyle w:val="0ParL2"/>
        <w:numPr>
          <w:ilvl w:val="0"/>
          <w:numId w:val="0"/>
        </w:numPr>
        <w:ind w:left="1134"/>
        <w:rPr>
          <w:i/>
        </w:rPr>
      </w:pPr>
      <w:r w:rsidRPr="009D1D5E">
        <w:rPr>
          <w:i/>
        </w:rPr>
        <w:t>“Where an act would, in the absence of this paragraph, be prohibited by the prohibition in regulation 9(2) or any prohibition in Part 3 (Finance) or Part 5 (Trade), that prohibition does not apply to the act if the act is one which a responsible officer has determined would be in the interests of — (a) national security, or (b) the prevention or detection of serious crime in the United Kingdom or elsewhere.”</w:t>
      </w:r>
    </w:p>
    <w:p w14:paraId="56AABEDB" w14:textId="77777777" w:rsidR="00430251" w:rsidRDefault="00430251" w:rsidP="00430251">
      <w:pPr>
        <w:pStyle w:val="0ParL2"/>
        <w:numPr>
          <w:ilvl w:val="0"/>
          <w:numId w:val="0"/>
        </w:numPr>
        <w:ind w:left="1134"/>
      </w:pPr>
      <w:r>
        <w:t xml:space="preserve">A “responsible officer” is defined in reg 38(3) as in effect a civil servant, acting in the course of their duty. Note that this is </w:t>
      </w:r>
      <w:r>
        <w:rPr>
          <w:u w:val="single"/>
        </w:rPr>
        <w:t>not</w:t>
      </w:r>
      <w:r>
        <w:t xml:space="preserve"> limited to acts of the UK itself.</w:t>
      </w:r>
    </w:p>
    <w:p w14:paraId="6F68CE78" w14:textId="774B7C94" w:rsidR="00430251" w:rsidRPr="00283FA1" w:rsidRDefault="00430251" w:rsidP="00430251">
      <w:pPr>
        <w:pStyle w:val="0ParL2"/>
      </w:pPr>
      <w:r w:rsidRPr="00283FA1">
        <w:rPr>
          <w:b/>
        </w:rPr>
        <w:t>Licences for an “extraordinary situation”:</w:t>
      </w:r>
      <w:r>
        <w:t xml:space="preserve"> see, eg, I</w:t>
      </w:r>
      <w:r w:rsidRPr="003C7DFF">
        <w:t>ran (Sanctions) (Nuclear) (EU Exit</w:t>
      </w:r>
      <w:r w:rsidR="00D520B7">
        <w:t xml:space="preserve">) Regulations 2019 </w:t>
      </w:r>
      <w:r>
        <w:t>reg 40(1) and Schedule 2 para 10.</w:t>
      </w:r>
    </w:p>
    <w:p w14:paraId="0A125687" w14:textId="0F1A3945" w:rsidR="0005708B" w:rsidRPr="00835001" w:rsidRDefault="007B3295" w:rsidP="00835001">
      <w:pPr>
        <w:spacing w:after="160" w:line="259" w:lineRule="auto"/>
        <w:rPr>
          <w:b/>
          <w:iCs/>
        </w:rPr>
      </w:pPr>
      <w:r>
        <w:rPr>
          <w:b/>
          <w:iCs/>
        </w:rPr>
        <w:br w:type="page"/>
      </w:r>
    </w:p>
    <w:p w14:paraId="187F90D3" w14:textId="6E8011DE" w:rsidR="008E58FB" w:rsidRPr="00D35AB9" w:rsidRDefault="008E58FB" w:rsidP="008E58FB">
      <w:pPr>
        <w:spacing w:line="360" w:lineRule="auto"/>
        <w:jc w:val="center"/>
        <w:rPr>
          <w:rFonts w:asciiTheme="minorHAnsi" w:hAnsiTheme="minorHAnsi" w:cstheme="minorHAnsi"/>
          <w:b/>
          <w:color w:val="0070C0"/>
          <w:sz w:val="32"/>
          <w:szCs w:val="32"/>
        </w:rPr>
      </w:pPr>
      <w:r w:rsidRPr="00D35AB9">
        <w:rPr>
          <w:rFonts w:asciiTheme="minorHAnsi" w:hAnsiTheme="minorHAnsi" w:cstheme="minorHAnsi"/>
          <w:b/>
          <w:color w:val="0070C0"/>
          <w:sz w:val="32"/>
          <w:szCs w:val="32"/>
        </w:rPr>
        <w:lastRenderedPageBreak/>
        <w:t xml:space="preserve">REVIEW OF </w:t>
      </w:r>
      <w:r w:rsidR="002A3FEB" w:rsidRPr="00D35AB9">
        <w:rPr>
          <w:rFonts w:asciiTheme="minorHAnsi" w:hAnsiTheme="minorHAnsi" w:cstheme="minorHAnsi"/>
          <w:b/>
          <w:color w:val="0070C0"/>
          <w:sz w:val="32"/>
          <w:szCs w:val="32"/>
        </w:rPr>
        <w:t xml:space="preserve">UK SANCTIONS </w:t>
      </w:r>
      <w:r w:rsidR="007B3295" w:rsidRPr="00D35AB9">
        <w:rPr>
          <w:rFonts w:asciiTheme="minorHAnsi" w:hAnsiTheme="minorHAnsi" w:cstheme="minorHAnsi"/>
          <w:b/>
          <w:color w:val="0070C0"/>
          <w:sz w:val="32"/>
          <w:szCs w:val="32"/>
        </w:rPr>
        <w:t>DESIGNATIONS</w:t>
      </w:r>
      <w:r w:rsidR="002A3FEB" w:rsidRPr="00D35AB9">
        <w:rPr>
          <w:rFonts w:asciiTheme="minorHAnsi" w:hAnsiTheme="minorHAnsi" w:cstheme="minorHAnsi"/>
          <w:b/>
          <w:color w:val="0070C0"/>
          <w:sz w:val="32"/>
          <w:szCs w:val="32"/>
        </w:rPr>
        <w:t xml:space="preserve"> / </w:t>
      </w:r>
      <w:r w:rsidR="007B3295" w:rsidRPr="00D35AB9">
        <w:rPr>
          <w:rFonts w:asciiTheme="minorHAnsi" w:hAnsiTheme="minorHAnsi" w:cstheme="minorHAnsi"/>
          <w:b/>
          <w:color w:val="0070C0"/>
          <w:sz w:val="32"/>
          <w:szCs w:val="32"/>
        </w:rPr>
        <w:t>DE-LISTINGS</w:t>
      </w:r>
    </w:p>
    <w:p w14:paraId="3E60E017" w14:textId="77777777" w:rsidR="008E58FB" w:rsidRPr="002A3FEB" w:rsidRDefault="008E58FB" w:rsidP="002A3FEB">
      <w:pPr>
        <w:spacing w:line="360" w:lineRule="auto"/>
        <w:jc w:val="both"/>
        <w:rPr>
          <w:rFonts w:cstheme="minorHAnsi"/>
          <w:b/>
          <w:sz w:val="24"/>
          <w:szCs w:val="24"/>
          <w:u w:val="single"/>
        </w:rPr>
      </w:pPr>
    </w:p>
    <w:p w14:paraId="2581A753" w14:textId="77777777" w:rsidR="008E58FB" w:rsidRPr="00145243" w:rsidRDefault="008E58FB" w:rsidP="00835001">
      <w:pPr>
        <w:spacing w:line="276" w:lineRule="auto"/>
        <w:jc w:val="both"/>
        <w:rPr>
          <w:rFonts w:asciiTheme="minorHAnsi" w:hAnsiTheme="minorHAnsi" w:cstheme="minorHAnsi"/>
          <w:b/>
        </w:rPr>
      </w:pPr>
      <w:r w:rsidRPr="00145243">
        <w:rPr>
          <w:rFonts w:asciiTheme="minorHAnsi" w:hAnsiTheme="minorHAnsi" w:cstheme="minorHAnsi"/>
          <w:b/>
        </w:rPr>
        <w:t>Legal Framework</w:t>
      </w:r>
    </w:p>
    <w:p w14:paraId="79FCF43D" w14:textId="77777777" w:rsidR="008E58FB" w:rsidRPr="00835001" w:rsidRDefault="008E58FB" w:rsidP="00835001">
      <w:pPr>
        <w:spacing w:line="276" w:lineRule="auto"/>
        <w:jc w:val="both"/>
        <w:rPr>
          <w:rFonts w:asciiTheme="minorHAnsi" w:hAnsiTheme="minorHAnsi" w:cstheme="minorHAnsi"/>
          <w:i/>
        </w:rPr>
      </w:pPr>
    </w:p>
    <w:p w14:paraId="7832C73C" w14:textId="77777777" w:rsidR="008E58FB" w:rsidRPr="00835001" w:rsidRDefault="008E58FB" w:rsidP="00835001">
      <w:pPr>
        <w:pStyle w:val="ListParagraph"/>
        <w:numPr>
          <w:ilvl w:val="0"/>
          <w:numId w:val="12"/>
        </w:numPr>
        <w:spacing w:after="0" w:line="276" w:lineRule="auto"/>
        <w:jc w:val="both"/>
        <w:rPr>
          <w:rFonts w:cstheme="minorHAnsi"/>
          <w:i/>
        </w:rPr>
      </w:pPr>
      <w:r w:rsidRPr="00835001">
        <w:rPr>
          <w:rFonts w:cstheme="minorHAnsi"/>
        </w:rPr>
        <w:t>Chapter 2 (ss. 22-33) of the Sanctions and Anti-Money Laundering Act 2018 (</w:t>
      </w:r>
      <w:r w:rsidRPr="00835001">
        <w:rPr>
          <w:rFonts w:cstheme="minorHAnsi"/>
          <w:b/>
        </w:rPr>
        <w:t>SAMLA</w:t>
      </w:r>
      <w:r w:rsidRPr="00835001">
        <w:rPr>
          <w:rFonts w:cstheme="minorHAnsi"/>
        </w:rPr>
        <w:t xml:space="preserve">) provides for the revocation, variation and ministerial review of designations made under Regulations pursuant to SAMLA. Chapter 4 of SAMLA (ss. 38-40) provides for court review of the minister’s decisions. </w:t>
      </w:r>
    </w:p>
    <w:p w14:paraId="4F124B65" w14:textId="77777777" w:rsidR="008E58FB" w:rsidRPr="00835001" w:rsidRDefault="008E58FB" w:rsidP="00835001">
      <w:pPr>
        <w:pStyle w:val="ListParagraph"/>
        <w:spacing w:after="0" w:line="276" w:lineRule="auto"/>
        <w:jc w:val="both"/>
        <w:rPr>
          <w:rFonts w:cstheme="minorHAnsi"/>
          <w:i/>
        </w:rPr>
      </w:pPr>
    </w:p>
    <w:p w14:paraId="0BE3529D" w14:textId="3F5880A5" w:rsidR="008E58FB" w:rsidRPr="00835001" w:rsidRDefault="008E58FB" w:rsidP="00835001">
      <w:pPr>
        <w:pStyle w:val="ListParagraph"/>
        <w:numPr>
          <w:ilvl w:val="0"/>
          <w:numId w:val="12"/>
        </w:numPr>
        <w:spacing w:after="0" w:line="276" w:lineRule="auto"/>
        <w:jc w:val="both"/>
        <w:rPr>
          <w:rFonts w:cstheme="minorHAnsi"/>
          <w:i/>
        </w:rPr>
      </w:pPr>
      <w:r w:rsidRPr="00835001">
        <w:rPr>
          <w:rFonts w:cstheme="minorHAnsi"/>
        </w:rPr>
        <w:t xml:space="preserve">Sections 29-32 set out temporary powers </w:t>
      </w:r>
      <w:r w:rsidR="007B3295" w:rsidRPr="00835001">
        <w:rPr>
          <w:rFonts w:cstheme="minorHAnsi"/>
        </w:rPr>
        <w:t>that</w:t>
      </w:r>
      <w:r w:rsidRPr="00835001">
        <w:rPr>
          <w:rFonts w:cstheme="minorHAnsi"/>
        </w:rPr>
        <w:t xml:space="preserve"> apply for two years after the UK’s exit from the EU. These allow changes to be made to the EU sanctions regime as retained in dom</w:t>
      </w:r>
      <w:r w:rsidR="00D520B7">
        <w:rPr>
          <w:rFonts w:cstheme="minorHAnsi"/>
        </w:rPr>
        <w:t>estic law after exit, allowing m</w:t>
      </w:r>
      <w:r w:rsidRPr="00835001">
        <w:rPr>
          <w:rFonts w:cstheme="minorHAnsi"/>
        </w:rPr>
        <w:t xml:space="preserve">inisters to add or remove names from the lists of designated persons designated at the EU level. </w:t>
      </w:r>
    </w:p>
    <w:p w14:paraId="2AE4FA3F" w14:textId="77777777" w:rsidR="008E58FB" w:rsidRPr="00835001" w:rsidRDefault="008E58FB" w:rsidP="00835001">
      <w:pPr>
        <w:pStyle w:val="ListParagraph"/>
        <w:spacing w:line="276" w:lineRule="auto"/>
        <w:rPr>
          <w:rFonts w:cstheme="minorHAnsi"/>
          <w:i/>
        </w:rPr>
      </w:pPr>
    </w:p>
    <w:p w14:paraId="2D6118FB" w14:textId="77777777" w:rsidR="008E58FB" w:rsidRPr="00835001" w:rsidRDefault="008E58FB" w:rsidP="00835001">
      <w:pPr>
        <w:pStyle w:val="ListParagraph"/>
        <w:numPr>
          <w:ilvl w:val="0"/>
          <w:numId w:val="12"/>
        </w:numPr>
        <w:spacing w:after="0" w:line="276" w:lineRule="auto"/>
        <w:jc w:val="both"/>
        <w:rPr>
          <w:rFonts w:cstheme="minorHAnsi"/>
          <w:i/>
        </w:rPr>
      </w:pPr>
      <w:r w:rsidRPr="00835001">
        <w:rPr>
          <w:rFonts w:cstheme="minorHAnsi"/>
        </w:rPr>
        <w:t xml:space="preserve">The Sanction Review Procedure (EU Exit) Regulations 2018, which came into force in January 2019, make provision for the procedure applicable to requests for review of a designation under SAMLA. </w:t>
      </w:r>
    </w:p>
    <w:p w14:paraId="010823B6" w14:textId="77777777" w:rsidR="008E58FB" w:rsidRPr="00835001" w:rsidRDefault="008E58FB" w:rsidP="00835001">
      <w:pPr>
        <w:spacing w:line="276" w:lineRule="auto"/>
        <w:jc w:val="both"/>
        <w:rPr>
          <w:rFonts w:asciiTheme="minorHAnsi" w:hAnsiTheme="minorHAnsi" w:cstheme="minorHAnsi"/>
          <w:i/>
        </w:rPr>
      </w:pPr>
    </w:p>
    <w:p w14:paraId="304EBE62" w14:textId="7DF3C4D2" w:rsidR="008E58FB" w:rsidRPr="00145243" w:rsidRDefault="00835001" w:rsidP="00835001">
      <w:pPr>
        <w:spacing w:line="276" w:lineRule="auto"/>
        <w:jc w:val="both"/>
        <w:rPr>
          <w:rFonts w:asciiTheme="minorHAnsi" w:hAnsiTheme="minorHAnsi" w:cstheme="minorHAnsi"/>
          <w:b/>
        </w:rPr>
      </w:pPr>
      <w:r w:rsidRPr="00145243">
        <w:rPr>
          <w:rFonts w:asciiTheme="minorHAnsi" w:hAnsiTheme="minorHAnsi" w:cstheme="minorHAnsi"/>
          <w:b/>
        </w:rPr>
        <w:t>Review of designation by a</w:t>
      </w:r>
      <w:r w:rsidR="008E58FB" w:rsidRPr="00145243">
        <w:rPr>
          <w:rFonts w:asciiTheme="minorHAnsi" w:hAnsiTheme="minorHAnsi" w:cstheme="minorHAnsi"/>
          <w:b/>
        </w:rPr>
        <w:t xml:space="preserve"> minister</w:t>
      </w:r>
    </w:p>
    <w:p w14:paraId="57EA7118" w14:textId="77777777" w:rsidR="008E58FB" w:rsidRPr="00835001" w:rsidRDefault="008E58FB" w:rsidP="00835001">
      <w:pPr>
        <w:spacing w:line="276" w:lineRule="auto"/>
        <w:jc w:val="both"/>
        <w:rPr>
          <w:rFonts w:asciiTheme="minorHAnsi" w:hAnsiTheme="minorHAnsi" w:cstheme="minorHAnsi"/>
          <w:i/>
        </w:rPr>
      </w:pPr>
    </w:p>
    <w:p w14:paraId="5801939A" w14:textId="77777777" w:rsidR="008E58FB" w:rsidRPr="00835001" w:rsidRDefault="008E58FB" w:rsidP="00835001">
      <w:pPr>
        <w:pStyle w:val="ListParagraph"/>
        <w:numPr>
          <w:ilvl w:val="0"/>
          <w:numId w:val="12"/>
        </w:numPr>
        <w:spacing w:after="0" w:line="276" w:lineRule="auto"/>
        <w:jc w:val="both"/>
        <w:rPr>
          <w:rFonts w:cstheme="minorHAnsi"/>
        </w:rPr>
      </w:pPr>
      <w:r w:rsidRPr="00835001">
        <w:rPr>
          <w:rFonts w:cstheme="minorHAnsi"/>
          <w:b/>
        </w:rPr>
        <w:t>Section 23(1)</w:t>
      </w:r>
      <w:r w:rsidRPr="00835001">
        <w:rPr>
          <w:rFonts w:cstheme="minorHAnsi"/>
        </w:rPr>
        <w:t xml:space="preserve"> provides that a designated person may request that the appropriate Minister revoke or vary their designation. This is characterised as an administrative review.</w:t>
      </w:r>
      <w:r w:rsidRPr="00835001">
        <w:rPr>
          <w:rStyle w:val="FootnoteReference"/>
          <w:rFonts w:cstheme="minorHAnsi"/>
        </w:rPr>
        <w:footnoteReference w:id="2"/>
      </w:r>
      <w:r w:rsidRPr="00835001">
        <w:rPr>
          <w:rFonts w:cstheme="minorHAnsi"/>
        </w:rPr>
        <w:t xml:space="preserve"> For example, a person may seek a review if they have been misidentified or considers the designation does not meet the required evidentiary threshold.</w:t>
      </w:r>
      <w:r w:rsidRPr="00835001">
        <w:rPr>
          <w:rStyle w:val="FootnoteReference"/>
          <w:rFonts w:cstheme="minorHAnsi"/>
        </w:rPr>
        <w:footnoteReference w:id="3"/>
      </w:r>
    </w:p>
    <w:p w14:paraId="4F885010" w14:textId="77777777" w:rsidR="008E58FB" w:rsidRPr="00835001" w:rsidRDefault="008E58FB" w:rsidP="00835001">
      <w:pPr>
        <w:pStyle w:val="ListParagraph"/>
        <w:spacing w:after="0" w:line="276" w:lineRule="auto"/>
        <w:ind w:left="1440"/>
        <w:jc w:val="both"/>
        <w:rPr>
          <w:rFonts w:cstheme="minorHAnsi"/>
        </w:rPr>
      </w:pPr>
    </w:p>
    <w:p w14:paraId="3B745CD7" w14:textId="77777777" w:rsidR="008E58FB" w:rsidRPr="00835001" w:rsidRDefault="008E58FB" w:rsidP="00835001">
      <w:pPr>
        <w:pStyle w:val="ListParagraph"/>
        <w:numPr>
          <w:ilvl w:val="0"/>
          <w:numId w:val="12"/>
        </w:numPr>
        <w:spacing w:after="0" w:line="276" w:lineRule="auto"/>
        <w:jc w:val="both"/>
        <w:rPr>
          <w:rFonts w:cstheme="minorHAnsi"/>
        </w:rPr>
      </w:pPr>
      <w:r w:rsidRPr="00835001">
        <w:rPr>
          <w:rFonts w:cstheme="minorHAnsi"/>
          <w:b/>
        </w:rPr>
        <w:t xml:space="preserve">Section 25 </w:t>
      </w:r>
      <w:r w:rsidRPr="00835001">
        <w:rPr>
          <w:rFonts w:cstheme="minorHAnsi"/>
        </w:rPr>
        <w:t>gives UN designated individuals the right to request that the appropriate minister ‘use their best endeavours’ to persuade the UN to remove them from the relevant UN instrument.</w:t>
      </w:r>
    </w:p>
    <w:p w14:paraId="7A1A7493" w14:textId="77777777" w:rsidR="008E58FB" w:rsidRPr="00835001" w:rsidRDefault="008E58FB" w:rsidP="00835001">
      <w:pPr>
        <w:pStyle w:val="ListParagraph"/>
        <w:spacing w:after="0" w:line="276" w:lineRule="auto"/>
        <w:rPr>
          <w:rFonts w:cstheme="minorHAnsi"/>
        </w:rPr>
      </w:pPr>
    </w:p>
    <w:p w14:paraId="63F72EC0" w14:textId="0432A6BF" w:rsidR="008E58FB" w:rsidRPr="00835001" w:rsidRDefault="008E58FB" w:rsidP="00835001">
      <w:pPr>
        <w:pStyle w:val="ListParagraph"/>
        <w:numPr>
          <w:ilvl w:val="0"/>
          <w:numId w:val="12"/>
        </w:numPr>
        <w:spacing w:after="0" w:line="276" w:lineRule="auto"/>
        <w:jc w:val="both"/>
        <w:rPr>
          <w:rFonts w:cstheme="minorHAnsi"/>
        </w:rPr>
      </w:pPr>
      <w:r w:rsidRPr="0041571A">
        <w:rPr>
          <w:rFonts w:cstheme="minorHAnsi"/>
          <w:b/>
          <w:bCs/>
        </w:rPr>
        <w:t>Section 36</w:t>
      </w:r>
      <w:r w:rsidRPr="00835001">
        <w:rPr>
          <w:rFonts w:cstheme="minorHAnsi"/>
          <w:bCs/>
        </w:rPr>
        <w:t xml:space="preserve"> gives</w:t>
      </w:r>
      <w:r w:rsidRPr="00835001">
        <w:rPr>
          <w:rFonts w:cstheme="minorHAnsi"/>
        </w:rPr>
        <w:t xml:space="preserve"> individuals included in a retained EU sanctions list the right to re</w:t>
      </w:r>
      <w:r w:rsidR="0041571A">
        <w:rPr>
          <w:rFonts w:cstheme="minorHAnsi"/>
        </w:rPr>
        <w:t xml:space="preserve">quest a direction under s. </w:t>
      </w:r>
      <w:r w:rsidRPr="00835001">
        <w:rPr>
          <w:rFonts w:cstheme="minorHAnsi"/>
        </w:rPr>
        <w:t>34(3)(b) that their name be treated as removed from the list.</w:t>
      </w:r>
    </w:p>
    <w:p w14:paraId="1CC965A0" w14:textId="77777777" w:rsidR="008E58FB" w:rsidRPr="00835001" w:rsidRDefault="008E58FB" w:rsidP="00835001">
      <w:pPr>
        <w:pStyle w:val="ListParagraph"/>
        <w:spacing w:after="0" w:line="276" w:lineRule="auto"/>
        <w:jc w:val="both"/>
        <w:rPr>
          <w:rFonts w:cstheme="minorHAnsi"/>
        </w:rPr>
      </w:pPr>
    </w:p>
    <w:p w14:paraId="754C77D9" w14:textId="410DD9A3" w:rsidR="008E58FB" w:rsidRPr="00835001" w:rsidRDefault="008E58FB" w:rsidP="00835001">
      <w:pPr>
        <w:pStyle w:val="ListParagraph"/>
        <w:numPr>
          <w:ilvl w:val="0"/>
          <w:numId w:val="12"/>
        </w:numPr>
        <w:spacing w:after="0" w:line="276" w:lineRule="auto"/>
        <w:jc w:val="both"/>
        <w:rPr>
          <w:rFonts w:cstheme="minorHAnsi"/>
        </w:rPr>
      </w:pPr>
      <w:r w:rsidRPr="00835001">
        <w:rPr>
          <w:rFonts w:cstheme="minorHAnsi"/>
        </w:rPr>
        <w:t>Once a request has been made under s. 23, s. 25 or s. 36, the appropriate minister must decide whether or not to accede to the request. The decision on any such request must be made as soon as ‘</w:t>
      </w:r>
      <w:r w:rsidR="0041571A">
        <w:rPr>
          <w:rFonts w:cstheme="minorHAnsi"/>
        </w:rPr>
        <w:t>”</w:t>
      </w:r>
      <w:r w:rsidRPr="00835001">
        <w:rPr>
          <w:rFonts w:cstheme="minorHAnsi"/>
        </w:rPr>
        <w:t>reasonably practicable</w:t>
      </w:r>
      <w:r w:rsidR="0041571A">
        <w:rPr>
          <w:rFonts w:cstheme="minorHAnsi"/>
        </w:rPr>
        <w:t>”</w:t>
      </w:r>
      <w:r w:rsidRPr="00835001">
        <w:rPr>
          <w:rStyle w:val="FootnoteReference"/>
          <w:rFonts w:cstheme="minorHAnsi"/>
        </w:rPr>
        <w:footnoteReference w:id="4"/>
      </w:r>
      <w:r w:rsidRPr="00835001">
        <w:rPr>
          <w:rFonts w:cstheme="minorHAnsi"/>
        </w:rPr>
        <w:t xml:space="preserve"> and the person who makes the request must be informed of the decision and the reasons ‘</w:t>
      </w:r>
      <w:r w:rsidR="0041571A">
        <w:rPr>
          <w:rFonts w:cstheme="minorHAnsi"/>
        </w:rPr>
        <w:t>”</w:t>
      </w:r>
      <w:r w:rsidRPr="00835001">
        <w:rPr>
          <w:rFonts w:cstheme="minorHAnsi"/>
        </w:rPr>
        <w:t>as soon as reasonably practicable after the decision was made.</w:t>
      </w:r>
      <w:r w:rsidR="0041571A">
        <w:rPr>
          <w:rFonts w:cstheme="minorHAnsi"/>
        </w:rPr>
        <w:t>”</w:t>
      </w:r>
      <w:r w:rsidRPr="00835001">
        <w:rPr>
          <w:rFonts w:cstheme="minorHAnsi"/>
        </w:rPr>
        <w:t>’</w:t>
      </w:r>
      <w:r w:rsidRPr="00835001">
        <w:rPr>
          <w:rStyle w:val="FootnoteReference"/>
          <w:rFonts w:cstheme="minorHAnsi"/>
        </w:rPr>
        <w:footnoteReference w:id="5"/>
      </w:r>
    </w:p>
    <w:p w14:paraId="119EC00A" w14:textId="77777777" w:rsidR="008E58FB" w:rsidRPr="00835001" w:rsidRDefault="008E58FB" w:rsidP="00835001">
      <w:pPr>
        <w:spacing w:line="276" w:lineRule="auto"/>
        <w:jc w:val="both"/>
        <w:rPr>
          <w:rFonts w:asciiTheme="minorHAnsi" w:hAnsiTheme="minorHAnsi" w:cstheme="minorHAnsi"/>
        </w:rPr>
      </w:pPr>
    </w:p>
    <w:p w14:paraId="1239EB05" w14:textId="77777777" w:rsidR="008E58FB" w:rsidRPr="00835001" w:rsidRDefault="008E58FB" w:rsidP="00835001">
      <w:pPr>
        <w:pStyle w:val="ListParagraph"/>
        <w:numPr>
          <w:ilvl w:val="0"/>
          <w:numId w:val="12"/>
        </w:numPr>
        <w:spacing w:after="0" w:line="276" w:lineRule="auto"/>
        <w:jc w:val="both"/>
        <w:rPr>
          <w:rFonts w:cstheme="minorHAnsi"/>
        </w:rPr>
      </w:pPr>
      <w:r w:rsidRPr="00835001">
        <w:rPr>
          <w:rFonts w:cstheme="minorHAnsi"/>
        </w:rPr>
        <w:lastRenderedPageBreak/>
        <w:t xml:space="preserve">The minister who made the designation has the </w:t>
      </w:r>
      <w:r w:rsidRPr="00835001">
        <w:rPr>
          <w:rFonts w:cstheme="minorHAnsi"/>
          <w:i/>
        </w:rPr>
        <w:t>discretion</w:t>
      </w:r>
      <w:r w:rsidRPr="00835001">
        <w:rPr>
          <w:rFonts w:cstheme="minorHAnsi"/>
        </w:rPr>
        <w:t xml:space="preserve"> to revoke or vary that designation.</w:t>
      </w:r>
      <w:r w:rsidRPr="00835001">
        <w:rPr>
          <w:rStyle w:val="FootnoteReference"/>
          <w:rFonts w:cstheme="minorHAnsi"/>
        </w:rPr>
        <w:footnoteReference w:id="6"/>
      </w:r>
      <w:r w:rsidRPr="00835001">
        <w:rPr>
          <w:rFonts w:cstheme="minorHAnsi"/>
        </w:rPr>
        <w:t xml:space="preserve"> </w:t>
      </w:r>
    </w:p>
    <w:p w14:paraId="52F9D8CF" w14:textId="77777777" w:rsidR="008E58FB" w:rsidRPr="00835001" w:rsidRDefault="008E58FB" w:rsidP="00835001">
      <w:pPr>
        <w:pStyle w:val="ListParagraph"/>
        <w:spacing w:after="0" w:line="276" w:lineRule="auto"/>
        <w:ind w:left="1440"/>
        <w:jc w:val="both"/>
        <w:rPr>
          <w:rFonts w:cstheme="minorHAnsi"/>
        </w:rPr>
      </w:pPr>
    </w:p>
    <w:p w14:paraId="55FF6DAA" w14:textId="0B9FE675" w:rsidR="008E58FB" w:rsidRPr="00835001" w:rsidRDefault="008E58FB" w:rsidP="00835001">
      <w:pPr>
        <w:pStyle w:val="ListParagraph"/>
        <w:numPr>
          <w:ilvl w:val="0"/>
          <w:numId w:val="12"/>
        </w:numPr>
        <w:spacing w:after="0" w:line="276" w:lineRule="auto"/>
        <w:jc w:val="both"/>
        <w:rPr>
          <w:rFonts w:cstheme="minorHAnsi"/>
        </w:rPr>
      </w:pPr>
      <w:r w:rsidRPr="00835001">
        <w:rPr>
          <w:rFonts w:cstheme="minorHAnsi"/>
        </w:rPr>
        <w:t xml:space="preserve">The minister also has a </w:t>
      </w:r>
      <w:r w:rsidRPr="00835001">
        <w:rPr>
          <w:rFonts w:cstheme="minorHAnsi"/>
          <w:i/>
        </w:rPr>
        <w:t xml:space="preserve">duty </w:t>
      </w:r>
      <w:r w:rsidRPr="00835001">
        <w:rPr>
          <w:rFonts w:cstheme="minorHAnsi"/>
        </w:rPr>
        <w:t>to revoke a designation when the required conditions of the relevant designation power are not met. This might be as a result of actions taken by persons to seek reassessment of their designation, or the government’s own revie</w:t>
      </w:r>
      <w:r w:rsidR="0041571A">
        <w:rPr>
          <w:rFonts w:cstheme="minorHAnsi"/>
        </w:rPr>
        <w:t xml:space="preserve">w of designations under s. </w:t>
      </w:r>
      <w:r w:rsidRPr="00835001">
        <w:rPr>
          <w:rFonts w:cstheme="minorHAnsi"/>
        </w:rPr>
        <w:t>24.</w:t>
      </w:r>
      <w:r w:rsidRPr="00835001">
        <w:rPr>
          <w:rStyle w:val="FootnoteReference"/>
          <w:rFonts w:cstheme="minorHAnsi"/>
        </w:rPr>
        <w:footnoteReference w:id="7"/>
      </w:r>
      <w:r w:rsidRPr="00835001">
        <w:rPr>
          <w:rFonts w:cstheme="minorHAnsi"/>
        </w:rPr>
        <w:t xml:space="preserve"> The minister must revoke a designation of </w:t>
      </w:r>
      <w:r w:rsidR="0041571A">
        <w:rPr>
          <w:rFonts w:cstheme="minorHAnsi"/>
        </w:rPr>
        <w:t>a named person where the s.</w:t>
      </w:r>
      <w:r w:rsidRPr="00835001">
        <w:rPr>
          <w:rFonts w:cstheme="minorHAnsi"/>
        </w:rPr>
        <w:t xml:space="preserve"> 11(2) conditions are no longer satisfied – i.e. if the minister:</w:t>
      </w:r>
    </w:p>
    <w:p w14:paraId="431F0540" w14:textId="77777777" w:rsidR="008E58FB" w:rsidRPr="00835001" w:rsidRDefault="008E58FB" w:rsidP="00835001">
      <w:pPr>
        <w:pStyle w:val="ListParagraph"/>
        <w:spacing w:line="276" w:lineRule="auto"/>
        <w:rPr>
          <w:rFonts w:cstheme="minorHAnsi"/>
        </w:rPr>
      </w:pPr>
    </w:p>
    <w:p w14:paraId="181930B5" w14:textId="0C9EAA92" w:rsidR="008E58FB" w:rsidRPr="00835001" w:rsidRDefault="008E58FB" w:rsidP="00835001">
      <w:pPr>
        <w:pStyle w:val="ListParagraph"/>
        <w:numPr>
          <w:ilvl w:val="0"/>
          <w:numId w:val="15"/>
        </w:numPr>
        <w:spacing w:after="0" w:line="276" w:lineRule="auto"/>
        <w:jc w:val="both"/>
        <w:rPr>
          <w:rFonts w:cstheme="minorHAnsi"/>
        </w:rPr>
      </w:pPr>
      <w:r w:rsidRPr="00835001">
        <w:rPr>
          <w:rFonts w:cstheme="minorHAnsi"/>
        </w:rPr>
        <w:t>no longer has reasonable grounds to suspect that the person is an involv</w:t>
      </w:r>
      <w:r w:rsidR="0041571A">
        <w:rPr>
          <w:rFonts w:cstheme="minorHAnsi"/>
        </w:rPr>
        <w:t xml:space="preserve">ed person as defined by s. </w:t>
      </w:r>
      <w:r w:rsidRPr="00835001">
        <w:rPr>
          <w:rFonts w:cstheme="minorHAnsi"/>
        </w:rPr>
        <w:t xml:space="preserve">11(3); </w:t>
      </w:r>
    </w:p>
    <w:p w14:paraId="196E5C09" w14:textId="77777777" w:rsidR="008E58FB" w:rsidRPr="00835001" w:rsidRDefault="008E58FB" w:rsidP="00835001">
      <w:pPr>
        <w:pStyle w:val="ListParagraph"/>
        <w:spacing w:after="0" w:line="276" w:lineRule="auto"/>
        <w:ind w:left="1440"/>
        <w:jc w:val="both"/>
        <w:rPr>
          <w:rFonts w:cstheme="minorHAnsi"/>
        </w:rPr>
      </w:pPr>
    </w:p>
    <w:p w14:paraId="39CD754D" w14:textId="59DD6E20" w:rsidR="008E58FB" w:rsidRPr="00835001" w:rsidRDefault="008E58FB" w:rsidP="00835001">
      <w:pPr>
        <w:pStyle w:val="ListParagraph"/>
        <w:numPr>
          <w:ilvl w:val="0"/>
          <w:numId w:val="15"/>
        </w:numPr>
        <w:spacing w:after="0" w:line="276" w:lineRule="auto"/>
        <w:jc w:val="both"/>
        <w:rPr>
          <w:rFonts w:cstheme="minorHAnsi"/>
        </w:rPr>
      </w:pPr>
      <w:r w:rsidRPr="00835001">
        <w:rPr>
          <w:rFonts w:cstheme="minorHAnsi"/>
        </w:rPr>
        <w:t xml:space="preserve">no longer considers it appropriate to maintain that designation for the purposes set out under </w:t>
      </w:r>
      <w:r w:rsidR="0041571A">
        <w:rPr>
          <w:rFonts w:cstheme="minorHAnsi"/>
        </w:rPr>
        <w:t xml:space="preserve">s. </w:t>
      </w:r>
      <w:r w:rsidRPr="00835001">
        <w:rPr>
          <w:rFonts w:cstheme="minorHAnsi"/>
        </w:rPr>
        <w:t>1(3) of SAMLA; or</w:t>
      </w:r>
    </w:p>
    <w:p w14:paraId="1A19CF03" w14:textId="77777777" w:rsidR="008E58FB" w:rsidRPr="00835001" w:rsidRDefault="008E58FB" w:rsidP="00835001">
      <w:pPr>
        <w:pStyle w:val="ListParagraph"/>
        <w:spacing w:after="0" w:line="276" w:lineRule="auto"/>
        <w:ind w:left="1440"/>
        <w:jc w:val="both"/>
        <w:rPr>
          <w:rFonts w:cstheme="minorHAnsi"/>
        </w:rPr>
      </w:pPr>
    </w:p>
    <w:p w14:paraId="6B2756DE" w14:textId="77777777" w:rsidR="008E58FB" w:rsidRPr="00835001" w:rsidRDefault="008E58FB" w:rsidP="00835001">
      <w:pPr>
        <w:pStyle w:val="ListParagraph"/>
        <w:numPr>
          <w:ilvl w:val="0"/>
          <w:numId w:val="15"/>
        </w:numPr>
        <w:spacing w:after="0" w:line="276" w:lineRule="auto"/>
        <w:jc w:val="both"/>
        <w:rPr>
          <w:rFonts w:cstheme="minorHAnsi"/>
        </w:rPr>
      </w:pPr>
      <w:r w:rsidRPr="00835001">
        <w:rPr>
          <w:rFonts w:cstheme="minorHAnsi"/>
        </w:rPr>
        <w:t xml:space="preserve">considers that it is no longer appropriate to maintain that designation having regard to the likely significant effects of that designation on that person. </w:t>
      </w:r>
    </w:p>
    <w:p w14:paraId="5F3C6600" w14:textId="77777777" w:rsidR="008E58FB" w:rsidRPr="00835001" w:rsidRDefault="008E58FB" w:rsidP="00835001">
      <w:pPr>
        <w:spacing w:line="276" w:lineRule="auto"/>
        <w:jc w:val="both"/>
        <w:rPr>
          <w:rFonts w:asciiTheme="minorHAnsi" w:hAnsiTheme="minorHAnsi" w:cstheme="minorHAnsi"/>
        </w:rPr>
      </w:pPr>
    </w:p>
    <w:p w14:paraId="2B2208CF" w14:textId="77777777" w:rsidR="008E58FB" w:rsidRPr="00835001" w:rsidRDefault="008E58FB" w:rsidP="00835001">
      <w:pPr>
        <w:pStyle w:val="ListParagraph"/>
        <w:numPr>
          <w:ilvl w:val="0"/>
          <w:numId w:val="12"/>
        </w:numPr>
        <w:spacing w:after="0" w:line="276" w:lineRule="auto"/>
        <w:jc w:val="both"/>
        <w:rPr>
          <w:rFonts w:cstheme="minorHAnsi"/>
        </w:rPr>
      </w:pPr>
      <w:r w:rsidRPr="00835001">
        <w:rPr>
          <w:rFonts w:cstheme="minorHAnsi"/>
        </w:rPr>
        <w:t>Once a person has made a request for review and that request has been refused, the same person cannot make a further request in relation to that designation unless they can show there is a significant matter of which the government was not aware (e.g. new significant evidence).</w:t>
      </w:r>
      <w:r w:rsidRPr="00835001">
        <w:rPr>
          <w:rStyle w:val="FootnoteReference"/>
          <w:rFonts w:cstheme="minorHAnsi"/>
        </w:rPr>
        <w:footnoteReference w:id="8"/>
      </w:r>
    </w:p>
    <w:p w14:paraId="53B8BBE0" w14:textId="77777777" w:rsidR="008E58FB" w:rsidRPr="00835001" w:rsidRDefault="008E58FB" w:rsidP="00835001">
      <w:pPr>
        <w:spacing w:line="276" w:lineRule="auto"/>
        <w:rPr>
          <w:rFonts w:asciiTheme="minorHAnsi" w:hAnsiTheme="minorHAnsi" w:cstheme="minorHAnsi"/>
          <w:i/>
        </w:rPr>
      </w:pPr>
    </w:p>
    <w:p w14:paraId="710C4F92" w14:textId="1B2658C0" w:rsidR="008E58FB" w:rsidRPr="00835001" w:rsidRDefault="007B3295" w:rsidP="00835001">
      <w:pPr>
        <w:pStyle w:val="ListParagraph"/>
        <w:numPr>
          <w:ilvl w:val="0"/>
          <w:numId w:val="12"/>
        </w:numPr>
        <w:spacing w:after="0" w:line="276" w:lineRule="auto"/>
        <w:jc w:val="both"/>
        <w:rPr>
          <w:rFonts w:cstheme="minorHAnsi"/>
        </w:rPr>
      </w:pPr>
      <w:r w:rsidRPr="00835001">
        <w:rPr>
          <w:rFonts w:cstheme="minorHAnsi"/>
        </w:rPr>
        <w:t>A</w:t>
      </w:r>
      <w:r w:rsidR="008E58FB" w:rsidRPr="00835001">
        <w:rPr>
          <w:rFonts w:cstheme="minorHAnsi"/>
        </w:rPr>
        <w:t xml:space="preserve">lthough SAMLA provides a mechanism for those listed under UK and UN Sanctions regimes to challenge their listing, many persons would also be designated under corresponding EU sanctions. There is no mechanism to challenge EU designations from the UK (they must be challenged at EU level). </w:t>
      </w:r>
    </w:p>
    <w:p w14:paraId="00559405" w14:textId="77777777" w:rsidR="008E58FB" w:rsidRPr="00835001" w:rsidRDefault="008E58FB" w:rsidP="00835001">
      <w:pPr>
        <w:spacing w:line="276" w:lineRule="auto"/>
        <w:jc w:val="both"/>
        <w:rPr>
          <w:rFonts w:asciiTheme="minorHAnsi" w:hAnsiTheme="minorHAnsi" w:cstheme="minorHAnsi"/>
        </w:rPr>
      </w:pPr>
    </w:p>
    <w:p w14:paraId="6E1C4095" w14:textId="77777777" w:rsidR="008E58FB" w:rsidRPr="00145243" w:rsidRDefault="008E58FB" w:rsidP="00835001">
      <w:pPr>
        <w:spacing w:line="276" w:lineRule="auto"/>
        <w:jc w:val="both"/>
        <w:rPr>
          <w:rFonts w:asciiTheme="minorHAnsi" w:hAnsiTheme="minorHAnsi" w:cstheme="minorHAnsi"/>
          <w:b/>
        </w:rPr>
      </w:pPr>
      <w:r w:rsidRPr="00145243">
        <w:rPr>
          <w:rFonts w:asciiTheme="minorHAnsi" w:hAnsiTheme="minorHAnsi" w:cstheme="minorHAnsi"/>
          <w:b/>
        </w:rPr>
        <w:t xml:space="preserve">Periodic Review / Delisting </w:t>
      </w:r>
    </w:p>
    <w:p w14:paraId="4CE679E2" w14:textId="77777777" w:rsidR="008E58FB" w:rsidRPr="00835001" w:rsidRDefault="008E58FB" w:rsidP="00835001">
      <w:pPr>
        <w:spacing w:line="276" w:lineRule="auto"/>
        <w:jc w:val="both"/>
        <w:rPr>
          <w:rFonts w:asciiTheme="minorHAnsi" w:hAnsiTheme="minorHAnsi" w:cstheme="minorHAnsi"/>
          <w:i/>
        </w:rPr>
      </w:pPr>
    </w:p>
    <w:p w14:paraId="65716DF7" w14:textId="77777777" w:rsidR="00AD64AB" w:rsidRPr="001D7B78" w:rsidRDefault="00AD64AB" w:rsidP="00AD64AB">
      <w:pPr>
        <w:pStyle w:val="ListParagraph"/>
        <w:numPr>
          <w:ilvl w:val="0"/>
          <w:numId w:val="12"/>
        </w:numPr>
        <w:spacing w:after="0" w:line="276" w:lineRule="auto"/>
        <w:jc w:val="both"/>
        <w:rPr>
          <w:rFonts w:cstheme="minorHAnsi"/>
        </w:rPr>
      </w:pPr>
      <w:r w:rsidRPr="00E73D30">
        <w:rPr>
          <w:rFonts w:cstheme="minorHAnsi"/>
          <w:b/>
          <w:bCs/>
        </w:rPr>
        <w:t>Section 24</w:t>
      </w:r>
      <w:r w:rsidRPr="001D7B78">
        <w:rPr>
          <w:rFonts w:cstheme="minorHAnsi"/>
        </w:rPr>
        <w:t xml:space="preserve"> requires the government to conduct a periodic review of sanctions regulations made under section 1 of SAMLA and any ‘qualifying designations’ made by an appropriate minister. </w:t>
      </w:r>
      <w:r>
        <w:rPr>
          <w:rFonts w:cstheme="minorHAnsi"/>
        </w:rPr>
        <w:t>“</w:t>
      </w:r>
      <w:r w:rsidRPr="00FC7529">
        <w:rPr>
          <w:rFonts w:cstheme="minorHAnsi"/>
        </w:rPr>
        <w:t>Quali</w:t>
      </w:r>
      <w:r w:rsidRPr="001D7B78">
        <w:rPr>
          <w:rFonts w:cstheme="minorHAnsi"/>
        </w:rPr>
        <w:t>f</w:t>
      </w:r>
      <w:r w:rsidRPr="00FC7529">
        <w:rPr>
          <w:rFonts w:cstheme="minorHAnsi"/>
        </w:rPr>
        <w:t>ying designations</w:t>
      </w:r>
      <w:r>
        <w:rPr>
          <w:rFonts w:cstheme="minorHAnsi"/>
        </w:rPr>
        <w:t>”</w:t>
      </w:r>
      <w:r w:rsidRPr="00FC7529">
        <w:rPr>
          <w:rFonts w:cstheme="minorHAnsi"/>
        </w:rPr>
        <w:t xml:space="preserve"> are set out in s. 24(3). </w:t>
      </w:r>
    </w:p>
    <w:p w14:paraId="4B948208" w14:textId="77777777" w:rsidR="00AD64AB" w:rsidRPr="001D7B78" w:rsidRDefault="00AD64AB" w:rsidP="00AD64AB">
      <w:pPr>
        <w:pStyle w:val="ListParagraph"/>
        <w:spacing w:after="0" w:line="276" w:lineRule="auto"/>
        <w:jc w:val="both"/>
        <w:rPr>
          <w:rFonts w:cstheme="minorHAnsi"/>
        </w:rPr>
      </w:pPr>
    </w:p>
    <w:p w14:paraId="1B4D5CED" w14:textId="77777777" w:rsidR="00AD64AB" w:rsidRPr="001D7B78" w:rsidRDefault="00AD64AB" w:rsidP="00AD64AB">
      <w:pPr>
        <w:pStyle w:val="ListParagraph"/>
        <w:numPr>
          <w:ilvl w:val="0"/>
          <w:numId w:val="12"/>
        </w:numPr>
        <w:spacing w:after="0" w:line="276" w:lineRule="auto"/>
        <w:jc w:val="both"/>
        <w:rPr>
          <w:rFonts w:cstheme="minorHAnsi"/>
        </w:rPr>
      </w:pPr>
      <w:r w:rsidRPr="001D7B78">
        <w:rPr>
          <w:rFonts w:cstheme="minorHAnsi"/>
        </w:rPr>
        <w:t>The appropriate minister must review each qualifying designation and decide whether to revoke, vary or take no action with it.</w:t>
      </w:r>
      <w:r w:rsidRPr="001D7B78">
        <w:rPr>
          <w:rStyle w:val="FootnoteReference"/>
          <w:rFonts w:cstheme="minorHAnsi"/>
        </w:rPr>
        <w:footnoteReference w:id="9"/>
      </w:r>
      <w:r w:rsidRPr="001D7B78">
        <w:rPr>
          <w:rFonts w:cstheme="minorHAnsi"/>
        </w:rPr>
        <w:t xml:space="preserve"> A review must occur within three years of a qualifying designation being made. After this initial review, a fu</w:t>
      </w:r>
      <w:r w:rsidRPr="00FC7529">
        <w:rPr>
          <w:rFonts w:cstheme="minorHAnsi"/>
        </w:rPr>
        <w:t>rther review must be conducted within three years of the preceding review, for as long as the designation remains in place.</w:t>
      </w:r>
      <w:r w:rsidRPr="001D7B78">
        <w:rPr>
          <w:rStyle w:val="FootnoteReference"/>
          <w:rFonts w:cstheme="minorHAnsi"/>
        </w:rPr>
        <w:footnoteReference w:id="10"/>
      </w:r>
    </w:p>
    <w:p w14:paraId="01F2B8C8" w14:textId="77777777" w:rsidR="00AD64AB" w:rsidRPr="001D7B78" w:rsidRDefault="00AD64AB" w:rsidP="00AD64AB">
      <w:pPr>
        <w:spacing w:line="276" w:lineRule="auto"/>
        <w:jc w:val="both"/>
        <w:rPr>
          <w:rFonts w:asciiTheme="minorHAnsi" w:hAnsiTheme="minorHAnsi" w:cstheme="minorHAnsi"/>
        </w:rPr>
      </w:pPr>
    </w:p>
    <w:p w14:paraId="57A78B79" w14:textId="77777777" w:rsidR="00AD64AB" w:rsidRPr="001D7B78" w:rsidRDefault="00AD64AB" w:rsidP="00AD64AB">
      <w:pPr>
        <w:spacing w:line="276" w:lineRule="auto"/>
        <w:jc w:val="both"/>
        <w:rPr>
          <w:rFonts w:asciiTheme="minorHAnsi" w:hAnsiTheme="minorHAnsi" w:cstheme="minorHAnsi"/>
          <w:i/>
        </w:rPr>
      </w:pPr>
    </w:p>
    <w:p w14:paraId="519E915A" w14:textId="77777777" w:rsidR="00AD64AB" w:rsidRPr="001D7B78" w:rsidRDefault="00AD64AB" w:rsidP="00AD64AB">
      <w:pPr>
        <w:spacing w:line="276" w:lineRule="auto"/>
        <w:jc w:val="both"/>
        <w:rPr>
          <w:rFonts w:asciiTheme="minorHAnsi" w:hAnsiTheme="minorHAnsi" w:cstheme="minorHAnsi"/>
          <w:i/>
        </w:rPr>
      </w:pPr>
    </w:p>
    <w:p w14:paraId="4B3B05DB" w14:textId="77777777" w:rsidR="00AD64AB" w:rsidRPr="001D7B78" w:rsidRDefault="00AD64AB" w:rsidP="00AD64AB">
      <w:pPr>
        <w:spacing w:line="276" w:lineRule="auto"/>
        <w:jc w:val="both"/>
        <w:rPr>
          <w:rFonts w:asciiTheme="minorHAnsi" w:hAnsiTheme="minorHAnsi" w:cstheme="minorHAnsi"/>
          <w:i/>
        </w:rPr>
      </w:pPr>
    </w:p>
    <w:p w14:paraId="325C8C6F" w14:textId="77777777" w:rsidR="00AD64AB" w:rsidRPr="001D7B78" w:rsidRDefault="00AD64AB" w:rsidP="00AD64AB">
      <w:pPr>
        <w:spacing w:line="276" w:lineRule="auto"/>
        <w:jc w:val="both"/>
        <w:rPr>
          <w:rFonts w:asciiTheme="minorHAnsi" w:hAnsiTheme="minorHAnsi" w:cstheme="minorHAnsi"/>
          <w:i/>
        </w:rPr>
      </w:pPr>
    </w:p>
    <w:p w14:paraId="23844B0E" w14:textId="77777777" w:rsidR="00AD64AB" w:rsidRPr="00E73D30" w:rsidRDefault="00AD64AB" w:rsidP="00AD64AB">
      <w:pPr>
        <w:spacing w:line="276" w:lineRule="auto"/>
        <w:jc w:val="both"/>
        <w:rPr>
          <w:rFonts w:asciiTheme="minorHAnsi" w:hAnsiTheme="minorHAnsi" w:cstheme="minorHAnsi"/>
          <w:b/>
        </w:rPr>
      </w:pPr>
      <w:r w:rsidRPr="00E73D30">
        <w:rPr>
          <w:rFonts w:asciiTheme="minorHAnsi" w:hAnsiTheme="minorHAnsi" w:cstheme="minorHAnsi"/>
          <w:b/>
        </w:rPr>
        <w:t>Court review of government / minister’s decisions</w:t>
      </w:r>
    </w:p>
    <w:p w14:paraId="25400B90" w14:textId="77777777" w:rsidR="00AD64AB" w:rsidRPr="001D7B78" w:rsidRDefault="00AD64AB" w:rsidP="00AD64AB">
      <w:pPr>
        <w:spacing w:line="276" w:lineRule="auto"/>
        <w:jc w:val="both"/>
        <w:rPr>
          <w:rFonts w:asciiTheme="minorHAnsi" w:hAnsiTheme="minorHAnsi" w:cstheme="minorHAnsi"/>
          <w:i/>
        </w:rPr>
      </w:pPr>
    </w:p>
    <w:p w14:paraId="250864FC" w14:textId="77777777" w:rsidR="00AD64AB" w:rsidRPr="001D7B78" w:rsidRDefault="00AD64AB" w:rsidP="00AD64AB">
      <w:pPr>
        <w:pStyle w:val="ListParagraph"/>
        <w:numPr>
          <w:ilvl w:val="0"/>
          <w:numId w:val="12"/>
        </w:numPr>
        <w:spacing w:after="0" w:line="276" w:lineRule="auto"/>
        <w:jc w:val="both"/>
        <w:rPr>
          <w:rFonts w:cstheme="minorHAnsi"/>
        </w:rPr>
      </w:pPr>
      <w:r w:rsidRPr="00E73D30">
        <w:rPr>
          <w:rFonts w:cstheme="minorHAnsi"/>
          <w:b/>
          <w:bCs/>
        </w:rPr>
        <w:t>Section 38</w:t>
      </w:r>
      <w:r w:rsidRPr="00FC7529">
        <w:rPr>
          <w:rFonts w:cstheme="minorHAnsi"/>
          <w:bCs/>
        </w:rPr>
        <w:t xml:space="preserve"> provides</w:t>
      </w:r>
      <w:r w:rsidRPr="001D7B78">
        <w:rPr>
          <w:rFonts w:cstheme="minorHAnsi"/>
        </w:rPr>
        <w:t xml:space="preserve"> designated persons a route to challenge government decisions in the High Court, or in Scotland, the Court of Session.</w:t>
      </w:r>
      <w:r w:rsidRPr="001D7B78">
        <w:rPr>
          <w:rStyle w:val="FootnoteReference"/>
          <w:rFonts w:cstheme="minorHAnsi"/>
        </w:rPr>
        <w:footnoteReference w:id="11"/>
      </w:r>
      <w:r w:rsidRPr="001D7B78">
        <w:rPr>
          <w:rFonts w:cstheme="minorHAnsi"/>
        </w:rPr>
        <w:t xml:space="preserve"> Before doing so, a designated person must first exhaust the administrative process in</w:t>
      </w:r>
      <w:r w:rsidRPr="00FC7529">
        <w:rPr>
          <w:rFonts w:cstheme="minorHAnsi"/>
        </w:rPr>
        <w:t xml:space="preserve"> Chapter 2 of SAMLA.</w:t>
      </w:r>
    </w:p>
    <w:p w14:paraId="4E16F0F0" w14:textId="77777777" w:rsidR="00AD64AB" w:rsidRPr="001D7B78" w:rsidRDefault="00AD64AB" w:rsidP="00AD64AB">
      <w:pPr>
        <w:spacing w:line="276" w:lineRule="auto"/>
        <w:jc w:val="both"/>
        <w:rPr>
          <w:rFonts w:asciiTheme="minorHAnsi" w:hAnsiTheme="minorHAnsi" w:cstheme="minorHAnsi"/>
        </w:rPr>
      </w:pPr>
    </w:p>
    <w:p w14:paraId="6125F569" w14:textId="77777777" w:rsidR="00AD64AB" w:rsidRPr="00FC7529" w:rsidRDefault="00AD64AB" w:rsidP="00AD64AB">
      <w:pPr>
        <w:pStyle w:val="ListParagraph"/>
        <w:numPr>
          <w:ilvl w:val="0"/>
          <w:numId w:val="12"/>
        </w:numPr>
        <w:spacing w:after="0" w:line="276" w:lineRule="auto"/>
        <w:jc w:val="both"/>
        <w:rPr>
          <w:rFonts w:cstheme="minorHAnsi"/>
        </w:rPr>
      </w:pPr>
      <w:r w:rsidRPr="001D7B78">
        <w:rPr>
          <w:rFonts w:cstheme="minorHAnsi"/>
        </w:rPr>
        <w:t>Section 38(1) sets out which decisions can be challenged in court. These include: i) an administrative reassessment of a UK designation under s. 23; ii) a UK government review of a UK designation, under s. 24; iii) an administrative reassessment of a UN designation, under s</w:t>
      </w:r>
      <w:r w:rsidRPr="00FC7529">
        <w:rPr>
          <w:rFonts w:cstheme="minorHAnsi"/>
        </w:rPr>
        <w:t>.</w:t>
      </w:r>
      <w:r>
        <w:rPr>
          <w:rFonts w:cstheme="minorHAnsi"/>
        </w:rPr>
        <w:t> </w:t>
      </w:r>
      <w:r w:rsidRPr="00FC7529">
        <w:rPr>
          <w:rFonts w:cstheme="minorHAnsi"/>
        </w:rPr>
        <w:t>25; iv) an administrative reassessme</w:t>
      </w:r>
      <w:r w:rsidRPr="001D7B78">
        <w:rPr>
          <w:rFonts w:cstheme="minorHAnsi"/>
        </w:rPr>
        <w:t>nt of a retained EU designation, under ss. 36 or 37; v) an administrative reassessment of a UK-specified ship, under s. 27; vi) a UK government review of a UK-specified ship, under s. 28; vii) an administrative reassessment of a UN-specified ship, under s. 29.</w:t>
      </w:r>
      <w:r w:rsidRPr="001D7B78">
        <w:rPr>
          <w:rStyle w:val="FootnoteReference"/>
          <w:rFonts w:cstheme="minorHAnsi"/>
        </w:rPr>
        <w:footnoteReference w:id="12"/>
      </w:r>
      <w:r w:rsidRPr="001D7B78">
        <w:rPr>
          <w:rFonts w:cstheme="minorHAnsi"/>
        </w:rPr>
        <w:t xml:space="preserve"> Designations to implement UN sanctions are </w:t>
      </w:r>
      <w:r w:rsidRPr="001D7B78">
        <w:rPr>
          <w:rFonts w:cstheme="minorHAnsi"/>
          <w:u w:val="single"/>
        </w:rPr>
        <w:t>not</w:t>
      </w:r>
      <w:r w:rsidRPr="001D7B78">
        <w:rPr>
          <w:rFonts w:cstheme="minorHAnsi"/>
        </w:rPr>
        <w:t xml:space="preserve"> within the scope of this procedure. </w:t>
      </w:r>
    </w:p>
    <w:p w14:paraId="0844AF44" w14:textId="77777777" w:rsidR="00AD64AB" w:rsidRPr="001D7B78" w:rsidRDefault="00AD64AB" w:rsidP="00AD64AB">
      <w:pPr>
        <w:spacing w:line="276" w:lineRule="auto"/>
        <w:jc w:val="both"/>
        <w:rPr>
          <w:rFonts w:asciiTheme="minorHAnsi" w:hAnsiTheme="minorHAnsi" w:cstheme="minorHAnsi"/>
        </w:rPr>
      </w:pPr>
    </w:p>
    <w:p w14:paraId="4E046951" w14:textId="77777777" w:rsidR="00AD64AB" w:rsidRPr="001D7B78" w:rsidRDefault="00AD64AB" w:rsidP="00AD64AB">
      <w:pPr>
        <w:pStyle w:val="ListParagraph"/>
        <w:numPr>
          <w:ilvl w:val="0"/>
          <w:numId w:val="12"/>
        </w:numPr>
        <w:spacing w:after="0" w:line="276" w:lineRule="auto"/>
        <w:jc w:val="both"/>
        <w:rPr>
          <w:rFonts w:cstheme="minorHAnsi"/>
        </w:rPr>
      </w:pPr>
      <w:r w:rsidRPr="001D7B78">
        <w:rPr>
          <w:rFonts w:cstheme="minorHAnsi"/>
        </w:rPr>
        <w:t>When considering an application brought under s. 38 of SAMLA, the courts will apply the principles applicable on an application for judicial review (s 38(4</w:t>
      </w:r>
      <w:r w:rsidRPr="00FC7529">
        <w:rPr>
          <w:rFonts w:cstheme="minorHAnsi"/>
        </w:rPr>
        <w:t>)</w:t>
      </w:r>
      <w:r>
        <w:rPr>
          <w:rFonts w:cstheme="minorHAnsi"/>
        </w:rPr>
        <w:t>)</w:t>
      </w:r>
      <w:r w:rsidRPr="00FC7529">
        <w:rPr>
          <w:rFonts w:cstheme="minorHAnsi"/>
        </w:rPr>
        <w:t xml:space="preserve">. </w:t>
      </w:r>
      <w:r w:rsidRPr="001D7B78">
        <w:rPr>
          <w:rFonts w:cstheme="minorHAnsi"/>
        </w:rPr>
        <w:t xml:space="preserve">However, the power to award damages </w:t>
      </w:r>
      <w:r w:rsidRPr="00FC7529">
        <w:rPr>
          <w:rFonts w:cstheme="minorHAnsi"/>
        </w:rPr>
        <w:t>is limited to cases of negligence or bad faith.</w:t>
      </w:r>
      <w:r w:rsidRPr="001D7B78">
        <w:rPr>
          <w:rStyle w:val="FootnoteReference"/>
          <w:rFonts w:cstheme="minorHAnsi"/>
        </w:rPr>
        <w:footnoteReference w:id="13"/>
      </w:r>
    </w:p>
    <w:p w14:paraId="1A492950" w14:textId="77777777" w:rsidR="00AD64AB" w:rsidRPr="00FC7529" w:rsidRDefault="00AD64AB" w:rsidP="00AD64AB">
      <w:pPr>
        <w:spacing w:line="276" w:lineRule="auto"/>
        <w:jc w:val="both"/>
        <w:rPr>
          <w:rFonts w:asciiTheme="minorHAnsi" w:hAnsiTheme="minorHAnsi" w:cstheme="minorHAnsi"/>
        </w:rPr>
      </w:pPr>
    </w:p>
    <w:p w14:paraId="03C29039" w14:textId="77777777" w:rsidR="00AD64AB" w:rsidRPr="001D7B78" w:rsidRDefault="00AD64AB" w:rsidP="00AD64AB">
      <w:pPr>
        <w:pStyle w:val="ListParagraph"/>
        <w:numPr>
          <w:ilvl w:val="0"/>
          <w:numId w:val="12"/>
        </w:numPr>
        <w:spacing w:after="0" w:line="276" w:lineRule="auto"/>
        <w:jc w:val="both"/>
        <w:rPr>
          <w:rFonts w:cstheme="minorHAnsi"/>
        </w:rPr>
      </w:pPr>
      <w:r w:rsidRPr="001D7B78">
        <w:rPr>
          <w:rFonts w:cstheme="minorHAnsi"/>
        </w:rPr>
        <w:t>Also provision for Closed Material Proceedings (“CMPs”), closely modelled on those applicable in financial restrictions proceedings pursuant to Counter-Terrorism Act 2008.</w:t>
      </w:r>
      <w:r w:rsidRPr="001D7B78">
        <w:rPr>
          <w:rStyle w:val="FootnoteReference"/>
          <w:rFonts w:cstheme="minorHAnsi"/>
        </w:rPr>
        <w:footnoteReference w:id="14"/>
      </w:r>
    </w:p>
    <w:p w14:paraId="5A2389FC" w14:textId="77777777" w:rsidR="00AD64AB" w:rsidRPr="00835001" w:rsidRDefault="00AD64AB" w:rsidP="00AD64AB">
      <w:pPr>
        <w:pStyle w:val="ListParagraph"/>
        <w:spacing w:after="0" w:line="276" w:lineRule="auto"/>
        <w:rPr>
          <w:rFonts w:cstheme="minorHAnsi"/>
        </w:rPr>
      </w:pPr>
    </w:p>
    <w:p w14:paraId="2D7B88C3" w14:textId="59AF49C8" w:rsidR="008E58FB" w:rsidRPr="00835001" w:rsidRDefault="008E58FB" w:rsidP="00835001">
      <w:pPr>
        <w:pStyle w:val="ListParagraph"/>
        <w:spacing w:after="0" w:line="276" w:lineRule="auto"/>
        <w:rPr>
          <w:rFonts w:cstheme="minorHAnsi"/>
        </w:rPr>
      </w:pPr>
    </w:p>
    <w:p w14:paraId="43410AAD" w14:textId="2E5EE407" w:rsidR="002A3FEB" w:rsidRPr="00835001" w:rsidRDefault="002A3FEB" w:rsidP="00835001">
      <w:pPr>
        <w:spacing w:after="160" w:line="276" w:lineRule="auto"/>
        <w:rPr>
          <w:rFonts w:asciiTheme="minorHAnsi" w:hAnsiTheme="minorHAnsi" w:cstheme="minorHAnsi"/>
        </w:rPr>
      </w:pPr>
      <w:r w:rsidRPr="00835001">
        <w:rPr>
          <w:rFonts w:cstheme="minorHAnsi"/>
        </w:rPr>
        <w:br w:type="page"/>
      </w:r>
    </w:p>
    <w:p w14:paraId="773A6399" w14:textId="1529CBCC" w:rsidR="008E58FB" w:rsidRPr="00D35AB9" w:rsidRDefault="002A3FEB" w:rsidP="002A3FEB">
      <w:pPr>
        <w:pStyle w:val="ListParagraph"/>
        <w:spacing w:after="0" w:line="360" w:lineRule="auto"/>
        <w:jc w:val="center"/>
        <w:rPr>
          <w:rFonts w:cstheme="minorHAnsi"/>
          <w:b/>
          <w:color w:val="0070C0"/>
          <w:sz w:val="32"/>
          <w:szCs w:val="32"/>
        </w:rPr>
      </w:pPr>
      <w:r w:rsidRPr="00D35AB9">
        <w:rPr>
          <w:rFonts w:cstheme="minorHAnsi"/>
          <w:b/>
          <w:color w:val="0070C0"/>
          <w:sz w:val="32"/>
          <w:szCs w:val="32"/>
        </w:rPr>
        <w:lastRenderedPageBreak/>
        <w:t>UK GLOBAL HUMAN RIGHTS SANCTIONS</w:t>
      </w:r>
    </w:p>
    <w:p w14:paraId="160BDEB8" w14:textId="77777777" w:rsidR="008E58FB" w:rsidRPr="00835001" w:rsidRDefault="008E58FB" w:rsidP="00835001">
      <w:pPr>
        <w:pStyle w:val="ListParagraph"/>
        <w:spacing w:after="0" w:line="276" w:lineRule="auto"/>
        <w:jc w:val="both"/>
        <w:rPr>
          <w:rFonts w:cstheme="minorHAnsi"/>
          <w:b/>
          <w:u w:val="single"/>
        </w:rPr>
      </w:pPr>
    </w:p>
    <w:p w14:paraId="606BEF51" w14:textId="015B2723" w:rsidR="008E58FB" w:rsidRPr="00835001" w:rsidRDefault="008E58FB" w:rsidP="00835001">
      <w:pPr>
        <w:pStyle w:val="ListParagraph"/>
        <w:numPr>
          <w:ilvl w:val="0"/>
          <w:numId w:val="18"/>
        </w:numPr>
        <w:spacing w:line="276" w:lineRule="auto"/>
        <w:jc w:val="both"/>
        <w:rPr>
          <w:rFonts w:cstheme="minorHAnsi"/>
        </w:rPr>
      </w:pPr>
      <w:r w:rsidRPr="00835001">
        <w:rPr>
          <w:rFonts w:cstheme="minorHAnsi"/>
        </w:rPr>
        <w:t>The regime is set out in Global Human Rights Sanctions Regulations 2020. The Regulations can be used to impose sanctions for serious violations and abuses of: i) an individual’s right to life; ii) the right not to be subjected to torture or cruel, inhuman or degrading treatment or punishment; or iii) the right to be free from slavery, not to be held in servitude or required to perform forced or compulsory labour.</w:t>
      </w:r>
      <w:r w:rsidRPr="00835001">
        <w:rPr>
          <w:rStyle w:val="FootnoteReference"/>
          <w:rFonts w:cstheme="minorHAnsi"/>
        </w:rPr>
        <w:footnoteReference w:id="15"/>
      </w:r>
    </w:p>
    <w:p w14:paraId="27C8D24A" w14:textId="77777777" w:rsidR="008E58FB" w:rsidRPr="00835001" w:rsidRDefault="008E58FB" w:rsidP="00835001">
      <w:pPr>
        <w:pStyle w:val="ListParagraph"/>
        <w:spacing w:line="276" w:lineRule="auto"/>
        <w:rPr>
          <w:rFonts w:cstheme="minorHAnsi"/>
        </w:rPr>
      </w:pPr>
    </w:p>
    <w:p w14:paraId="5E382EE2" w14:textId="77777777" w:rsidR="008E58FB" w:rsidRPr="00835001" w:rsidRDefault="008E58FB" w:rsidP="00835001">
      <w:pPr>
        <w:pStyle w:val="ListParagraph"/>
        <w:numPr>
          <w:ilvl w:val="0"/>
          <w:numId w:val="18"/>
        </w:numPr>
        <w:spacing w:after="0" w:line="276" w:lineRule="auto"/>
        <w:jc w:val="both"/>
        <w:rPr>
          <w:rFonts w:cstheme="minorHAnsi"/>
        </w:rPr>
      </w:pPr>
      <w:r w:rsidRPr="00835001">
        <w:rPr>
          <w:rFonts w:cstheme="minorHAnsi"/>
        </w:rPr>
        <w:t>A person may be designated by the Secretary of State under the Regulation if he has “reasonable grounds to suspect that that person is an involved person” and “considers that the designation of that person is appropriate”.</w:t>
      </w:r>
      <w:r w:rsidRPr="00835001">
        <w:rPr>
          <w:rStyle w:val="FootnoteReference"/>
          <w:rFonts w:cstheme="minorHAnsi"/>
        </w:rPr>
        <w:footnoteReference w:id="16"/>
      </w:r>
      <w:r w:rsidRPr="00835001">
        <w:rPr>
          <w:rFonts w:cstheme="minorHAnsi"/>
        </w:rPr>
        <w:t xml:space="preserve"> An “involved person” is someone who i) is or has been involved with one of the above abuses; ii) is owned or controlled directly or indirectly by a person who is or has been so involved; iii) is acting on behalf of or at the direction of a person who has been so involved; iv) is a member of, or associated with, a person who has been so involved.</w:t>
      </w:r>
      <w:r w:rsidRPr="00835001">
        <w:rPr>
          <w:rStyle w:val="FootnoteReference"/>
          <w:rFonts w:cstheme="minorHAnsi"/>
        </w:rPr>
        <w:footnoteReference w:id="17"/>
      </w:r>
    </w:p>
    <w:p w14:paraId="2C6B7150" w14:textId="77777777" w:rsidR="008E58FB" w:rsidRPr="00835001" w:rsidRDefault="008E58FB" w:rsidP="00835001">
      <w:pPr>
        <w:pStyle w:val="ListParagraph"/>
        <w:spacing w:line="276" w:lineRule="auto"/>
        <w:rPr>
          <w:rFonts w:cstheme="minorHAnsi"/>
        </w:rPr>
      </w:pPr>
    </w:p>
    <w:p w14:paraId="30E6E267" w14:textId="77777777" w:rsidR="008E58FB" w:rsidRPr="00835001" w:rsidRDefault="008E58FB" w:rsidP="00835001">
      <w:pPr>
        <w:pStyle w:val="ListParagraph"/>
        <w:numPr>
          <w:ilvl w:val="0"/>
          <w:numId w:val="18"/>
        </w:numPr>
        <w:spacing w:after="0" w:line="276" w:lineRule="auto"/>
        <w:jc w:val="both"/>
        <w:rPr>
          <w:rFonts w:cstheme="minorHAnsi"/>
        </w:rPr>
      </w:pPr>
      <w:r w:rsidRPr="00835001">
        <w:rPr>
          <w:rFonts w:cstheme="minorHAnsi"/>
        </w:rPr>
        <w:t>The UK Regulations prevent anyone from dealing with funds or economic resources owned, held or controlled by a designated person if that person knows, or has reasonable cause to suspect, that they are dealing with such funds.</w:t>
      </w:r>
      <w:r w:rsidRPr="00835001">
        <w:rPr>
          <w:rStyle w:val="FootnoteReference"/>
          <w:rFonts w:cstheme="minorHAnsi"/>
        </w:rPr>
        <w:footnoteReference w:id="18"/>
      </w:r>
    </w:p>
    <w:p w14:paraId="2488692E" w14:textId="77777777" w:rsidR="008E58FB" w:rsidRPr="00835001" w:rsidRDefault="008E58FB" w:rsidP="00835001">
      <w:pPr>
        <w:pStyle w:val="ListParagraph"/>
        <w:spacing w:line="276" w:lineRule="auto"/>
        <w:rPr>
          <w:rFonts w:cstheme="minorHAnsi"/>
        </w:rPr>
      </w:pPr>
    </w:p>
    <w:p w14:paraId="2037C26F" w14:textId="77777777" w:rsidR="008E58FB" w:rsidRPr="00835001" w:rsidRDefault="008E58FB" w:rsidP="00835001">
      <w:pPr>
        <w:pStyle w:val="ListParagraph"/>
        <w:numPr>
          <w:ilvl w:val="0"/>
          <w:numId w:val="18"/>
        </w:numPr>
        <w:spacing w:after="0" w:line="276" w:lineRule="auto"/>
        <w:jc w:val="both"/>
        <w:rPr>
          <w:rFonts w:cstheme="minorHAnsi"/>
        </w:rPr>
      </w:pPr>
      <w:r w:rsidRPr="00835001">
        <w:rPr>
          <w:rFonts w:cstheme="minorHAnsi"/>
        </w:rPr>
        <w:t xml:space="preserve">Exceptions and licenses to the asset freeze requirements are set out in Part 5 of the Regulations. </w:t>
      </w:r>
    </w:p>
    <w:p w14:paraId="162AE30F" w14:textId="77777777" w:rsidR="008E58FB" w:rsidRPr="00835001" w:rsidRDefault="008E58FB" w:rsidP="00835001">
      <w:pPr>
        <w:pStyle w:val="ListParagraph"/>
        <w:spacing w:line="276" w:lineRule="auto"/>
        <w:rPr>
          <w:rFonts w:cstheme="minorHAnsi"/>
        </w:rPr>
      </w:pPr>
    </w:p>
    <w:p w14:paraId="06557BE9" w14:textId="77777777" w:rsidR="008E58FB" w:rsidRPr="00835001" w:rsidRDefault="008E58FB" w:rsidP="00835001">
      <w:pPr>
        <w:pStyle w:val="ListParagraph"/>
        <w:numPr>
          <w:ilvl w:val="0"/>
          <w:numId w:val="18"/>
        </w:numPr>
        <w:spacing w:after="0" w:line="276" w:lineRule="auto"/>
        <w:jc w:val="both"/>
        <w:rPr>
          <w:rFonts w:cstheme="minorHAnsi"/>
        </w:rPr>
      </w:pPr>
      <w:r w:rsidRPr="00835001">
        <w:rPr>
          <w:rFonts w:cstheme="minorHAnsi"/>
        </w:rPr>
        <w:t xml:space="preserve">First set of listings published on 6 July 2020, with additional designations made on 29 September 2020 (in response to serious human rights violations in Belarus) and 10 December 2020 (re: Venezuela, Russia, the Gambia and Pakistan). </w:t>
      </w:r>
    </w:p>
    <w:p w14:paraId="187F5BBC" w14:textId="77777777" w:rsidR="008E58FB" w:rsidRPr="00835001" w:rsidRDefault="008E58FB" w:rsidP="00835001">
      <w:pPr>
        <w:pStyle w:val="ListParagraph"/>
        <w:spacing w:line="276" w:lineRule="auto"/>
        <w:rPr>
          <w:rFonts w:cstheme="minorHAnsi"/>
        </w:rPr>
      </w:pPr>
    </w:p>
    <w:p w14:paraId="69B53313" w14:textId="169A7244" w:rsidR="008E58FB" w:rsidRPr="00835001" w:rsidRDefault="008E58FB" w:rsidP="00835001">
      <w:pPr>
        <w:pStyle w:val="ListParagraph"/>
        <w:spacing w:line="276" w:lineRule="auto"/>
        <w:jc w:val="right"/>
        <w:rPr>
          <w:rFonts w:cstheme="minorHAnsi"/>
        </w:rPr>
      </w:pPr>
    </w:p>
    <w:p w14:paraId="3E1E5513" w14:textId="2CB2807C" w:rsidR="008E58FB" w:rsidRPr="0005708B" w:rsidRDefault="008E58FB" w:rsidP="00C15828">
      <w:pPr>
        <w:pStyle w:val="ListParagraph"/>
        <w:spacing w:line="276" w:lineRule="auto"/>
        <w:jc w:val="right"/>
        <w:rPr>
          <w:rFonts w:cstheme="minorHAnsi"/>
          <w:sz w:val="24"/>
          <w:szCs w:val="24"/>
        </w:rPr>
      </w:pPr>
    </w:p>
    <w:p w14:paraId="2A49BB70" w14:textId="77777777" w:rsidR="00835001" w:rsidRDefault="00835001" w:rsidP="002A3FEB">
      <w:pPr>
        <w:spacing w:after="240" w:line="276" w:lineRule="auto"/>
        <w:jc w:val="center"/>
        <w:rPr>
          <w:rFonts w:asciiTheme="minorHAnsi" w:hAnsiTheme="minorHAnsi" w:cstheme="minorHAnsi"/>
          <w:b/>
          <w:bCs/>
          <w:sz w:val="24"/>
          <w:szCs w:val="24"/>
        </w:rPr>
      </w:pPr>
    </w:p>
    <w:p w14:paraId="1789E8ED" w14:textId="77777777" w:rsidR="00835001" w:rsidRDefault="00835001" w:rsidP="002A3FEB">
      <w:pPr>
        <w:spacing w:after="240" w:line="276" w:lineRule="auto"/>
        <w:jc w:val="center"/>
        <w:rPr>
          <w:rFonts w:asciiTheme="minorHAnsi" w:hAnsiTheme="minorHAnsi" w:cstheme="minorHAnsi"/>
          <w:b/>
          <w:bCs/>
          <w:sz w:val="24"/>
          <w:szCs w:val="24"/>
        </w:rPr>
      </w:pPr>
    </w:p>
    <w:p w14:paraId="2E86ADFF" w14:textId="77777777" w:rsidR="00835001" w:rsidRDefault="00835001" w:rsidP="002A3FEB">
      <w:pPr>
        <w:spacing w:after="240" w:line="276" w:lineRule="auto"/>
        <w:jc w:val="center"/>
        <w:rPr>
          <w:rFonts w:asciiTheme="minorHAnsi" w:hAnsiTheme="minorHAnsi" w:cstheme="minorHAnsi"/>
          <w:b/>
          <w:bCs/>
          <w:sz w:val="24"/>
          <w:szCs w:val="24"/>
        </w:rPr>
      </w:pPr>
    </w:p>
    <w:p w14:paraId="6A375B2A" w14:textId="77777777" w:rsidR="00835001" w:rsidRDefault="00835001" w:rsidP="002A3FEB">
      <w:pPr>
        <w:spacing w:after="240" w:line="276" w:lineRule="auto"/>
        <w:jc w:val="center"/>
        <w:rPr>
          <w:rFonts w:asciiTheme="minorHAnsi" w:hAnsiTheme="minorHAnsi" w:cstheme="minorHAnsi"/>
          <w:b/>
          <w:bCs/>
          <w:sz w:val="24"/>
          <w:szCs w:val="24"/>
        </w:rPr>
      </w:pPr>
    </w:p>
    <w:p w14:paraId="6A163523" w14:textId="77777777" w:rsidR="00835001" w:rsidRDefault="00835001" w:rsidP="002A3FEB">
      <w:pPr>
        <w:spacing w:after="240" w:line="276" w:lineRule="auto"/>
        <w:jc w:val="center"/>
        <w:rPr>
          <w:rFonts w:asciiTheme="minorHAnsi" w:hAnsiTheme="minorHAnsi" w:cstheme="minorHAnsi"/>
          <w:b/>
          <w:bCs/>
          <w:sz w:val="24"/>
          <w:szCs w:val="24"/>
        </w:rPr>
      </w:pPr>
    </w:p>
    <w:p w14:paraId="3B49E4CB" w14:textId="39BEDC4C" w:rsidR="008E58FB" w:rsidRPr="00D35AB9" w:rsidRDefault="002A3FEB" w:rsidP="002A3FEB">
      <w:pPr>
        <w:spacing w:after="240" w:line="276" w:lineRule="auto"/>
        <w:jc w:val="center"/>
        <w:rPr>
          <w:rFonts w:asciiTheme="minorHAnsi" w:hAnsiTheme="minorHAnsi" w:cstheme="minorHAnsi"/>
          <w:b/>
          <w:bCs/>
          <w:color w:val="0070C0"/>
          <w:sz w:val="32"/>
          <w:szCs w:val="32"/>
        </w:rPr>
      </w:pPr>
      <w:r w:rsidRPr="00D35AB9">
        <w:rPr>
          <w:rFonts w:asciiTheme="minorHAnsi" w:hAnsiTheme="minorHAnsi" w:cstheme="minorHAnsi"/>
          <w:b/>
          <w:bCs/>
          <w:color w:val="0070C0"/>
          <w:sz w:val="32"/>
          <w:szCs w:val="32"/>
        </w:rPr>
        <w:lastRenderedPageBreak/>
        <w:t xml:space="preserve">UK SANCTIONS: </w:t>
      </w:r>
      <w:r w:rsidR="008E58FB" w:rsidRPr="00D35AB9">
        <w:rPr>
          <w:rFonts w:asciiTheme="minorHAnsi" w:hAnsiTheme="minorHAnsi" w:cstheme="minorHAnsi"/>
          <w:b/>
          <w:bCs/>
          <w:color w:val="0070C0"/>
          <w:sz w:val="32"/>
          <w:szCs w:val="32"/>
        </w:rPr>
        <w:t>CONSIDERATIONS FOR COMMERCIAL PARTIES</w:t>
      </w:r>
    </w:p>
    <w:p w14:paraId="545E3970" w14:textId="77777777" w:rsidR="002A3FEB" w:rsidRDefault="002A3FEB" w:rsidP="008E58FB">
      <w:pPr>
        <w:spacing w:after="240" w:line="276" w:lineRule="auto"/>
        <w:jc w:val="both"/>
        <w:rPr>
          <w:rFonts w:asciiTheme="minorHAnsi" w:hAnsiTheme="minorHAnsi" w:cstheme="minorHAnsi"/>
          <w:b/>
          <w:bCs/>
          <w:sz w:val="24"/>
          <w:szCs w:val="24"/>
        </w:rPr>
      </w:pPr>
    </w:p>
    <w:p w14:paraId="1CDB2607" w14:textId="7F7C087A" w:rsidR="008E58FB" w:rsidRPr="00835001" w:rsidRDefault="008E58FB" w:rsidP="00835001">
      <w:pPr>
        <w:spacing w:after="240" w:line="276" w:lineRule="auto"/>
        <w:jc w:val="both"/>
        <w:rPr>
          <w:rFonts w:asciiTheme="minorHAnsi" w:hAnsiTheme="minorHAnsi" w:cstheme="minorHAnsi"/>
        </w:rPr>
      </w:pPr>
      <w:r w:rsidRPr="00835001">
        <w:rPr>
          <w:rFonts w:asciiTheme="minorHAnsi" w:hAnsiTheme="minorHAnsi" w:cstheme="minorHAnsi"/>
          <w:b/>
          <w:bCs/>
        </w:rPr>
        <w:t xml:space="preserve">Extended asset freezing provisions </w:t>
      </w:r>
    </w:p>
    <w:p w14:paraId="1E4E8BB3" w14:textId="77777777" w:rsidR="008E58FB" w:rsidRPr="00835001" w:rsidRDefault="008E58FB" w:rsidP="00835001">
      <w:pPr>
        <w:pStyle w:val="ListParagraph"/>
        <w:numPr>
          <w:ilvl w:val="0"/>
          <w:numId w:val="16"/>
        </w:numPr>
        <w:spacing w:after="240" w:line="276" w:lineRule="auto"/>
        <w:ind w:left="426" w:hanging="426"/>
        <w:contextualSpacing w:val="0"/>
        <w:jc w:val="both"/>
        <w:rPr>
          <w:rFonts w:cstheme="minorHAnsi"/>
        </w:rPr>
      </w:pPr>
      <w:r w:rsidRPr="00835001">
        <w:rPr>
          <w:rFonts w:cstheme="minorHAnsi"/>
        </w:rPr>
        <w:t>The UK asset freeze provisions / prohibitions on dealing apply to funds and economic resources that are indirectly owned or controlled by a designated person.</w:t>
      </w:r>
    </w:p>
    <w:p w14:paraId="46520B7F" w14:textId="77777777" w:rsidR="008E58FB" w:rsidRPr="00835001" w:rsidRDefault="008E58FB" w:rsidP="00835001">
      <w:pPr>
        <w:pStyle w:val="ListParagraph"/>
        <w:numPr>
          <w:ilvl w:val="0"/>
          <w:numId w:val="16"/>
        </w:numPr>
        <w:spacing w:after="240" w:line="276" w:lineRule="auto"/>
        <w:ind w:left="426" w:hanging="426"/>
        <w:contextualSpacing w:val="0"/>
        <w:jc w:val="both"/>
        <w:rPr>
          <w:rFonts w:cstheme="minorHAnsi"/>
        </w:rPr>
      </w:pPr>
      <w:r w:rsidRPr="00835001">
        <w:rPr>
          <w:rFonts w:cstheme="minorHAnsi"/>
        </w:rPr>
        <w:t>UK SIs provide that funds or economic resources are to be "treated as owned, held or controlled by a designated person if they are owned, held or controlled by a person who is owned or controlled directly or indirectly … by the designated person".</w:t>
      </w:r>
    </w:p>
    <w:p w14:paraId="548FED30" w14:textId="77777777" w:rsidR="008E58FB" w:rsidRPr="00835001" w:rsidRDefault="008E58FB" w:rsidP="00835001">
      <w:pPr>
        <w:pStyle w:val="ListParagraph"/>
        <w:numPr>
          <w:ilvl w:val="0"/>
          <w:numId w:val="16"/>
        </w:numPr>
        <w:spacing w:after="240" w:line="276" w:lineRule="auto"/>
        <w:ind w:left="426" w:hanging="426"/>
        <w:contextualSpacing w:val="0"/>
        <w:jc w:val="both"/>
        <w:rPr>
          <w:rFonts w:cstheme="minorHAnsi"/>
        </w:rPr>
      </w:pPr>
      <w:r w:rsidRPr="00835001">
        <w:rPr>
          <w:rFonts w:cstheme="minorHAnsi"/>
        </w:rPr>
        <w:t xml:space="preserve">This will require extended KYC / due diligence to ensure that counterparties are not indirectly controlled by a designated person. </w:t>
      </w:r>
    </w:p>
    <w:p w14:paraId="308B336A" w14:textId="77777777" w:rsidR="008E58FB" w:rsidRPr="00835001" w:rsidRDefault="008E58FB" w:rsidP="00835001">
      <w:pPr>
        <w:pStyle w:val="ListParagraph"/>
        <w:numPr>
          <w:ilvl w:val="0"/>
          <w:numId w:val="16"/>
        </w:numPr>
        <w:spacing w:after="240" w:line="276" w:lineRule="auto"/>
        <w:ind w:left="426" w:hanging="426"/>
        <w:contextualSpacing w:val="0"/>
        <w:jc w:val="both"/>
        <w:rPr>
          <w:rFonts w:cstheme="minorHAnsi"/>
        </w:rPr>
      </w:pPr>
      <w:r w:rsidRPr="00835001">
        <w:rPr>
          <w:rFonts w:cstheme="minorHAnsi"/>
        </w:rPr>
        <w:t xml:space="preserve">Particular care needed when dealing with group companies where the UBO is designated. </w:t>
      </w:r>
    </w:p>
    <w:p w14:paraId="67402F57" w14:textId="77777777" w:rsidR="008E58FB" w:rsidRPr="00835001" w:rsidRDefault="008E58FB" w:rsidP="00835001">
      <w:pPr>
        <w:pStyle w:val="ListParagraph"/>
        <w:numPr>
          <w:ilvl w:val="0"/>
          <w:numId w:val="16"/>
        </w:numPr>
        <w:spacing w:after="240" w:line="276" w:lineRule="auto"/>
        <w:ind w:left="426" w:hanging="426"/>
        <w:contextualSpacing w:val="0"/>
        <w:jc w:val="both"/>
        <w:rPr>
          <w:rFonts w:cstheme="minorHAnsi"/>
        </w:rPr>
      </w:pPr>
      <w:r w:rsidRPr="00835001">
        <w:rPr>
          <w:rFonts w:cstheme="minorHAnsi"/>
        </w:rPr>
        <w:t>Effectively does away with the position under EU guidance that there was a rebuttable presumption that making funds available to a person owned or controlled by a designated person was to make them available indirectly to a designated person.</w:t>
      </w:r>
    </w:p>
    <w:p w14:paraId="24650189" w14:textId="77777777" w:rsidR="008E58FB" w:rsidRPr="00835001" w:rsidRDefault="008E58FB" w:rsidP="00835001">
      <w:pPr>
        <w:spacing w:after="240" w:line="276" w:lineRule="auto"/>
        <w:jc w:val="both"/>
        <w:rPr>
          <w:rFonts w:asciiTheme="minorHAnsi" w:hAnsiTheme="minorHAnsi" w:cstheme="minorHAnsi"/>
          <w:b/>
          <w:bCs/>
        </w:rPr>
      </w:pPr>
      <w:r w:rsidRPr="00835001">
        <w:rPr>
          <w:rFonts w:asciiTheme="minorHAnsi" w:hAnsiTheme="minorHAnsi" w:cstheme="minorHAnsi"/>
          <w:b/>
          <w:bCs/>
        </w:rPr>
        <w:t xml:space="preserve">Licensing </w:t>
      </w:r>
    </w:p>
    <w:p w14:paraId="51F8B1F2" w14:textId="77777777" w:rsidR="008E58FB" w:rsidRPr="00835001" w:rsidRDefault="008E58FB" w:rsidP="00835001">
      <w:pPr>
        <w:pStyle w:val="ListParagraph"/>
        <w:numPr>
          <w:ilvl w:val="0"/>
          <w:numId w:val="16"/>
        </w:numPr>
        <w:spacing w:after="240" w:line="276" w:lineRule="auto"/>
        <w:ind w:left="426" w:hanging="426"/>
        <w:contextualSpacing w:val="0"/>
        <w:rPr>
          <w:rFonts w:cstheme="minorHAnsi"/>
        </w:rPr>
      </w:pPr>
      <w:r w:rsidRPr="00835001">
        <w:rPr>
          <w:rFonts w:cstheme="minorHAnsi"/>
        </w:rPr>
        <w:t xml:space="preserve">Licensing power in SAMLA, s.15: </w:t>
      </w:r>
      <w:hyperlink r:id="rId33" w:history="1">
        <w:r w:rsidRPr="00835001">
          <w:rPr>
            <w:rStyle w:val="Hyperlink"/>
            <w:rFonts w:cstheme="minorHAnsi"/>
          </w:rPr>
          <w:t>https://www.legislation.gov.uk/ukpga/2018/13/section/15</w:t>
        </w:r>
      </w:hyperlink>
      <w:r w:rsidRPr="00835001">
        <w:rPr>
          <w:rFonts w:cstheme="minorHAnsi"/>
        </w:rPr>
        <w:t xml:space="preserve"> </w:t>
      </w:r>
    </w:p>
    <w:p w14:paraId="4CCF6E33" w14:textId="77777777" w:rsidR="008E58FB" w:rsidRPr="00835001" w:rsidRDefault="008E58FB" w:rsidP="00835001">
      <w:pPr>
        <w:pStyle w:val="ListParagraph"/>
        <w:numPr>
          <w:ilvl w:val="0"/>
          <w:numId w:val="16"/>
        </w:numPr>
        <w:spacing w:after="240" w:line="276" w:lineRule="auto"/>
        <w:ind w:left="426" w:hanging="426"/>
        <w:contextualSpacing w:val="0"/>
        <w:jc w:val="both"/>
        <w:rPr>
          <w:rFonts w:cstheme="minorHAnsi"/>
        </w:rPr>
      </w:pPr>
      <w:r w:rsidRPr="00835001">
        <w:rPr>
          <w:rFonts w:cstheme="minorHAnsi"/>
        </w:rPr>
        <w:t xml:space="preserve">May grant general or specific licences.  </w:t>
      </w:r>
    </w:p>
    <w:p w14:paraId="4CC379D6" w14:textId="77777777" w:rsidR="008E58FB" w:rsidRPr="00835001" w:rsidRDefault="008E58FB" w:rsidP="00835001">
      <w:pPr>
        <w:pStyle w:val="ListParagraph"/>
        <w:numPr>
          <w:ilvl w:val="0"/>
          <w:numId w:val="16"/>
        </w:numPr>
        <w:spacing w:after="240" w:line="276" w:lineRule="auto"/>
        <w:ind w:left="426" w:hanging="426"/>
        <w:contextualSpacing w:val="0"/>
        <w:jc w:val="both"/>
        <w:rPr>
          <w:rFonts w:cstheme="minorHAnsi"/>
        </w:rPr>
      </w:pPr>
      <w:r w:rsidRPr="00835001">
        <w:rPr>
          <w:rFonts w:cstheme="minorHAnsi"/>
        </w:rPr>
        <w:t xml:space="preserve">Licences can only be issued when appropriate for defined statutory purposes. These vary from regime to regime. There are some that apply only to UN designated persons and some that apply to non-UN designated persons. </w:t>
      </w:r>
    </w:p>
    <w:p w14:paraId="0225E262" w14:textId="77777777" w:rsidR="008E58FB" w:rsidRPr="00835001" w:rsidRDefault="008E58FB" w:rsidP="00835001">
      <w:pPr>
        <w:pStyle w:val="ListParagraph"/>
        <w:numPr>
          <w:ilvl w:val="0"/>
          <w:numId w:val="16"/>
        </w:numPr>
        <w:spacing w:after="240" w:line="276" w:lineRule="auto"/>
        <w:ind w:left="426" w:hanging="426"/>
        <w:contextualSpacing w:val="0"/>
        <w:jc w:val="both"/>
        <w:rPr>
          <w:rFonts w:cstheme="minorHAnsi"/>
        </w:rPr>
      </w:pPr>
      <w:r w:rsidRPr="00835001">
        <w:rPr>
          <w:rFonts w:cstheme="minorHAnsi"/>
        </w:rPr>
        <w:t xml:space="preserve">See </w:t>
      </w:r>
      <w:hyperlink r:id="rId34" w:history="1">
        <w:r w:rsidRPr="00835001">
          <w:rPr>
            <w:rStyle w:val="Hyperlink"/>
            <w:rFonts w:cstheme="minorHAnsi"/>
          </w:rPr>
          <w:t>https://www.legislation.gov.uk/uksi/2019/461/schedule/2</w:t>
        </w:r>
      </w:hyperlink>
      <w:r w:rsidRPr="00835001">
        <w:rPr>
          <w:rFonts w:cstheme="minorHAnsi"/>
        </w:rPr>
        <w:t xml:space="preserve"> in respect of licences for transactions with persons designated for reasons connected with Iranian nuclear sanctions. </w:t>
      </w:r>
    </w:p>
    <w:p w14:paraId="026A82B3" w14:textId="77777777" w:rsidR="008E58FB" w:rsidRPr="00835001" w:rsidRDefault="008E58FB" w:rsidP="00835001">
      <w:pPr>
        <w:pStyle w:val="ListParagraph"/>
        <w:numPr>
          <w:ilvl w:val="0"/>
          <w:numId w:val="16"/>
        </w:numPr>
        <w:spacing w:after="240" w:line="276" w:lineRule="auto"/>
        <w:ind w:left="426" w:hanging="426"/>
        <w:contextualSpacing w:val="0"/>
        <w:jc w:val="both"/>
        <w:rPr>
          <w:rFonts w:cstheme="minorHAnsi"/>
        </w:rPr>
      </w:pPr>
      <w:r w:rsidRPr="00835001">
        <w:rPr>
          <w:rFonts w:cstheme="minorHAnsi"/>
        </w:rPr>
        <w:t xml:space="preserve">In respect of UN designated persons/entities they tend to include: (a) basic needs (as defined, including food, medical supplies, rent, and needs of dependents); (b) legal services; (c) maintenance of frozen funds and resources; (d) extraordinary expenses; (e) pre-existing judicial decision; and (f) diplomatic missions. </w:t>
      </w:r>
    </w:p>
    <w:p w14:paraId="4B24D03D" w14:textId="77777777" w:rsidR="008E58FB" w:rsidRPr="00835001" w:rsidRDefault="008E58FB" w:rsidP="00835001">
      <w:pPr>
        <w:pStyle w:val="ListParagraph"/>
        <w:numPr>
          <w:ilvl w:val="0"/>
          <w:numId w:val="16"/>
        </w:numPr>
        <w:spacing w:after="240" w:line="276" w:lineRule="auto"/>
        <w:ind w:left="426" w:hanging="426"/>
        <w:contextualSpacing w:val="0"/>
        <w:jc w:val="both"/>
        <w:rPr>
          <w:rFonts w:cstheme="minorHAnsi"/>
        </w:rPr>
      </w:pPr>
      <w:r w:rsidRPr="00835001">
        <w:rPr>
          <w:rFonts w:cstheme="minorHAnsi"/>
        </w:rPr>
        <w:t xml:space="preserve">In respect of non-UN designated persons/entities, the Treasury may additionally licence payments for (a) humanitarian assistance; (b) diplomatic missions; (c) prior obligations; (d) to </w:t>
      </w:r>
      <w:r w:rsidRPr="00835001">
        <w:rPr>
          <w:rFonts w:cstheme="minorHAnsi"/>
          <w:i/>
          <w:iCs/>
        </w:rPr>
        <w:t>“enable anything to be done to deal with an extraordinary situation”</w:t>
      </w:r>
      <w:r w:rsidRPr="00835001">
        <w:rPr>
          <w:rFonts w:cstheme="minorHAnsi"/>
        </w:rPr>
        <w:t>. It remains to be seen how broadly (d) will be interpreted. (In each case check the specific SI).</w:t>
      </w:r>
    </w:p>
    <w:p w14:paraId="5E55A260" w14:textId="77777777" w:rsidR="008E58FB" w:rsidRPr="00835001" w:rsidRDefault="008E58FB" w:rsidP="00835001">
      <w:pPr>
        <w:pStyle w:val="ListParagraph"/>
        <w:numPr>
          <w:ilvl w:val="0"/>
          <w:numId w:val="16"/>
        </w:numPr>
        <w:spacing w:after="240" w:line="276" w:lineRule="auto"/>
        <w:ind w:left="426" w:hanging="426"/>
        <w:contextualSpacing w:val="0"/>
        <w:jc w:val="both"/>
        <w:rPr>
          <w:rFonts w:cstheme="minorHAnsi"/>
        </w:rPr>
      </w:pPr>
      <w:r w:rsidRPr="00835001">
        <w:rPr>
          <w:rFonts w:cstheme="minorHAnsi"/>
        </w:rPr>
        <w:t xml:space="preserve">In respect of counter-terrorism sanctions, the licencing regime is different to that created by the post-Brexit statutory instruments for other regimes in that it does not limit the ability of the </w:t>
      </w:r>
      <w:r w:rsidRPr="00835001">
        <w:rPr>
          <w:rFonts w:cstheme="minorHAnsi"/>
        </w:rPr>
        <w:lastRenderedPageBreak/>
        <w:t xml:space="preserve">Treasury to issue a licence authorising acts by a particular person to instances where the Treasury considers a licence appropriate for a purpose set out in the schedule of the relevant SI.  </w:t>
      </w:r>
    </w:p>
    <w:p w14:paraId="1643167E" w14:textId="77777777" w:rsidR="008E58FB" w:rsidRPr="00835001" w:rsidRDefault="008E58FB" w:rsidP="00835001">
      <w:pPr>
        <w:spacing w:after="240" w:line="276" w:lineRule="auto"/>
        <w:jc w:val="both"/>
        <w:rPr>
          <w:rFonts w:asciiTheme="minorHAnsi" w:hAnsiTheme="minorHAnsi" w:cstheme="minorHAnsi"/>
          <w:b/>
          <w:bCs/>
        </w:rPr>
      </w:pPr>
      <w:r w:rsidRPr="00835001">
        <w:rPr>
          <w:rFonts w:asciiTheme="minorHAnsi" w:hAnsiTheme="minorHAnsi" w:cstheme="minorHAnsi"/>
          <w:b/>
          <w:bCs/>
        </w:rPr>
        <w:t xml:space="preserve">Impossibility of performance because of UK sanctions </w:t>
      </w:r>
    </w:p>
    <w:p w14:paraId="26C29C8B" w14:textId="77777777" w:rsidR="008E58FB" w:rsidRPr="00835001" w:rsidRDefault="008E58FB" w:rsidP="00835001">
      <w:pPr>
        <w:pStyle w:val="ListParagraph"/>
        <w:numPr>
          <w:ilvl w:val="0"/>
          <w:numId w:val="16"/>
        </w:numPr>
        <w:spacing w:after="240" w:line="276" w:lineRule="auto"/>
        <w:ind w:left="426" w:hanging="426"/>
        <w:contextualSpacing w:val="0"/>
        <w:jc w:val="both"/>
        <w:rPr>
          <w:rFonts w:cstheme="minorHAnsi"/>
        </w:rPr>
      </w:pPr>
      <w:r w:rsidRPr="00835001">
        <w:rPr>
          <w:rFonts w:cstheme="minorHAnsi"/>
        </w:rPr>
        <w:t>Where lawful performance of contract is not possible because of UK sanctions, the Court will first look to any contractual provision dealing with financial sanctions or allocation of risk in those circumstances. If there is none, parties may have recourse to the law of frustration, arguing that the contract is frustrated by supervening illegality.</w:t>
      </w:r>
    </w:p>
    <w:p w14:paraId="12FC3FE3" w14:textId="77777777" w:rsidR="008E58FB" w:rsidRPr="00835001" w:rsidRDefault="008E58FB" w:rsidP="00835001">
      <w:pPr>
        <w:pStyle w:val="ListParagraph"/>
        <w:numPr>
          <w:ilvl w:val="0"/>
          <w:numId w:val="16"/>
        </w:numPr>
        <w:spacing w:after="240" w:line="276" w:lineRule="auto"/>
        <w:ind w:left="426" w:hanging="426"/>
        <w:contextualSpacing w:val="0"/>
        <w:jc w:val="both"/>
        <w:rPr>
          <w:rFonts w:cstheme="minorHAnsi"/>
        </w:rPr>
      </w:pPr>
      <w:r w:rsidRPr="00835001">
        <w:rPr>
          <w:rFonts w:cstheme="minorHAnsi"/>
        </w:rPr>
        <w:t xml:space="preserve">Note: generally it is not prohibited under UK sanctions to transfer funds to a designated person’s bank for credit to their account, where those funds are transferred in discharge (or partial discharge) of an obligation which arose before the date on which the person became a designated person. This is an important carve out for pre-existing obligations. </w:t>
      </w:r>
    </w:p>
    <w:p w14:paraId="722BB490" w14:textId="77777777" w:rsidR="008E58FB" w:rsidRPr="00835001" w:rsidRDefault="008E58FB" w:rsidP="00835001">
      <w:pPr>
        <w:pStyle w:val="ListParagraph"/>
        <w:numPr>
          <w:ilvl w:val="0"/>
          <w:numId w:val="16"/>
        </w:numPr>
        <w:spacing w:after="240" w:line="276" w:lineRule="auto"/>
        <w:ind w:left="426" w:hanging="426"/>
        <w:contextualSpacing w:val="0"/>
        <w:jc w:val="both"/>
        <w:rPr>
          <w:rFonts w:eastAsia="Times New Roman" w:cstheme="minorHAnsi"/>
          <w:lang w:eastAsia="en-GB"/>
        </w:rPr>
      </w:pPr>
      <w:r w:rsidRPr="00835001">
        <w:rPr>
          <w:rFonts w:eastAsia="Times New Roman" w:cstheme="minorHAnsi"/>
          <w:lang w:eastAsia="en-GB"/>
        </w:rPr>
        <w:t>Frustration occurs: “</w:t>
      </w:r>
      <w:r w:rsidRPr="00835001">
        <w:rPr>
          <w:rFonts w:eastAsia="Times New Roman" w:cstheme="minorHAnsi"/>
          <w:i/>
          <w:iCs/>
          <w:lang w:eastAsia="en-GB"/>
        </w:rPr>
        <w:t>whenever the law recognises that without default of either party a contractual obligation has become incapable of being performed because the circumstances in which performance is called for would render it a thing radically different from that which was undertaken by the contract.”</w:t>
      </w:r>
      <w:r w:rsidRPr="00835001">
        <w:rPr>
          <w:rFonts w:eastAsia="Times New Roman" w:cstheme="minorHAnsi"/>
          <w:lang w:eastAsia="en-GB"/>
        </w:rPr>
        <w:t xml:space="preserve"> (</w:t>
      </w:r>
      <w:r w:rsidRPr="00835001">
        <w:rPr>
          <w:rFonts w:eastAsia="Times New Roman" w:cstheme="minorHAnsi"/>
          <w:i/>
          <w:iCs/>
          <w:lang w:eastAsia="en-GB"/>
        </w:rPr>
        <w:t>Davis Contractors Limited v Fareham Urban District Council</w:t>
      </w:r>
      <w:r w:rsidRPr="00835001">
        <w:rPr>
          <w:rFonts w:eastAsia="Times New Roman" w:cstheme="minorHAnsi"/>
          <w:lang w:eastAsia="en-GB"/>
        </w:rPr>
        <w:t xml:space="preserve"> [1956] AC 696, at p.729 per Lord Radcliffe).</w:t>
      </w:r>
    </w:p>
    <w:p w14:paraId="11BAF4FF" w14:textId="77777777" w:rsidR="008E58FB" w:rsidRPr="00835001" w:rsidRDefault="008E58FB" w:rsidP="00835001">
      <w:pPr>
        <w:pStyle w:val="ListParagraph"/>
        <w:numPr>
          <w:ilvl w:val="0"/>
          <w:numId w:val="16"/>
        </w:numPr>
        <w:spacing w:after="240" w:line="276" w:lineRule="auto"/>
        <w:ind w:left="426" w:hanging="426"/>
        <w:contextualSpacing w:val="0"/>
        <w:jc w:val="both"/>
        <w:rPr>
          <w:rFonts w:cstheme="minorHAnsi"/>
        </w:rPr>
      </w:pPr>
      <w:r w:rsidRPr="00835001">
        <w:rPr>
          <w:rFonts w:cstheme="minorHAnsi"/>
        </w:rPr>
        <w:t>The doctrine is “</w:t>
      </w:r>
      <w:r w:rsidRPr="00835001">
        <w:rPr>
          <w:rFonts w:cstheme="minorHAnsi"/>
          <w:i/>
          <w:iCs/>
        </w:rPr>
        <w:t>to give effect to the demands of justice but not to be lightly invoked”</w:t>
      </w:r>
      <w:r w:rsidRPr="00835001">
        <w:rPr>
          <w:rFonts w:cstheme="minorHAnsi"/>
        </w:rPr>
        <w:t xml:space="preserve">: </w:t>
      </w:r>
      <w:r w:rsidRPr="00835001">
        <w:rPr>
          <w:rFonts w:cstheme="minorHAnsi"/>
          <w:i/>
          <w:iCs/>
        </w:rPr>
        <w:t>J Lauritzen AS v Wijsmuller BV (The Super Servant Two)</w:t>
      </w:r>
      <w:r w:rsidRPr="00835001">
        <w:rPr>
          <w:rFonts w:cstheme="minorHAnsi"/>
        </w:rPr>
        <w:t xml:space="preserve"> [1990] 1 Lloyd’s Rep 1, at 8 per Lord Bingham; and in the sanctions context see </w:t>
      </w:r>
      <w:r w:rsidRPr="00835001">
        <w:rPr>
          <w:rFonts w:cstheme="minorHAnsi"/>
          <w:i/>
          <w:iCs/>
        </w:rPr>
        <w:t>Melli Bank v Holbud</w:t>
      </w:r>
      <w:r w:rsidRPr="00835001">
        <w:rPr>
          <w:rFonts w:cstheme="minorHAnsi"/>
        </w:rPr>
        <w:t xml:space="preserve"> [2013] EWHC 1506 (Comm) at [15] per Robin Knowles QC.</w:t>
      </w:r>
    </w:p>
    <w:p w14:paraId="4C5597B4" w14:textId="77777777" w:rsidR="008E58FB" w:rsidRPr="00835001" w:rsidRDefault="008E58FB" w:rsidP="00835001">
      <w:pPr>
        <w:pStyle w:val="ListParagraph"/>
        <w:numPr>
          <w:ilvl w:val="0"/>
          <w:numId w:val="16"/>
        </w:numPr>
        <w:spacing w:after="240" w:line="276" w:lineRule="auto"/>
        <w:ind w:left="426" w:hanging="426"/>
        <w:contextualSpacing w:val="0"/>
        <w:jc w:val="both"/>
        <w:rPr>
          <w:rFonts w:cstheme="minorHAnsi"/>
        </w:rPr>
      </w:pPr>
      <w:r w:rsidRPr="00835001">
        <w:rPr>
          <w:rFonts w:cstheme="minorHAnsi"/>
        </w:rPr>
        <w:t xml:space="preserve">New UK sanctions ought not to change the position as regards frustration compared to the position under EU sanctions, save (a) where UK sanctions extend asset freezes to new areas / parties not touched by EU sanctions; and (b) UK licensing regimes are more generous. </w:t>
      </w:r>
    </w:p>
    <w:p w14:paraId="0AA9AFA8" w14:textId="77777777" w:rsidR="008E58FB" w:rsidRPr="00835001" w:rsidRDefault="008E58FB" w:rsidP="00835001">
      <w:pPr>
        <w:pStyle w:val="ListParagraph"/>
        <w:numPr>
          <w:ilvl w:val="0"/>
          <w:numId w:val="16"/>
        </w:numPr>
        <w:spacing w:after="240" w:line="276" w:lineRule="auto"/>
        <w:ind w:left="426" w:hanging="426"/>
        <w:contextualSpacing w:val="0"/>
        <w:jc w:val="both"/>
        <w:rPr>
          <w:rFonts w:cstheme="minorHAnsi"/>
        </w:rPr>
      </w:pPr>
      <w:r w:rsidRPr="00835001">
        <w:rPr>
          <w:rFonts w:cstheme="minorHAnsi"/>
        </w:rPr>
        <w:t xml:space="preserve">Need to assess whether there is any illegality because of UK sanctions. Place of performance is important: is a payment within the UK, or is payment to be made by a UK person (i.e. UK national or company)? </w:t>
      </w:r>
    </w:p>
    <w:p w14:paraId="2AC47CA6" w14:textId="2A4F1EBE" w:rsidR="008E58FB" w:rsidRPr="00835001" w:rsidRDefault="008E58FB" w:rsidP="00835001">
      <w:pPr>
        <w:pStyle w:val="ListParagraph"/>
        <w:numPr>
          <w:ilvl w:val="0"/>
          <w:numId w:val="16"/>
        </w:numPr>
        <w:spacing w:after="240" w:line="276" w:lineRule="auto"/>
        <w:ind w:left="426" w:hanging="426"/>
        <w:contextualSpacing w:val="0"/>
        <w:jc w:val="both"/>
        <w:rPr>
          <w:rFonts w:cstheme="minorHAnsi"/>
        </w:rPr>
      </w:pPr>
      <w:r w:rsidRPr="00835001">
        <w:rPr>
          <w:rFonts w:cstheme="minorHAnsi"/>
        </w:rPr>
        <w:t xml:space="preserve">Can a licence be obtained? That will prevent frustration, at least until the licence process has been exhausted.  So if a licence can be sought and is expected to be granted there will be no frustration: see, for example, </w:t>
      </w:r>
      <w:r w:rsidRPr="00835001">
        <w:rPr>
          <w:rFonts w:cstheme="minorHAnsi"/>
          <w:i/>
          <w:iCs/>
        </w:rPr>
        <w:t>DVB Bank SE and others v Shere Shipping Co Limited and others</w:t>
      </w:r>
      <w:r w:rsidRPr="00835001">
        <w:rPr>
          <w:rFonts w:cstheme="minorHAnsi"/>
        </w:rPr>
        <w:t xml:space="preserve"> [2013] EWHC 2321 (Comm); </w:t>
      </w:r>
      <w:r w:rsidRPr="009D1D5E">
        <w:rPr>
          <w:rFonts w:cstheme="minorHAnsi"/>
          <w:i/>
        </w:rPr>
        <w:t>Melli Bank v Holbud</w:t>
      </w:r>
      <w:r w:rsidR="009D1D5E">
        <w:rPr>
          <w:rFonts w:cstheme="minorHAnsi"/>
        </w:rPr>
        <w:t xml:space="preserve"> [2013] EWHC 1506 (Comm).</w:t>
      </w:r>
    </w:p>
    <w:p w14:paraId="4EEEC41F" w14:textId="77777777" w:rsidR="008E58FB" w:rsidRPr="00835001" w:rsidRDefault="008E58FB" w:rsidP="00835001">
      <w:pPr>
        <w:spacing w:after="240" w:line="276" w:lineRule="auto"/>
        <w:jc w:val="both"/>
        <w:rPr>
          <w:rFonts w:asciiTheme="minorHAnsi" w:hAnsiTheme="minorHAnsi" w:cstheme="minorHAnsi"/>
        </w:rPr>
      </w:pPr>
      <w:r w:rsidRPr="00835001">
        <w:rPr>
          <w:rFonts w:asciiTheme="minorHAnsi" w:hAnsiTheme="minorHAnsi" w:cstheme="minorHAnsi"/>
          <w:b/>
          <w:bCs/>
        </w:rPr>
        <w:t xml:space="preserve">Sanctions clauses </w:t>
      </w:r>
    </w:p>
    <w:p w14:paraId="38E6AE9B" w14:textId="7F1F5272" w:rsidR="008E58FB" w:rsidRPr="00835001" w:rsidRDefault="008E58FB" w:rsidP="00835001">
      <w:pPr>
        <w:pStyle w:val="ListParagraph"/>
        <w:numPr>
          <w:ilvl w:val="0"/>
          <w:numId w:val="16"/>
        </w:numPr>
        <w:spacing w:after="240" w:line="276" w:lineRule="auto"/>
        <w:ind w:left="426" w:hanging="426"/>
        <w:contextualSpacing w:val="0"/>
        <w:jc w:val="both"/>
        <w:rPr>
          <w:rFonts w:cstheme="minorHAnsi"/>
        </w:rPr>
      </w:pPr>
      <w:r w:rsidRPr="00835001">
        <w:rPr>
          <w:rFonts w:cstheme="minorHAnsi"/>
        </w:rPr>
        <w:t xml:space="preserve">In new contracts, ensure </w:t>
      </w:r>
      <w:r w:rsidR="007B3295" w:rsidRPr="00835001">
        <w:rPr>
          <w:rFonts w:cstheme="minorHAnsi"/>
        </w:rPr>
        <w:t xml:space="preserve">(where desirable) </w:t>
      </w:r>
      <w:r w:rsidRPr="00835001">
        <w:rPr>
          <w:rFonts w:cstheme="minorHAnsi"/>
        </w:rPr>
        <w:t xml:space="preserve">sanctions clauses are drafted to cover UK sanctions </w:t>
      </w:r>
      <w:r w:rsidR="007B3295" w:rsidRPr="00835001">
        <w:rPr>
          <w:rFonts w:cstheme="minorHAnsi"/>
        </w:rPr>
        <w:t>and</w:t>
      </w:r>
      <w:r w:rsidRPr="00835001">
        <w:rPr>
          <w:rFonts w:cstheme="minorHAnsi"/>
        </w:rPr>
        <w:t xml:space="preserve"> the degree of risk that the parties wish to exclude.</w:t>
      </w:r>
    </w:p>
    <w:p w14:paraId="04C545E1" w14:textId="77777777" w:rsidR="008E58FB" w:rsidRPr="00835001" w:rsidRDefault="008E58FB" w:rsidP="00835001">
      <w:pPr>
        <w:pStyle w:val="ListParagraph"/>
        <w:numPr>
          <w:ilvl w:val="0"/>
          <w:numId w:val="16"/>
        </w:numPr>
        <w:spacing w:after="240" w:line="276" w:lineRule="auto"/>
        <w:ind w:left="426" w:hanging="426"/>
        <w:contextualSpacing w:val="0"/>
        <w:jc w:val="both"/>
        <w:rPr>
          <w:rFonts w:cstheme="minorHAnsi"/>
        </w:rPr>
      </w:pPr>
      <w:r w:rsidRPr="00835001">
        <w:rPr>
          <w:rFonts w:cstheme="minorHAnsi"/>
        </w:rPr>
        <w:t>In</w:t>
      </w:r>
      <w:r w:rsidRPr="00835001">
        <w:rPr>
          <w:rFonts w:cstheme="minorHAnsi"/>
          <w:i/>
          <w:iCs/>
        </w:rPr>
        <w:t xml:space="preserve"> Mamancochet Mining Limited v Aegis Managing Agency Limited </w:t>
      </w:r>
      <w:r w:rsidRPr="00AD64AB">
        <w:rPr>
          <w:rFonts w:cstheme="minorHAnsi"/>
          <w:iCs/>
        </w:rPr>
        <w:t>[2018] EWHC 2643 (Comm)</w:t>
      </w:r>
      <w:r w:rsidRPr="00835001">
        <w:rPr>
          <w:rFonts w:cstheme="minorHAnsi"/>
          <w:i/>
          <w:iCs/>
        </w:rPr>
        <w:t xml:space="preserve"> </w:t>
      </w:r>
      <w:r w:rsidRPr="00835001">
        <w:rPr>
          <w:rFonts w:cstheme="minorHAnsi"/>
        </w:rPr>
        <w:t>Teare J took the view that</w:t>
      </w:r>
      <w:r w:rsidRPr="00835001">
        <w:rPr>
          <w:rFonts w:cstheme="minorHAnsi"/>
          <w:i/>
          <w:iCs/>
        </w:rPr>
        <w:t xml:space="preserve"> </w:t>
      </w:r>
      <w:r w:rsidRPr="00835001">
        <w:rPr>
          <w:rFonts w:cstheme="minorHAnsi"/>
        </w:rPr>
        <w:t xml:space="preserve">a clause referring to payments that </w:t>
      </w:r>
      <w:r w:rsidRPr="00835001">
        <w:rPr>
          <w:rFonts w:cstheme="minorHAnsi"/>
          <w:i/>
          <w:iCs/>
        </w:rPr>
        <w:t xml:space="preserve">“would expose” </w:t>
      </w:r>
      <w:r w:rsidRPr="00835001">
        <w:rPr>
          <w:rFonts w:cstheme="minorHAnsi"/>
        </w:rPr>
        <w:t xml:space="preserve">underwriters to </w:t>
      </w:r>
      <w:r w:rsidRPr="00835001">
        <w:rPr>
          <w:rFonts w:cstheme="minorHAnsi"/>
        </w:rPr>
        <w:lastRenderedPageBreak/>
        <w:t xml:space="preserve">sanctions did not exclude a </w:t>
      </w:r>
      <w:r w:rsidRPr="00835001">
        <w:rPr>
          <w:rFonts w:cstheme="minorHAnsi"/>
          <w:i/>
          <w:iCs/>
        </w:rPr>
        <w:t xml:space="preserve">risk </w:t>
      </w:r>
      <w:r w:rsidRPr="00835001">
        <w:rPr>
          <w:rFonts w:cstheme="minorHAnsi"/>
        </w:rPr>
        <w:t xml:space="preserve">of breach of sanctions, but instead required that sanctions would in fact be breached by the payment. </w:t>
      </w:r>
    </w:p>
    <w:p w14:paraId="1F168CDA" w14:textId="77777777" w:rsidR="008E58FB" w:rsidRPr="00835001" w:rsidRDefault="008E58FB" w:rsidP="00835001">
      <w:pPr>
        <w:pStyle w:val="ListParagraph"/>
        <w:numPr>
          <w:ilvl w:val="0"/>
          <w:numId w:val="16"/>
        </w:numPr>
        <w:spacing w:after="240" w:line="276" w:lineRule="auto"/>
        <w:ind w:left="426" w:hanging="426"/>
        <w:contextualSpacing w:val="0"/>
        <w:jc w:val="both"/>
        <w:rPr>
          <w:rFonts w:cstheme="minorHAnsi"/>
        </w:rPr>
      </w:pPr>
      <w:r w:rsidRPr="00835001">
        <w:rPr>
          <w:rFonts w:cstheme="minorHAnsi"/>
        </w:rPr>
        <w:t xml:space="preserve">Ensure that the clause deals with the consequences also: does it extinguish an obligation or merely suspend it? Will require clear words to extinguish and will probably be suspensory: see </w:t>
      </w:r>
      <w:r w:rsidRPr="00835001">
        <w:rPr>
          <w:rFonts w:cstheme="minorHAnsi"/>
          <w:i/>
          <w:iCs/>
        </w:rPr>
        <w:t>Mamancochet</w:t>
      </w:r>
      <w:r w:rsidRPr="00835001">
        <w:rPr>
          <w:rFonts w:cstheme="minorHAnsi"/>
        </w:rPr>
        <w:t xml:space="preserve">, [76]-[78].  </w:t>
      </w:r>
    </w:p>
    <w:p w14:paraId="3F263EF1" w14:textId="0ACFD0E0" w:rsidR="008E58FB" w:rsidRPr="00835001" w:rsidRDefault="008E58FB" w:rsidP="00835001">
      <w:pPr>
        <w:spacing w:after="240" w:line="276" w:lineRule="auto"/>
        <w:jc w:val="both"/>
        <w:rPr>
          <w:rFonts w:asciiTheme="minorHAnsi" w:hAnsiTheme="minorHAnsi" w:cstheme="minorHAnsi"/>
        </w:rPr>
      </w:pPr>
      <w:r w:rsidRPr="00835001">
        <w:rPr>
          <w:rFonts w:asciiTheme="minorHAnsi" w:hAnsiTheme="minorHAnsi" w:cstheme="minorHAnsi"/>
          <w:b/>
          <w:bCs/>
        </w:rPr>
        <w:t>The United States aspect</w:t>
      </w:r>
    </w:p>
    <w:p w14:paraId="394982C9" w14:textId="77777777" w:rsidR="008E58FB" w:rsidRPr="00835001" w:rsidRDefault="008E58FB" w:rsidP="00835001">
      <w:pPr>
        <w:pStyle w:val="ListParagraph"/>
        <w:numPr>
          <w:ilvl w:val="0"/>
          <w:numId w:val="16"/>
        </w:numPr>
        <w:spacing w:after="240" w:line="276" w:lineRule="auto"/>
        <w:ind w:left="426" w:hanging="426"/>
        <w:contextualSpacing w:val="0"/>
        <w:jc w:val="both"/>
        <w:rPr>
          <w:rFonts w:cstheme="minorHAnsi"/>
        </w:rPr>
      </w:pPr>
      <w:r w:rsidRPr="00835001">
        <w:rPr>
          <w:rFonts w:cstheme="minorHAnsi"/>
        </w:rPr>
        <w:t>Beware Untied States secondary sanctions. US legislation allows the imposition of secondary sanctions affecting property subject to US jurisdiction belonging to non-US persons, even if they are not themselves operating in the US.</w:t>
      </w:r>
    </w:p>
    <w:p w14:paraId="542B2DB0" w14:textId="77777777" w:rsidR="008E58FB" w:rsidRPr="00835001" w:rsidRDefault="008E58FB" w:rsidP="00835001">
      <w:pPr>
        <w:pStyle w:val="ListParagraph"/>
        <w:numPr>
          <w:ilvl w:val="0"/>
          <w:numId w:val="16"/>
        </w:numPr>
        <w:spacing w:after="240" w:line="276" w:lineRule="auto"/>
        <w:ind w:left="426" w:hanging="426"/>
        <w:contextualSpacing w:val="0"/>
        <w:jc w:val="both"/>
        <w:rPr>
          <w:rFonts w:cstheme="minorHAnsi"/>
        </w:rPr>
      </w:pPr>
      <w:r w:rsidRPr="00835001">
        <w:rPr>
          <w:rFonts w:cstheme="minorHAnsi"/>
        </w:rPr>
        <w:t xml:space="preserve">In </w:t>
      </w:r>
      <w:r w:rsidRPr="00835001">
        <w:rPr>
          <w:rFonts w:cstheme="minorHAnsi"/>
          <w:i/>
          <w:iCs/>
        </w:rPr>
        <w:t>Lamesa Investments Limited v Cynergy Bank Limited</w:t>
      </w:r>
      <w:r w:rsidRPr="00835001">
        <w:rPr>
          <w:rFonts w:cstheme="minorHAnsi"/>
        </w:rPr>
        <w:t xml:space="preserve"> [2020] EWCA Civ 821 the Court of Appeal considered a clause that excused a borrower from non-payment of interest payments where </w:t>
      </w:r>
      <w:r w:rsidRPr="00835001">
        <w:rPr>
          <w:rFonts w:cstheme="minorHAnsi"/>
          <w:i/>
          <w:iCs/>
        </w:rPr>
        <w:t>“such sums were not paid in order to comply with any mandatory provision of law”</w:t>
      </w:r>
      <w:r w:rsidRPr="00835001">
        <w:rPr>
          <w:rFonts w:cstheme="minorHAnsi"/>
        </w:rPr>
        <w:t xml:space="preserve">. It was held (by a majority) that US secondary sanctions were capable of constituting (and did constitute in the circumstances) a mandatory provision of law such that not payment by reasons of such sanctions fell within the clause. </w:t>
      </w:r>
    </w:p>
    <w:p w14:paraId="55755D27" w14:textId="4FCF34BC" w:rsidR="008E58FB" w:rsidRPr="00835001" w:rsidRDefault="008E58FB" w:rsidP="00835001">
      <w:pPr>
        <w:pStyle w:val="ListParagraph"/>
        <w:numPr>
          <w:ilvl w:val="0"/>
          <w:numId w:val="16"/>
        </w:numPr>
        <w:spacing w:after="240" w:line="276" w:lineRule="auto"/>
        <w:ind w:left="426" w:hanging="426"/>
        <w:contextualSpacing w:val="0"/>
        <w:jc w:val="both"/>
        <w:rPr>
          <w:rFonts w:cstheme="minorHAnsi"/>
        </w:rPr>
      </w:pPr>
      <w:r w:rsidRPr="00835001">
        <w:rPr>
          <w:rFonts w:cstheme="minorHAnsi"/>
        </w:rPr>
        <w:t>This was so even though US legislation could not prohibit, and did not purport to prohibit, a payment by the borrower to the lender. If this case is followed it could have a far-reaching impact in cases concerning parties with US business.  But query what effect the UK Blocking Statute could have (see below).</w:t>
      </w:r>
    </w:p>
    <w:p w14:paraId="12837BE9" w14:textId="1DA6FE04" w:rsidR="008E58FB" w:rsidRPr="00835001" w:rsidRDefault="008E58FB" w:rsidP="00835001">
      <w:pPr>
        <w:pStyle w:val="ListParagraph"/>
        <w:numPr>
          <w:ilvl w:val="0"/>
          <w:numId w:val="16"/>
        </w:numPr>
        <w:spacing w:after="240" w:line="276" w:lineRule="auto"/>
        <w:ind w:left="426" w:hanging="426"/>
        <w:contextualSpacing w:val="0"/>
        <w:jc w:val="both"/>
        <w:rPr>
          <w:rFonts w:cstheme="minorHAnsi"/>
        </w:rPr>
      </w:pPr>
      <w:r w:rsidRPr="00835001">
        <w:rPr>
          <w:rFonts w:cstheme="minorHAnsi"/>
        </w:rPr>
        <w:t xml:space="preserve">And note that the position remains that in general, illegality under foreign law does not frustrate or otherwise relieve a party from performance of an English law contract.  There is a narrow exception, where the performance of the contract must necessarily involve the performance of an act illegal at the place of performance. This was recently applied in the case of US secondary sanctions by Mrs Justice Cockerill DBE in </w:t>
      </w:r>
      <w:r w:rsidRPr="00835001">
        <w:rPr>
          <w:rFonts w:cstheme="minorHAnsi"/>
          <w:i/>
          <w:iCs/>
        </w:rPr>
        <w:t xml:space="preserve">Banco San Juan Internacional Inc v Petróleos De Venezuela SA </w:t>
      </w:r>
      <w:r w:rsidRPr="00835001">
        <w:rPr>
          <w:rFonts w:cstheme="minorHAnsi"/>
        </w:rPr>
        <w:t xml:space="preserve">[2020] EWHC 2937 (Comm).  The judge held that the party </w:t>
      </w:r>
      <w:r w:rsidR="00AD64AB">
        <w:rPr>
          <w:rFonts w:cstheme="minorHAnsi"/>
        </w:rPr>
        <w:t>r</w:t>
      </w:r>
      <w:r w:rsidRPr="00835001">
        <w:rPr>
          <w:rFonts w:cstheme="minorHAnsi"/>
        </w:rPr>
        <w:t xml:space="preserve">elying on the doctrine will in general not be excused if he could have done something to bring about valid performance and failed to do so. In that case, </w:t>
      </w:r>
      <w:r w:rsidRPr="00835001">
        <w:rPr>
          <w:rFonts w:cstheme="minorHAnsi"/>
          <w:i/>
          <w:iCs/>
        </w:rPr>
        <w:t xml:space="preserve">PDVSA </w:t>
      </w:r>
      <w:r w:rsidRPr="00835001">
        <w:rPr>
          <w:rFonts w:cstheme="minorHAnsi"/>
        </w:rPr>
        <w:t xml:space="preserve">should have applied to OFAC for a licence. </w:t>
      </w:r>
    </w:p>
    <w:p w14:paraId="7BC5AA44" w14:textId="35C890D2" w:rsidR="007B3295" w:rsidRDefault="007B3295" w:rsidP="0005708B">
      <w:pPr>
        <w:spacing w:after="240" w:line="276" w:lineRule="auto"/>
        <w:ind w:left="360"/>
        <w:jc w:val="both"/>
        <w:rPr>
          <w:rFonts w:asciiTheme="minorHAnsi" w:hAnsiTheme="minorHAnsi" w:cstheme="minorHAnsi"/>
          <w:sz w:val="24"/>
          <w:szCs w:val="24"/>
        </w:rPr>
      </w:pPr>
    </w:p>
    <w:p w14:paraId="6A688EB8" w14:textId="502AFC96" w:rsidR="00835001" w:rsidRDefault="00835001" w:rsidP="0005708B">
      <w:pPr>
        <w:spacing w:after="240" w:line="276" w:lineRule="auto"/>
        <w:ind w:left="360"/>
        <w:jc w:val="both"/>
        <w:rPr>
          <w:rFonts w:asciiTheme="minorHAnsi" w:hAnsiTheme="minorHAnsi" w:cstheme="minorHAnsi"/>
          <w:sz w:val="24"/>
          <w:szCs w:val="24"/>
        </w:rPr>
      </w:pPr>
    </w:p>
    <w:p w14:paraId="1C28D82B" w14:textId="18E5CB9F" w:rsidR="00835001" w:rsidRDefault="00835001" w:rsidP="0005708B">
      <w:pPr>
        <w:spacing w:after="240" w:line="276" w:lineRule="auto"/>
        <w:ind w:left="360"/>
        <w:jc w:val="both"/>
        <w:rPr>
          <w:rFonts w:asciiTheme="minorHAnsi" w:hAnsiTheme="minorHAnsi" w:cstheme="minorHAnsi"/>
          <w:sz w:val="24"/>
          <w:szCs w:val="24"/>
        </w:rPr>
      </w:pPr>
    </w:p>
    <w:p w14:paraId="42C14C75" w14:textId="7DD08A12" w:rsidR="00835001" w:rsidRDefault="00835001" w:rsidP="0005708B">
      <w:pPr>
        <w:spacing w:after="240" w:line="276" w:lineRule="auto"/>
        <w:ind w:left="360"/>
        <w:jc w:val="both"/>
        <w:rPr>
          <w:rFonts w:asciiTheme="minorHAnsi" w:hAnsiTheme="minorHAnsi" w:cstheme="minorHAnsi"/>
          <w:sz w:val="24"/>
          <w:szCs w:val="24"/>
        </w:rPr>
      </w:pPr>
    </w:p>
    <w:p w14:paraId="444DCC46" w14:textId="4EBB7BCA" w:rsidR="00835001" w:rsidRDefault="00835001" w:rsidP="0005708B">
      <w:pPr>
        <w:spacing w:after="240" w:line="276" w:lineRule="auto"/>
        <w:ind w:left="360"/>
        <w:jc w:val="both"/>
        <w:rPr>
          <w:rFonts w:asciiTheme="minorHAnsi" w:hAnsiTheme="minorHAnsi" w:cstheme="minorHAnsi"/>
          <w:sz w:val="24"/>
          <w:szCs w:val="24"/>
        </w:rPr>
      </w:pPr>
    </w:p>
    <w:p w14:paraId="0988DE69" w14:textId="7781D37E" w:rsidR="00835001" w:rsidRDefault="00835001" w:rsidP="0005708B">
      <w:pPr>
        <w:spacing w:after="240" w:line="276" w:lineRule="auto"/>
        <w:ind w:left="360"/>
        <w:jc w:val="both"/>
        <w:rPr>
          <w:rFonts w:asciiTheme="minorHAnsi" w:hAnsiTheme="minorHAnsi" w:cstheme="minorHAnsi"/>
          <w:sz w:val="24"/>
          <w:szCs w:val="24"/>
        </w:rPr>
      </w:pPr>
    </w:p>
    <w:p w14:paraId="4A9B854E" w14:textId="77777777" w:rsidR="00835001" w:rsidRPr="0005708B" w:rsidRDefault="00835001" w:rsidP="0005708B">
      <w:pPr>
        <w:spacing w:after="240" w:line="276" w:lineRule="auto"/>
        <w:ind w:left="360"/>
        <w:jc w:val="both"/>
        <w:rPr>
          <w:rFonts w:asciiTheme="minorHAnsi" w:hAnsiTheme="minorHAnsi" w:cstheme="minorHAnsi"/>
          <w:sz w:val="24"/>
          <w:szCs w:val="24"/>
        </w:rPr>
      </w:pPr>
    </w:p>
    <w:p w14:paraId="6AE7CCBB" w14:textId="3016B26D" w:rsidR="008E58FB" w:rsidRPr="00D35AB9" w:rsidRDefault="002A3FEB" w:rsidP="0005708B">
      <w:pPr>
        <w:spacing w:line="276" w:lineRule="auto"/>
        <w:jc w:val="center"/>
        <w:rPr>
          <w:rFonts w:asciiTheme="minorHAnsi" w:hAnsiTheme="minorHAnsi" w:cstheme="minorHAnsi"/>
          <w:b/>
          <w:color w:val="0070C0"/>
          <w:sz w:val="32"/>
          <w:szCs w:val="32"/>
        </w:rPr>
      </w:pPr>
      <w:r w:rsidRPr="00D35AB9">
        <w:rPr>
          <w:rFonts w:asciiTheme="minorHAnsi" w:hAnsiTheme="minorHAnsi" w:cstheme="minorHAnsi"/>
          <w:b/>
          <w:color w:val="0070C0"/>
          <w:sz w:val="32"/>
          <w:szCs w:val="32"/>
        </w:rPr>
        <w:lastRenderedPageBreak/>
        <w:t>THE POST-BREXIT</w:t>
      </w:r>
      <w:r w:rsidR="008E58FB" w:rsidRPr="00D35AB9">
        <w:rPr>
          <w:rFonts w:asciiTheme="minorHAnsi" w:hAnsiTheme="minorHAnsi" w:cstheme="minorHAnsi"/>
          <w:b/>
          <w:color w:val="0070C0"/>
          <w:sz w:val="32"/>
          <w:szCs w:val="32"/>
        </w:rPr>
        <w:t xml:space="preserve"> </w:t>
      </w:r>
      <w:r w:rsidRPr="00D35AB9">
        <w:rPr>
          <w:rFonts w:asciiTheme="minorHAnsi" w:hAnsiTheme="minorHAnsi" w:cstheme="minorHAnsi"/>
          <w:b/>
          <w:color w:val="0070C0"/>
          <w:sz w:val="32"/>
          <w:szCs w:val="32"/>
        </w:rPr>
        <w:t>FRAMEWORK</w:t>
      </w:r>
      <w:r w:rsidR="008E58FB" w:rsidRPr="00D35AB9">
        <w:rPr>
          <w:rFonts w:asciiTheme="minorHAnsi" w:hAnsiTheme="minorHAnsi" w:cstheme="minorHAnsi"/>
          <w:b/>
          <w:color w:val="0070C0"/>
          <w:sz w:val="32"/>
          <w:szCs w:val="32"/>
        </w:rPr>
        <w:t xml:space="preserve"> </w:t>
      </w:r>
      <w:r w:rsidRPr="00D35AB9">
        <w:rPr>
          <w:rFonts w:asciiTheme="minorHAnsi" w:hAnsiTheme="minorHAnsi" w:cstheme="minorHAnsi"/>
          <w:b/>
          <w:color w:val="0070C0"/>
          <w:sz w:val="32"/>
          <w:szCs w:val="32"/>
        </w:rPr>
        <w:t>FOR</w:t>
      </w:r>
      <w:r w:rsidR="008E58FB" w:rsidRPr="00D35AB9">
        <w:rPr>
          <w:rFonts w:asciiTheme="minorHAnsi" w:hAnsiTheme="minorHAnsi" w:cstheme="minorHAnsi"/>
          <w:b/>
          <w:color w:val="0070C0"/>
          <w:sz w:val="32"/>
          <w:szCs w:val="32"/>
        </w:rPr>
        <w:t xml:space="preserve"> </w:t>
      </w:r>
      <w:r w:rsidRPr="00D35AB9">
        <w:rPr>
          <w:rFonts w:asciiTheme="minorHAnsi" w:hAnsiTheme="minorHAnsi" w:cstheme="minorHAnsi"/>
          <w:b/>
          <w:color w:val="0070C0"/>
          <w:sz w:val="32"/>
          <w:szCs w:val="32"/>
        </w:rPr>
        <w:t>EXPORT</w:t>
      </w:r>
      <w:r w:rsidR="008E58FB" w:rsidRPr="00D35AB9">
        <w:rPr>
          <w:rFonts w:asciiTheme="minorHAnsi" w:hAnsiTheme="minorHAnsi" w:cstheme="minorHAnsi"/>
          <w:b/>
          <w:color w:val="0070C0"/>
          <w:sz w:val="32"/>
          <w:szCs w:val="32"/>
        </w:rPr>
        <w:t xml:space="preserve"> </w:t>
      </w:r>
      <w:r w:rsidRPr="00D35AB9">
        <w:rPr>
          <w:rFonts w:asciiTheme="minorHAnsi" w:hAnsiTheme="minorHAnsi" w:cstheme="minorHAnsi"/>
          <w:b/>
          <w:color w:val="0070C0"/>
          <w:sz w:val="32"/>
          <w:szCs w:val="32"/>
        </w:rPr>
        <w:t>CONTROLS IN THE UK</w:t>
      </w:r>
      <w:r w:rsidR="008E58FB" w:rsidRPr="00D35AB9">
        <w:rPr>
          <w:rFonts w:asciiTheme="minorHAnsi" w:hAnsiTheme="minorHAnsi" w:cstheme="minorHAnsi"/>
          <w:b/>
          <w:color w:val="0070C0"/>
          <w:sz w:val="32"/>
          <w:szCs w:val="32"/>
        </w:rPr>
        <w:t xml:space="preserve"> </w:t>
      </w:r>
    </w:p>
    <w:p w14:paraId="59A60BA8" w14:textId="77777777" w:rsidR="008E58FB" w:rsidRPr="0005708B" w:rsidRDefault="008E58FB" w:rsidP="0005708B">
      <w:pPr>
        <w:spacing w:line="276" w:lineRule="auto"/>
        <w:rPr>
          <w:rFonts w:asciiTheme="minorHAnsi" w:hAnsiTheme="minorHAnsi" w:cstheme="minorHAnsi"/>
          <w:b/>
          <w:sz w:val="24"/>
          <w:szCs w:val="24"/>
        </w:rPr>
      </w:pPr>
    </w:p>
    <w:p w14:paraId="38C8AB58" w14:textId="77777777" w:rsidR="008E58FB" w:rsidRPr="0005708B" w:rsidRDefault="008E58FB" w:rsidP="002A3FEB">
      <w:pPr>
        <w:spacing w:line="360" w:lineRule="auto"/>
        <w:rPr>
          <w:rFonts w:asciiTheme="minorHAnsi" w:hAnsiTheme="minorHAnsi" w:cstheme="minorHAnsi"/>
          <w:i/>
          <w:sz w:val="24"/>
          <w:szCs w:val="24"/>
        </w:rPr>
      </w:pPr>
    </w:p>
    <w:p w14:paraId="05622FC8" w14:textId="77777777" w:rsidR="008E58FB" w:rsidRPr="00D35AB9" w:rsidRDefault="008E58FB" w:rsidP="00D35AB9">
      <w:pPr>
        <w:pStyle w:val="ListParagraph"/>
        <w:numPr>
          <w:ilvl w:val="0"/>
          <w:numId w:val="17"/>
        </w:numPr>
        <w:spacing w:after="0" w:line="276" w:lineRule="auto"/>
        <w:rPr>
          <w:rFonts w:cstheme="minorHAnsi"/>
          <w:b/>
        </w:rPr>
      </w:pPr>
      <w:r w:rsidRPr="00D35AB9">
        <w:rPr>
          <w:rFonts w:cstheme="minorHAnsi"/>
          <w:b/>
        </w:rPr>
        <w:t xml:space="preserve">Reminder: </w:t>
      </w:r>
    </w:p>
    <w:p w14:paraId="22CFB2D9" w14:textId="77777777" w:rsidR="008E58FB" w:rsidRPr="00D35AB9" w:rsidRDefault="008E58FB" w:rsidP="00D35AB9">
      <w:pPr>
        <w:pStyle w:val="ListParagraph"/>
        <w:numPr>
          <w:ilvl w:val="1"/>
          <w:numId w:val="17"/>
        </w:numPr>
        <w:spacing w:after="0" w:line="276" w:lineRule="auto"/>
        <w:rPr>
          <w:rFonts w:cstheme="minorHAnsi"/>
        </w:rPr>
      </w:pPr>
      <w:r w:rsidRPr="00D35AB9">
        <w:rPr>
          <w:rFonts w:cstheme="minorHAnsi"/>
        </w:rPr>
        <w:t xml:space="preserve">Export controls apply both to exports of goods from UK </w:t>
      </w:r>
      <w:r w:rsidRPr="00D35AB9">
        <w:rPr>
          <w:rFonts w:cstheme="minorHAnsi"/>
          <w:i/>
        </w:rPr>
        <w:t>and</w:t>
      </w:r>
      <w:r w:rsidRPr="00D35AB9">
        <w:rPr>
          <w:rFonts w:cstheme="minorHAnsi"/>
        </w:rPr>
        <w:t xml:space="preserve"> to UK persons involved in movement of controlled goods between third countries.</w:t>
      </w:r>
    </w:p>
    <w:p w14:paraId="150CE23C" w14:textId="77777777" w:rsidR="008E58FB" w:rsidRPr="00D35AB9" w:rsidRDefault="008E58FB" w:rsidP="00D35AB9">
      <w:pPr>
        <w:pStyle w:val="ListParagraph"/>
        <w:numPr>
          <w:ilvl w:val="1"/>
          <w:numId w:val="17"/>
        </w:numPr>
        <w:spacing w:after="0" w:line="276" w:lineRule="auto"/>
        <w:rPr>
          <w:rFonts w:cstheme="minorHAnsi"/>
        </w:rPr>
      </w:pPr>
      <w:r w:rsidRPr="00D35AB9">
        <w:rPr>
          <w:rFonts w:cstheme="minorHAnsi"/>
        </w:rPr>
        <w:t xml:space="preserve">Application of controls depends on both </w:t>
      </w:r>
      <w:r w:rsidRPr="00D35AB9">
        <w:rPr>
          <w:rFonts w:cstheme="minorHAnsi"/>
          <w:i/>
        </w:rPr>
        <w:t>nature</w:t>
      </w:r>
      <w:r w:rsidRPr="00D35AB9">
        <w:rPr>
          <w:rFonts w:cstheme="minorHAnsi"/>
        </w:rPr>
        <w:t xml:space="preserve"> and </w:t>
      </w:r>
      <w:r w:rsidRPr="00D35AB9">
        <w:rPr>
          <w:rFonts w:cstheme="minorHAnsi"/>
          <w:i/>
        </w:rPr>
        <w:t>destination</w:t>
      </w:r>
      <w:r w:rsidRPr="00D35AB9">
        <w:rPr>
          <w:rFonts w:cstheme="minorHAnsi"/>
        </w:rPr>
        <w:t xml:space="preserve"> of goods</w:t>
      </w:r>
    </w:p>
    <w:p w14:paraId="2A4FE281" w14:textId="77777777" w:rsidR="008E58FB" w:rsidRPr="00D35AB9" w:rsidRDefault="008E58FB" w:rsidP="00D35AB9">
      <w:pPr>
        <w:pStyle w:val="ListParagraph"/>
        <w:numPr>
          <w:ilvl w:val="1"/>
          <w:numId w:val="17"/>
        </w:numPr>
        <w:spacing w:after="0" w:line="276" w:lineRule="auto"/>
        <w:rPr>
          <w:rFonts w:cstheme="minorHAnsi"/>
        </w:rPr>
      </w:pPr>
      <w:r w:rsidRPr="00D35AB9">
        <w:rPr>
          <w:rFonts w:cstheme="minorHAnsi"/>
        </w:rPr>
        <w:t>UK law: Export Control Act 2002 &amp; Export Control Order 2008</w:t>
      </w:r>
    </w:p>
    <w:p w14:paraId="55B12602" w14:textId="77777777" w:rsidR="008E58FB" w:rsidRPr="00D35AB9" w:rsidRDefault="008E58FB" w:rsidP="00D35AB9">
      <w:pPr>
        <w:pStyle w:val="ListParagraph"/>
        <w:numPr>
          <w:ilvl w:val="1"/>
          <w:numId w:val="17"/>
        </w:numPr>
        <w:spacing w:after="0" w:line="276" w:lineRule="auto"/>
        <w:rPr>
          <w:rFonts w:cstheme="minorHAnsi"/>
        </w:rPr>
      </w:pPr>
      <w:r w:rsidRPr="00D35AB9">
        <w:rPr>
          <w:rFonts w:cstheme="minorHAnsi"/>
        </w:rPr>
        <w:t>EU law: Dual Use Regulation (Regulation (EU) 428/2009), Torture Regulation (Regulation (EU) 2019/125), plus others.</w:t>
      </w:r>
    </w:p>
    <w:p w14:paraId="080C0EF2" w14:textId="77777777" w:rsidR="008E58FB" w:rsidRPr="00D35AB9" w:rsidRDefault="008E58FB" w:rsidP="00D35AB9">
      <w:pPr>
        <w:pStyle w:val="ListParagraph"/>
        <w:spacing w:line="276" w:lineRule="auto"/>
        <w:ind w:left="1440"/>
        <w:rPr>
          <w:rFonts w:cstheme="minorHAnsi"/>
          <w:b/>
        </w:rPr>
      </w:pPr>
    </w:p>
    <w:p w14:paraId="51A602D3" w14:textId="77777777" w:rsidR="008E58FB" w:rsidRPr="00D35AB9" w:rsidRDefault="008E58FB" w:rsidP="00D35AB9">
      <w:pPr>
        <w:pStyle w:val="ListParagraph"/>
        <w:numPr>
          <w:ilvl w:val="0"/>
          <w:numId w:val="17"/>
        </w:numPr>
        <w:spacing w:after="0" w:line="276" w:lineRule="auto"/>
        <w:rPr>
          <w:rFonts w:cstheme="minorHAnsi"/>
          <w:b/>
        </w:rPr>
      </w:pPr>
      <w:r w:rsidRPr="00D35AB9">
        <w:rPr>
          <w:rFonts w:cstheme="minorHAnsi"/>
          <w:b/>
        </w:rPr>
        <w:t>Position up to end of Transition Period:</w:t>
      </w:r>
    </w:p>
    <w:p w14:paraId="68C7393C" w14:textId="77777777" w:rsidR="008E58FB" w:rsidRPr="00D35AB9" w:rsidRDefault="008E58FB" w:rsidP="00D35AB9">
      <w:pPr>
        <w:pStyle w:val="ListParagraph"/>
        <w:numPr>
          <w:ilvl w:val="1"/>
          <w:numId w:val="17"/>
        </w:numPr>
        <w:spacing w:after="0" w:line="276" w:lineRule="auto"/>
        <w:rPr>
          <w:rFonts w:cstheme="minorHAnsi"/>
        </w:rPr>
      </w:pPr>
      <w:r w:rsidRPr="00D35AB9">
        <w:rPr>
          <w:rFonts w:cstheme="minorHAnsi"/>
        </w:rPr>
        <w:t>Minimal controls for exports to (and from) EU</w:t>
      </w:r>
    </w:p>
    <w:p w14:paraId="3DEB91CE" w14:textId="77777777" w:rsidR="008E58FB" w:rsidRPr="00D35AB9" w:rsidRDefault="008E58FB" w:rsidP="00D35AB9">
      <w:pPr>
        <w:pStyle w:val="ListParagraph"/>
        <w:numPr>
          <w:ilvl w:val="1"/>
          <w:numId w:val="17"/>
        </w:numPr>
        <w:spacing w:after="0" w:line="276" w:lineRule="auto"/>
        <w:rPr>
          <w:rFonts w:cstheme="minorHAnsi"/>
        </w:rPr>
      </w:pPr>
      <w:r w:rsidRPr="00D35AB9">
        <w:rPr>
          <w:rFonts w:cstheme="minorHAnsi"/>
        </w:rPr>
        <w:t>Dual system of licensing:</w:t>
      </w:r>
    </w:p>
    <w:p w14:paraId="114571F7" w14:textId="77777777" w:rsidR="008E58FB" w:rsidRPr="00D35AB9" w:rsidRDefault="008E58FB" w:rsidP="00D35AB9">
      <w:pPr>
        <w:pStyle w:val="ListParagraph"/>
        <w:numPr>
          <w:ilvl w:val="2"/>
          <w:numId w:val="17"/>
        </w:numPr>
        <w:spacing w:after="0" w:line="276" w:lineRule="auto"/>
        <w:rPr>
          <w:rFonts w:cstheme="minorHAnsi"/>
        </w:rPr>
      </w:pPr>
      <w:r w:rsidRPr="00D35AB9">
        <w:rPr>
          <w:rFonts w:cstheme="minorHAnsi"/>
        </w:rPr>
        <w:t xml:space="preserve">UK law: Export Control Joint Unit </w:t>
      </w:r>
    </w:p>
    <w:p w14:paraId="3031DA50" w14:textId="77777777" w:rsidR="008E58FB" w:rsidRPr="00D35AB9" w:rsidRDefault="008E58FB" w:rsidP="00D35AB9">
      <w:pPr>
        <w:pStyle w:val="ListParagraph"/>
        <w:numPr>
          <w:ilvl w:val="2"/>
          <w:numId w:val="17"/>
        </w:numPr>
        <w:spacing w:after="0" w:line="276" w:lineRule="auto"/>
        <w:rPr>
          <w:rFonts w:cstheme="minorHAnsi"/>
        </w:rPr>
      </w:pPr>
      <w:r w:rsidRPr="00D35AB9">
        <w:rPr>
          <w:rFonts w:cstheme="minorHAnsi"/>
        </w:rPr>
        <w:t>EU law: authority of state where exporter based</w:t>
      </w:r>
    </w:p>
    <w:p w14:paraId="0390F0C7" w14:textId="77777777" w:rsidR="008E58FB" w:rsidRPr="00D35AB9" w:rsidRDefault="008E58FB" w:rsidP="00D35AB9">
      <w:pPr>
        <w:pStyle w:val="ListParagraph"/>
        <w:numPr>
          <w:ilvl w:val="1"/>
          <w:numId w:val="17"/>
        </w:numPr>
        <w:spacing w:after="0" w:line="276" w:lineRule="auto"/>
        <w:rPr>
          <w:rFonts w:cstheme="minorHAnsi"/>
        </w:rPr>
      </w:pPr>
      <w:r w:rsidRPr="00D35AB9">
        <w:rPr>
          <w:rFonts w:cstheme="minorHAnsi"/>
        </w:rPr>
        <w:t>Open (ECJU) &amp; general (EU) licenses permitting exports of lower risk goods to safe destinations on simple registration or notification.</w:t>
      </w:r>
    </w:p>
    <w:p w14:paraId="6A71C13B" w14:textId="77777777" w:rsidR="008E58FB" w:rsidRPr="00D35AB9" w:rsidRDefault="008E58FB" w:rsidP="00D35AB9">
      <w:pPr>
        <w:pStyle w:val="ListParagraph"/>
        <w:spacing w:line="276" w:lineRule="auto"/>
        <w:ind w:left="2160"/>
        <w:rPr>
          <w:rFonts w:cstheme="minorHAnsi"/>
          <w:b/>
        </w:rPr>
      </w:pPr>
    </w:p>
    <w:p w14:paraId="290EE474" w14:textId="77777777" w:rsidR="008E58FB" w:rsidRPr="00D35AB9" w:rsidRDefault="008E58FB" w:rsidP="00D35AB9">
      <w:pPr>
        <w:pStyle w:val="ListParagraph"/>
        <w:numPr>
          <w:ilvl w:val="0"/>
          <w:numId w:val="17"/>
        </w:numPr>
        <w:spacing w:after="0" w:line="276" w:lineRule="auto"/>
        <w:rPr>
          <w:rFonts w:cstheme="minorHAnsi"/>
          <w:b/>
        </w:rPr>
      </w:pPr>
      <w:r w:rsidRPr="00D35AB9">
        <w:rPr>
          <w:rFonts w:cstheme="minorHAnsi"/>
          <w:b/>
        </w:rPr>
        <w:t>Post-Transition Period</w:t>
      </w:r>
    </w:p>
    <w:p w14:paraId="3B5EFED2" w14:textId="77777777" w:rsidR="008E58FB" w:rsidRPr="00D35AB9" w:rsidRDefault="008E58FB" w:rsidP="00D35AB9">
      <w:pPr>
        <w:pStyle w:val="ListParagraph"/>
        <w:numPr>
          <w:ilvl w:val="1"/>
          <w:numId w:val="17"/>
        </w:numPr>
        <w:spacing w:after="0" w:line="276" w:lineRule="auto"/>
        <w:rPr>
          <w:rFonts w:cstheme="minorHAnsi"/>
        </w:rPr>
      </w:pPr>
      <w:r w:rsidRPr="00D35AB9">
        <w:rPr>
          <w:rFonts w:cstheme="minorHAnsi"/>
        </w:rPr>
        <w:t xml:space="preserve">No immediate change to </w:t>
      </w:r>
      <w:r w:rsidRPr="00D35AB9">
        <w:rPr>
          <w:rFonts w:cstheme="minorHAnsi"/>
          <w:i/>
        </w:rPr>
        <w:t>type</w:t>
      </w:r>
      <w:r w:rsidRPr="00D35AB9">
        <w:rPr>
          <w:rFonts w:cstheme="minorHAnsi"/>
        </w:rPr>
        <w:t xml:space="preserve"> of goods/technology subject to controls</w:t>
      </w:r>
    </w:p>
    <w:p w14:paraId="46629F79" w14:textId="77777777" w:rsidR="008E58FB" w:rsidRPr="00D35AB9" w:rsidRDefault="008E58FB" w:rsidP="00D35AB9">
      <w:pPr>
        <w:pStyle w:val="ListParagraph"/>
        <w:numPr>
          <w:ilvl w:val="1"/>
          <w:numId w:val="17"/>
        </w:numPr>
        <w:spacing w:after="0" w:line="276" w:lineRule="auto"/>
        <w:rPr>
          <w:rFonts w:cstheme="minorHAnsi"/>
        </w:rPr>
      </w:pPr>
      <w:r w:rsidRPr="00D35AB9">
        <w:rPr>
          <w:rFonts w:cstheme="minorHAnsi"/>
        </w:rPr>
        <w:t xml:space="preserve">Significant changes to </w:t>
      </w:r>
      <w:r w:rsidRPr="00D35AB9">
        <w:rPr>
          <w:rFonts w:cstheme="minorHAnsi"/>
          <w:i/>
        </w:rPr>
        <w:t>destinations</w:t>
      </w:r>
      <w:r w:rsidRPr="00D35AB9">
        <w:rPr>
          <w:rFonts w:cstheme="minorHAnsi"/>
        </w:rPr>
        <w:t xml:space="preserve"> for which licenses required</w:t>
      </w:r>
    </w:p>
    <w:p w14:paraId="508CAEFC" w14:textId="77777777" w:rsidR="008E58FB" w:rsidRPr="00D35AB9" w:rsidRDefault="008E58FB" w:rsidP="00D35AB9">
      <w:pPr>
        <w:pStyle w:val="ListParagraph"/>
        <w:numPr>
          <w:ilvl w:val="1"/>
          <w:numId w:val="17"/>
        </w:numPr>
        <w:spacing w:after="0" w:line="276" w:lineRule="auto"/>
        <w:rPr>
          <w:rFonts w:cstheme="minorHAnsi"/>
        </w:rPr>
      </w:pPr>
      <w:r w:rsidRPr="00D35AB9">
        <w:rPr>
          <w:rFonts w:cstheme="minorHAnsi"/>
        </w:rPr>
        <w:t xml:space="preserve">Divergence between </w:t>
      </w:r>
      <w:r w:rsidRPr="00D35AB9">
        <w:rPr>
          <w:rFonts w:cstheme="minorHAnsi"/>
          <w:i/>
        </w:rPr>
        <w:t>Great Britain</w:t>
      </w:r>
      <w:r w:rsidRPr="00D35AB9">
        <w:rPr>
          <w:rFonts w:cstheme="minorHAnsi"/>
        </w:rPr>
        <w:t xml:space="preserve"> and </w:t>
      </w:r>
      <w:r w:rsidRPr="00D35AB9">
        <w:rPr>
          <w:rFonts w:cstheme="minorHAnsi"/>
          <w:i/>
        </w:rPr>
        <w:t>Northern Ireland</w:t>
      </w:r>
    </w:p>
    <w:p w14:paraId="4021E512" w14:textId="77777777" w:rsidR="008E58FB" w:rsidRPr="00D35AB9" w:rsidRDefault="008E58FB" w:rsidP="00D35AB9">
      <w:pPr>
        <w:pStyle w:val="ListParagraph"/>
        <w:spacing w:line="276" w:lineRule="auto"/>
        <w:ind w:left="1440"/>
        <w:rPr>
          <w:rFonts w:cstheme="minorHAnsi"/>
          <w:b/>
        </w:rPr>
      </w:pPr>
    </w:p>
    <w:p w14:paraId="6F5DB01D" w14:textId="77777777" w:rsidR="008E58FB" w:rsidRPr="00D35AB9" w:rsidRDefault="008E58FB" w:rsidP="00D35AB9">
      <w:pPr>
        <w:pStyle w:val="ListParagraph"/>
        <w:numPr>
          <w:ilvl w:val="0"/>
          <w:numId w:val="17"/>
        </w:numPr>
        <w:spacing w:after="0" w:line="276" w:lineRule="auto"/>
        <w:rPr>
          <w:rFonts w:cstheme="minorHAnsi"/>
          <w:b/>
        </w:rPr>
      </w:pPr>
      <w:r w:rsidRPr="00D35AB9">
        <w:rPr>
          <w:rFonts w:cstheme="minorHAnsi"/>
          <w:b/>
        </w:rPr>
        <w:t>Great Britain (England, Wales, Scotland)</w:t>
      </w:r>
    </w:p>
    <w:p w14:paraId="783A3ACC" w14:textId="77777777" w:rsidR="008E58FB" w:rsidRPr="00D35AB9" w:rsidRDefault="008E58FB" w:rsidP="00D35AB9">
      <w:pPr>
        <w:pStyle w:val="ListParagraph"/>
        <w:numPr>
          <w:ilvl w:val="1"/>
          <w:numId w:val="17"/>
        </w:numPr>
        <w:spacing w:after="0" w:line="276" w:lineRule="auto"/>
        <w:rPr>
          <w:rFonts w:cstheme="minorHAnsi"/>
        </w:rPr>
      </w:pPr>
      <w:r w:rsidRPr="00D35AB9">
        <w:rPr>
          <w:rFonts w:cstheme="minorHAnsi"/>
        </w:rPr>
        <w:t>EU export controls continue as retained EU legislation but with EU destinations treated as third countries &amp; EU-issued licenses no longer valid.</w:t>
      </w:r>
    </w:p>
    <w:p w14:paraId="6CEEA476" w14:textId="77777777" w:rsidR="008E58FB" w:rsidRPr="00D35AB9" w:rsidRDefault="008E58FB" w:rsidP="00D35AB9">
      <w:pPr>
        <w:pStyle w:val="ListParagraph"/>
        <w:numPr>
          <w:ilvl w:val="1"/>
          <w:numId w:val="17"/>
        </w:numPr>
        <w:spacing w:after="0" w:line="276" w:lineRule="auto"/>
        <w:rPr>
          <w:rFonts w:cstheme="minorHAnsi"/>
        </w:rPr>
      </w:pPr>
      <w:r w:rsidRPr="00D35AB9">
        <w:rPr>
          <w:rFonts w:cstheme="minorHAnsi"/>
        </w:rPr>
        <w:t>No longer exemptions for exports to EU under UK legislation.</w:t>
      </w:r>
    </w:p>
    <w:p w14:paraId="1A28228E" w14:textId="4611DAAF" w:rsidR="008E58FB" w:rsidRPr="00D35AB9" w:rsidRDefault="008E58FB" w:rsidP="00D35AB9">
      <w:pPr>
        <w:pStyle w:val="ListParagraph"/>
        <w:numPr>
          <w:ilvl w:val="1"/>
          <w:numId w:val="17"/>
        </w:numPr>
        <w:spacing w:after="0" w:line="276" w:lineRule="auto"/>
        <w:rPr>
          <w:rFonts w:cstheme="minorHAnsi"/>
        </w:rPr>
      </w:pPr>
      <w:r w:rsidRPr="00D35AB9">
        <w:rPr>
          <w:rFonts w:cstheme="minorHAnsi"/>
          <w:b/>
        </w:rPr>
        <w:t>Result:</w:t>
      </w:r>
      <w:r w:rsidR="009D1D5E">
        <w:rPr>
          <w:rFonts w:cstheme="minorHAnsi"/>
        </w:rPr>
        <w:t xml:space="preserve"> ECJU licenc</w:t>
      </w:r>
      <w:r w:rsidRPr="00D35AB9">
        <w:rPr>
          <w:rFonts w:cstheme="minorHAnsi"/>
        </w:rPr>
        <w:t>e required for all exports of controlled items.</w:t>
      </w:r>
    </w:p>
    <w:p w14:paraId="10C2536B" w14:textId="77777777" w:rsidR="008E58FB" w:rsidRPr="00D35AB9" w:rsidRDefault="008E58FB" w:rsidP="00D35AB9">
      <w:pPr>
        <w:pStyle w:val="ListParagraph"/>
        <w:numPr>
          <w:ilvl w:val="2"/>
          <w:numId w:val="17"/>
        </w:numPr>
        <w:spacing w:after="0" w:line="276" w:lineRule="auto"/>
        <w:rPr>
          <w:rFonts w:cstheme="minorHAnsi"/>
        </w:rPr>
      </w:pPr>
      <w:r w:rsidRPr="00D35AB9">
        <w:rPr>
          <w:rFonts w:cstheme="minorHAnsi"/>
          <w:i/>
        </w:rPr>
        <w:t>But</w:t>
      </w:r>
      <w:r w:rsidRPr="00D35AB9">
        <w:rPr>
          <w:rFonts w:cstheme="minorHAnsi"/>
        </w:rPr>
        <w:t xml:space="preserve"> EU GEAs carried over as Retained GEAs. So if exporting from UK to non-EU destination under EU GEA, can continue to do so. </w:t>
      </w:r>
    </w:p>
    <w:p w14:paraId="0A06DB55" w14:textId="77777777" w:rsidR="008E58FB" w:rsidRPr="00D35AB9" w:rsidRDefault="008E58FB" w:rsidP="00D35AB9">
      <w:pPr>
        <w:pStyle w:val="ListParagraph"/>
        <w:numPr>
          <w:ilvl w:val="1"/>
          <w:numId w:val="17"/>
        </w:numPr>
        <w:spacing w:after="0" w:line="276" w:lineRule="auto"/>
        <w:rPr>
          <w:rFonts w:cstheme="minorHAnsi"/>
        </w:rPr>
      </w:pPr>
      <w:r w:rsidRPr="00D35AB9">
        <w:rPr>
          <w:rFonts w:cstheme="minorHAnsi"/>
        </w:rPr>
        <w:t>Similarly, GB treated as third country from perspective of EU.</w:t>
      </w:r>
    </w:p>
    <w:p w14:paraId="44190CD8" w14:textId="77777777" w:rsidR="008E58FB" w:rsidRPr="00D35AB9" w:rsidRDefault="008E58FB" w:rsidP="00D35AB9">
      <w:pPr>
        <w:pStyle w:val="ListParagraph"/>
        <w:numPr>
          <w:ilvl w:val="2"/>
          <w:numId w:val="17"/>
        </w:numPr>
        <w:spacing w:after="0" w:line="276" w:lineRule="auto"/>
        <w:rPr>
          <w:rFonts w:cstheme="minorHAnsi"/>
        </w:rPr>
      </w:pPr>
      <w:r w:rsidRPr="00D35AB9">
        <w:rPr>
          <w:rFonts w:cstheme="minorHAnsi"/>
        </w:rPr>
        <w:t>UK added as permitted destination under EU GEA001</w:t>
      </w:r>
    </w:p>
    <w:p w14:paraId="100E8074" w14:textId="77777777" w:rsidR="008E58FB" w:rsidRPr="00D35AB9" w:rsidRDefault="008E58FB" w:rsidP="00D35AB9">
      <w:pPr>
        <w:pStyle w:val="ListParagraph"/>
        <w:spacing w:line="276" w:lineRule="auto"/>
        <w:rPr>
          <w:rFonts w:cstheme="minorHAnsi"/>
          <w:b/>
        </w:rPr>
      </w:pPr>
    </w:p>
    <w:p w14:paraId="1762AEA5" w14:textId="77777777" w:rsidR="008E58FB" w:rsidRPr="00D35AB9" w:rsidRDefault="008E58FB" w:rsidP="00D35AB9">
      <w:pPr>
        <w:pStyle w:val="ListParagraph"/>
        <w:numPr>
          <w:ilvl w:val="0"/>
          <w:numId w:val="17"/>
        </w:numPr>
        <w:spacing w:after="0" w:line="276" w:lineRule="auto"/>
        <w:rPr>
          <w:rFonts w:cstheme="minorHAnsi"/>
          <w:b/>
        </w:rPr>
      </w:pPr>
      <w:r w:rsidRPr="00D35AB9">
        <w:rPr>
          <w:rFonts w:cstheme="minorHAnsi"/>
          <w:b/>
        </w:rPr>
        <w:t>Northern Ireland</w:t>
      </w:r>
    </w:p>
    <w:p w14:paraId="3FD2B4E0" w14:textId="77777777" w:rsidR="008E58FB" w:rsidRPr="00D35AB9" w:rsidRDefault="008E58FB" w:rsidP="00D35AB9">
      <w:pPr>
        <w:pStyle w:val="ListParagraph"/>
        <w:numPr>
          <w:ilvl w:val="1"/>
          <w:numId w:val="17"/>
        </w:numPr>
        <w:spacing w:after="0" w:line="276" w:lineRule="auto"/>
        <w:rPr>
          <w:rFonts w:cstheme="minorHAnsi"/>
        </w:rPr>
      </w:pPr>
      <w:r w:rsidRPr="00D35AB9">
        <w:rPr>
          <w:rFonts w:cstheme="minorHAnsi"/>
        </w:rPr>
        <w:t xml:space="preserve">NI Protocol: Dual Use and Torture Regulation continue to have direct effect. </w:t>
      </w:r>
    </w:p>
    <w:p w14:paraId="1171D36A" w14:textId="77777777" w:rsidR="008E58FB" w:rsidRPr="00D35AB9" w:rsidRDefault="008E58FB" w:rsidP="00D35AB9">
      <w:pPr>
        <w:pStyle w:val="ListParagraph"/>
        <w:numPr>
          <w:ilvl w:val="1"/>
          <w:numId w:val="17"/>
        </w:numPr>
        <w:spacing w:after="0" w:line="276" w:lineRule="auto"/>
        <w:rPr>
          <w:rFonts w:cstheme="minorHAnsi"/>
          <w:b/>
        </w:rPr>
      </w:pPr>
      <w:r w:rsidRPr="00D35AB9">
        <w:rPr>
          <w:rFonts w:cstheme="minorHAnsi"/>
          <w:b/>
        </w:rPr>
        <w:t>Result:</w:t>
      </w:r>
      <w:r w:rsidRPr="00D35AB9">
        <w:rPr>
          <w:rFonts w:cstheme="minorHAnsi"/>
        </w:rPr>
        <w:t xml:space="preserve"> previous regime still applies to exports from NI to EU and non-EU </w:t>
      </w:r>
    </w:p>
    <w:p w14:paraId="56C83B69" w14:textId="77777777" w:rsidR="008E58FB" w:rsidRPr="00D35AB9" w:rsidRDefault="008E58FB" w:rsidP="00D35AB9">
      <w:pPr>
        <w:pStyle w:val="ListParagraph"/>
        <w:numPr>
          <w:ilvl w:val="1"/>
          <w:numId w:val="17"/>
        </w:numPr>
        <w:spacing w:after="0" w:line="276" w:lineRule="auto"/>
        <w:rPr>
          <w:rFonts w:cstheme="minorHAnsi"/>
        </w:rPr>
      </w:pPr>
      <w:r w:rsidRPr="00D35AB9">
        <w:rPr>
          <w:rFonts w:cstheme="minorHAnsi"/>
        </w:rPr>
        <w:t>No controls on exports between GB and NI</w:t>
      </w:r>
    </w:p>
    <w:p w14:paraId="5A9C03EF" w14:textId="77777777" w:rsidR="008E58FB" w:rsidRPr="00D35AB9" w:rsidRDefault="008E58FB" w:rsidP="00D35AB9">
      <w:pPr>
        <w:pStyle w:val="ListParagraph"/>
        <w:spacing w:line="276" w:lineRule="auto"/>
        <w:ind w:left="1440"/>
        <w:rPr>
          <w:rFonts w:cstheme="minorHAnsi"/>
          <w:b/>
        </w:rPr>
      </w:pPr>
    </w:p>
    <w:p w14:paraId="2E4FCB08" w14:textId="77777777" w:rsidR="008E58FB" w:rsidRPr="00D35AB9" w:rsidRDefault="008E58FB" w:rsidP="00D35AB9">
      <w:pPr>
        <w:pStyle w:val="ListParagraph"/>
        <w:numPr>
          <w:ilvl w:val="0"/>
          <w:numId w:val="17"/>
        </w:numPr>
        <w:spacing w:after="0" w:line="276" w:lineRule="auto"/>
        <w:rPr>
          <w:rFonts w:cstheme="minorHAnsi"/>
          <w:b/>
        </w:rPr>
      </w:pPr>
      <w:r w:rsidRPr="00D35AB9">
        <w:rPr>
          <w:rFonts w:cstheme="minorHAnsi"/>
          <w:b/>
        </w:rPr>
        <w:t>Teething / future problems?</w:t>
      </w:r>
    </w:p>
    <w:p w14:paraId="462CB844" w14:textId="77777777" w:rsidR="008E58FB" w:rsidRPr="00D35AB9" w:rsidRDefault="008E58FB" w:rsidP="00D35AB9">
      <w:pPr>
        <w:pStyle w:val="ListParagraph"/>
        <w:numPr>
          <w:ilvl w:val="1"/>
          <w:numId w:val="17"/>
        </w:numPr>
        <w:spacing w:after="0" w:line="276" w:lineRule="auto"/>
        <w:rPr>
          <w:rFonts w:cstheme="minorHAnsi"/>
        </w:rPr>
      </w:pPr>
      <w:r w:rsidRPr="00D35AB9">
        <w:rPr>
          <w:rFonts w:cstheme="minorHAnsi"/>
        </w:rPr>
        <w:t>Status of EU licenses in NI</w:t>
      </w:r>
    </w:p>
    <w:p w14:paraId="3CA5D1AF" w14:textId="77777777" w:rsidR="008E58FB" w:rsidRPr="00D35AB9" w:rsidRDefault="008E58FB" w:rsidP="00D35AB9">
      <w:pPr>
        <w:pStyle w:val="ListParagraph"/>
        <w:numPr>
          <w:ilvl w:val="1"/>
          <w:numId w:val="17"/>
        </w:numPr>
        <w:spacing w:after="0" w:line="276" w:lineRule="auto"/>
        <w:rPr>
          <w:rFonts w:cstheme="minorHAnsi"/>
        </w:rPr>
      </w:pPr>
      <w:r w:rsidRPr="00D35AB9">
        <w:rPr>
          <w:rFonts w:cstheme="minorHAnsi"/>
        </w:rPr>
        <w:t>Divergence between controls in NI and GB: implications for Irish sea</w:t>
      </w:r>
    </w:p>
    <w:p w14:paraId="4069FD44" w14:textId="77777777" w:rsidR="008E58FB" w:rsidRPr="00D35AB9" w:rsidRDefault="008E58FB" w:rsidP="00D35AB9">
      <w:pPr>
        <w:pStyle w:val="ListParagraph"/>
        <w:numPr>
          <w:ilvl w:val="1"/>
          <w:numId w:val="17"/>
        </w:numPr>
        <w:spacing w:after="0" w:line="276" w:lineRule="auto"/>
        <w:rPr>
          <w:rFonts w:cstheme="minorHAnsi"/>
        </w:rPr>
      </w:pPr>
      <w:r w:rsidRPr="00D35AB9">
        <w:rPr>
          <w:rFonts w:cstheme="minorHAnsi"/>
        </w:rPr>
        <w:t>Competence of CJEU over UK export control law</w:t>
      </w:r>
    </w:p>
    <w:p w14:paraId="4A18F8BA" w14:textId="3AB189A6" w:rsidR="007B3295" w:rsidRPr="00D35AB9" w:rsidRDefault="007B3295" w:rsidP="00D35AB9">
      <w:pPr>
        <w:spacing w:after="160" w:line="276" w:lineRule="auto"/>
        <w:rPr>
          <w:b/>
          <w:u w:val="single"/>
        </w:rPr>
      </w:pPr>
    </w:p>
    <w:p w14:paraId="68B6E1EE" w14:textId="4BFFC469" w:rsidR="007B3295" w:rsidRPr="00D35AB9" w:rsidRDefault="007B3295" w:rsidP="005F538E">
      <w:pPr>
        <w:jc w:val="center"/>
        <w:rPr>
          <w:b/>
          <w:color w:val="0070C0"/>
          <w:sz w:val="32"/>
          <w:szCs w:val="32"/>
        </w:rPr>
      </w:pPr>
      <w:r w:rsidRPr="00D35AB9">
        <w:rPr>
          <w:b/>
          <w:color w:val="0070C0"/>
          <w:sz w:val="32"/>
          <w:szCs w:val="32"/>
        </w:rPr>
        <w:lastRenderedPageBreak/>
        <w:t>THE UK AND EU BLOCKING REGULATIONS</w:t>
      </w:r>
    </w:p>
    <w:p w14:paraId="2894E061" w14:textId="77777777" w:rsidR="007B3295" w:rsidRDefault="007B3295" w:rsidP="005F538E">
      <w:pPr>
        <w:jc w:val="center"/>
        <w:rPr>
          <w:b/>
          <w:u w:val="single"/>
        </w:rPr>
      </w:pPr>
    </w:p>
    <w:p w14:paraId="62CF7671" w14:textId="77777777" w:rsidR="007B3295" w:rsidRDefault="007B3295" w:rsidP="005F538E">
      <w:pPr>
        <w:rPr>
          <w:b/>
          <w:u w:val="single"/>
        </w:rPr>
      </w:pPr>
    </w:p>
    <w:p w14:paraId="454ED979" w14:textId="573336F0" w:rsidR="005F538E" w:rsidRPr="00D35AB9" w:rsidRDefault="005F538E" w:rsidP="00D35AB9">
      <w:pPr>
        <w:spacing w:line="276" w:lineRule="auto"/>
        <w:rPr>
          <w:rFonts w:asciiTheme="minorHAnsi" w:hAnsiTheme="minorHAnsi" w:cstheme="minorHAnsi"/>
          <w:b/>
        </w:rPr>
      </w:pPr>
      <w:r w:rsidRPr="00D35AB9">
        <w:rPr>
          <w:rFonts w:asciiTheme="minorHAnsi" w:hAnsiTheme="minorHAnsi" w:cstheme="minorHAnsi"/>
          <w:b/>
        </w:rPr>
        <w:t>The EU Blocking Regulations</w:t>
      </w:r>
    </w:p>
    <w:p w14:paraId="7CF9CB06" w14:textId="77777777" w:rsidR="005F538E" w:rsidRPr="00D35AB9" w:rsidRDefault="005F538E" w:rsidP="00D35AB9">
      <w:pPr>
        <w:pStyle w:val="ListParagraph"/>
        <w:numPr>
          <w:ilvl w:val="0"/>
          <w:numId w:val="20"/>
        </w:numPr>
        <w:spacing w:before="120" w:after="120" w:line="276" w:lineRule="auto"/>
        <w:jc w:val="both"/>
        <w:rPr>
          <w:rFonts w:cstheme="minorHAnsi"/>
        </w:rPr>
      </w:pPr>
      <w:r w:rsidRPr="00D35AB9">
        <w:rPr>
          <w:rFonts w:cstheme="minorHAnsi"/>
        </w:rPr>
        <w:t xml:space="preserve">Council Regulation (EC) No 2271/96 of 22 November 1996 protecting against the effect of the extra-territorial application of legislation adopted by a third country, and actions based thereon or resulting therefrom: </w:t>
      </w:r>
    </w:p>
    <w:p w14:paraId="15EE9DBE" w14:textId="77777777" w:rsidR="005F538E" w:rsidRPr="00D35AB9" w:rsidRDefault="00812244" w:rsidP="00D35AB9">
      <w:pPr>
        <w:pStyle w:val="ListParagraph"/>
        <w:spacing w:line="276" w:lineRule="auto"/>
        <w:ind w:left="360"/>
        <w:rPr>
          <w:rFonts w:cstheme="minorHAnsi"/>
        </w:rPr>
      </w:pPr>
      <w:hyperlink r:id="rId35" w:history="1">
        <w:r w:rsidR="005F538E" w:rsidRPr="00D35AB9">
          <w:rPr>
            <w:rStyle w:val="Hyperlink"/>
            <w:rFonts w:cstheme="minorHAnsi"/>
          </w:rPr>
          <w:t>https://eur-lex.europa.eu/legal-content/EN/AUTO/?uri=CELEX:01996R2271-20180807&amp;qid=1611080056319</w:t>
        </w:r>
      </w:hyperlink>
    </w:p>
    <w:p w14:paraId="513F5613" w14:textId="77777777" w:rsidR="006D4BE5" w:rsidRDefault="006D4BE5" w:rsidP="006D4BE5">
      <w:pPr>
        <w:pStyle w:val="ListParagraph"/>
        <w:spacing w:before="120" w:after="120" w:line="276" w:lineRule="auto"/>
        <w:ind w:left="360"/>
        <w:jc w:val="both"/>
        <w:rPr>
          <w:rFonts w:cstheme="minorHAnsi"/>
        </w:rPr>
      </w:pPr>
    </w:p>
    <w:p w14:paraId="7E263F89" w14:textId="5BA482EB" w:rsidR="005F538E" w:rsidRPr="00D35AB9" w:rsidRDefault="005F538E" w:rsidP="00D35AB9">
      <w:pPr>
        <w:pStyle w:val="ListParagraph"/>
        <w:numPr>
          <w:ilvl w:val="0"/>
          <w:numId w:val="20"/>
        </w:numPr>
        <w:spacing w:before="120" w:after="120" w:line="276" w:lineRule="auto"/>
        <w:jc w:val="both"/>
        <w:rPr>
          <w:rFonts w:cstheme="minorHAnsi"/>
        </w:rPr>
      </w:pPr>
      <w:r w:rsidRPr="00D35AB9">
        <w:rPr>
          <w:rFonts w:cstheme="minorHAnsi"/>
        </w:rPr>
        <w:t>Commission Implementing Regulation (EU) 2018/1101 of 3 August 2018 laying down the criteria for the application of the second paragraph of Article 5 of Council Regulation (EC) No 2271/96:</w:t>
      </w:r>
    </w:p>
    <w:p w14:paraId="1C606FD8" w14:textId="77777777" w:rsidR="005F538E" w:rsidRPr="00D35AB9" w:rsidRDefault="00812244" w:rsidP="00D35AB9">
      <w:pPr>
        <w:pStyle w:val="ListParagraph"/>
        <w:spacing w:line="276" w:lineRule="auto"/>
        <w:ind w:left="360"/>
        <w:rPr>
          <w:rFonts w:cstheme="minorHAnsi"/>
        </w:rPr>
      </w:pPr>
      <w:hyperlink r:id="rId36" w:history="1">
        <w:r w:rsidR="005F538E" w:rsidRPr="00D35AB9">
          <w:rPr>
            <w:rStyle w:val="Hyperlink"/>
            <w:rFonts w:cstheme="minorHAnsi"/>
          </w:rPr>
          <w:t>https://eur-lex.europa.eu/legal content/AUTO/?uri=CELEX:32018R1101&amp;qid=1611080244420&amp;rid=1</w:t>
        </w:r>
      </w:hyperlink>
    </w:p>
    <w:p w14:paraId="3AAF7BB9" w14:textId="77777777" w:rsidR="005F538E" w:rsidRPr="00D35AB9" w:rsidRDefault="005F538E" w:rsidP="00D35AB9">
      <w:pPr>
        <w:spacing w:line="276" w:lineRule="auto"/>
        <w:rPr>
          <w:rFonts w:asciiTheme="minorHAnsi" w:hAnsiTheme="minorHAnsi" w:cstheme="minorHAnsi"/>
        </w:rPr>
      </w:pPr>
    </w:p>
    <w:p w14:paraId="792A4245" w14:textId="77777777" w:rsidR="005F538E" w:rsidRPr="00D35AB9" w:rsidRDefault="005F538E" w:rsidP="00D35AB9">
      <w:pPr>
        <w:spacing w:line="276" w:lineRule="auto"/>
        <w:rPr>
          <w:rFonts w:asciiTheme="minorHAnsi" w:hAnsiTheme="minorHAnsi" w:cstheme="minorHAnsi"/>
          <w:b/>
        </w:rPr>
      </w:pPr>
      <w:r w:rsidRPr="00D35AB9">
        <w:rPr>
          <w:rFonts w:asciiTheme="minorHAnsi" w:hAnsiTheme="minorHAnsi" w:cstheme="minorHAnsi"/>
          <w:b/>
        </w:rPr>
        <w:t>The UK Blocking Regulation</w:t>
      </w:r>
    </w:p>
    <w:p w14:paraId="653D37A4" w14:textId="77777777" w:rsidR="005F538E" w:rsidRPr="00D35AB9" w:rsidRDefault="005F538E" w:rsidP="00D35AB9">
      <w:pPr>
        <w:pStyle w:val="ListParagraph"/>
        <w:numPr>
          <w:ilvl w:val="0"/>
          <w:numId w:val="20"/>
        </w:numPr>
        <w:spacing w:before="120" w:after="120" w:line="276" w:lineRule="auto"/>
        <w:jc w:val="both"/>
        <w:rPr>
          <w:rFonts w:cstheme="minorHAnsi"/>
        </w:rPr>
      </w:pPr>
      <w:r w:rsidRPr="00D35AB9">
        <w:rPr>
          <w:rFonts w:cstheme="minorHAnsi"/>
        </w:rPr>
        <w:t>SI 2020 No. 1660: The Protecting against the Effects of the Extraterritorial Application of Third Country Legislation (Amendment) (EU Exit) Regulations 2020:</w:t>
      </w:r>
    </w:p>
    <w:p w14:paraId="788C820A" w14:textId="77777777" w:rsidR="005F538E" w:rsidRPr="00D35AB9" w:rsidRDefault="00812244" w:rsidP="00D35AB9">
      <w:pPr>
        <w:pStyle w:val="ListParagraph"/>
        <w:spacing w:line="276" w:lineRule="auto"/>
        <w:ind w:left="360"/>
        <w:rPr>
          <w:rFonts w:cstheme="minorHAnsi"/>
        </w:rPr>
      </w:pPr>
      <w:hyperlink r:id="rId37" w:history="1">
        <w:r w:rsidR="005F538E" w:rsidRPr="00D35AB9">
          <w:rPr>
            <w:rStyle w:val="Hyperlink"/>
            <w:rFonts w:cstheme="minorHAnsi"/>
          </w:rPr>
          <w:t>https://www.legislation.gov.uk/uksi/2020/1660/contents/made</w:t>
        </w:r>
      </w:hyperlink>
    </w:p>
    <w:p w14:paraId="384C2141" w14:textId="77777777" w:rsidR="006D4BE5" w:rsidRDefault="006D4BE5" w:rsidP="006D4BE5">
      <w:pPr>
        <w:pStyle w:val="ListParagraph"/>
        <w:spacing w:before="120" w:after="120" w:line="276" w:lineRule="auto"/>
        <w:ind w:left="360"/>
        <w:jc w:val="both"/>
        <w:rPr>
          <w:rFonts w:cstheme="minorHAnsi"/>
        </w:rPr>
      </w:pPr>
    </w:p>
    <w:p w14:paraId="4165B650" w14:textId="14E535C2" w:rsidR="005F538E" w:rsidRPr="00D35AB9" w:rsidRDefault="005F538E" w:rsidP="00D35AB9">
      <w:pPr>
        <w:pStyle w:val="ListParagraph"/>
        <w:numPr>
          <w:ilvl w:val="0"/>
          <w:numId w:val="20"/>
        </w:numPr>
        <w:spacing w:before="120" w:after="120" w:line="276" w:lineRule="auto"/>
        <w:jc w:val="both"/>
        <w:rPr>
          <w:rFonts w:cstheme="minorHAnsi"/>
        </w:rPr>
      </w:pPr>
      <w:r w:rsidRPr="00D35AB9">
        <w:rPr>
          <w:rFonts w:cstheme="minorHAnsi"/>
        </w:rPr>
        <w:t>Explanatory Memorandum:</w:t>
      </w:r>
    </w:p>
    <w:p w14:paraId="760FFE7D" w14:textId="6CF5C7EA" w:rsidR="005F538E" w:rsidRPr="00D35AB9" w:rsidRDefault="00812244" w:rsidP="00D35AB9">
      <w:pPr>
        <w:pStyle w:val="ListParagraph"/>
        <w:spacing w:line="276" w:lineRule="auto"/>
        <w:ind w:left="360"/>
        <w:rPr>
          <w:rStyle w:val="Hyperlink"/>
          <w:rFonts w:cstheme="minorHAnsi"/>
        </w:rPr>
      </w:pPr>
      <w:hyperlink r:id="rId38" w:history="1">
        <w:r w:rsidR="005F538E" w:rsidRPr="00D35AB9">
          <w:rPr>
            <w:rStyle w:val="Hyperlink"/>
            <w:rFonts w:cstheme="minorHAnsi"/>
          </w:rPr>
          <w:t>https://www.legislation.gov.uk/uksi/2020/1660/memorandum/contents</w:t>
        </w:r>
      </w:hyperlink>
    </w:p>
    <w:p w14:paraId="2C035551" w14:textId="16ECE144" w:rsidR="007B3295" w:rsidRPr="00D35AB9" w:rsidRDefault="007B3295" w:rsidP="00D35AB9">
      <w:pPr>
        <w:pStyle w:val="ListParagraph"/>
        <w:spacing w:line="276" w:lineRule="auto"/>
        <w:ind w:left="360"/>
        <w:rPr>
          <w:rStyle w:val="Hyperlink"/>
          <w:rFonts w:cstheme="minorHAnsi"/>
        </w:rPr>
      </w:pPr>
    </w:p>
    <w:p w14:paraId="300B8CA7" w14:textId="77777777" w:rsidR="00145243" w:rsidRDefault="007B3295" w:rsidP="00D35AB9">
      <w:pPr>
        <w:pStyle w:val="ListParagraph"/>
        <w:numPr>
          <w:ilvl w:val="0"/>
          <w:numId w:val="20"/>
        </w:numPr>
        <w:spacing w:before="120" w:after="120" w:line="276" w:lineRule="auto"/>
        <w:jc w:val="both"/>
        <w:rPr>
          <w:rFonts w:cstheme="minorHAnsi"/>
        </w:rPr>
      </w:pPr>
      <w:r w:rsidRPr="00D35AB9">
        <w:rPr>
          <w:rFonts w:cstheme="minorHAnsi"/>
        </w:rPr>
        <w:t>Guidance:</w:t>
      </w:r>
    </w:p>
    <w:p w14:paraId="641F5FC0" w14:textId="0190EE1D" w:rsidR="00722D18" w:rsidRPr="00D35AB9" w:rsidRDefault="00812244" w:rsidP="00145243">
      <w:pPr>
        <w:pStyle w:val="ListParagraph"/>
        <w:spacing w:before="120" w:after="120" w:line="276" w:lineRule="auto"/>
        <w:ind w:left="360"/>
        <w:jc w:val="both"/>
        <w:rPr>
          <w:rFonts w:cstheme="minorHAnsi"/>
        </w:rPr>
      </w:pPr>
      <w:hyperlink r:id="rId39" w:history="1">
        <w:r w:rsidR="00722D18" w:rsidRPr="00D35AB9">
          <w:rPr>
            <w:rStyle w:val="Hyperlink"/>
            <w:rFonts w:cstheme="minorHAnsi"/>
          </w:rPr>
          <w:t>https://www.gov.uk/guidance/protection-of-trading-interests-retained-blocking-regulation</w:t>
        </w:r>
      </w:hyperlink>
    </w:p>
    <w:p w14:paraId="5EA30309" w14:textId="77777777" w:rsidR="005F538E" w:rsidRPr="00D35AB9" w:rsidRDefault="005F538E" w:rsidP="00D35AB9">
      <w:pPr>
        <w:spacing w:line="276" w:lineRule="auto"/>
        <w:rPr>
          <w:rFonts w:asciiTheme="minorHAnsi" w:hAnsiTheme="minorHAnsi" w:cstheme="minorHAnsi"/>
        </w:rPr>
      </w:pPr>
    </w:p>
    <w:p w14:paraId="469FCC52" w14:textId="396FE65C" w:rsidR="007B3295" w:rsidRPr="00D35AB9" w:rsidRDefault="005F538E" w:rsidP="00D35AB9">
      <w:pPr>
        <w:spacing w:line="276" w:lineRule="auto"/>
        <w:rPr>
          <w:rFonts w:asciiTheme="minorHAnsi" w:hAnsiTheme="minorHAnsi" w:cstheme="minorHAnsi"/>
          <w:b/>
        </w:rPr>
      </w:pPr>
      <w:r w:rsidRPr="00D35AB9">
        <w:rPr>
          <w:rFonts w:asciiTheme="minorHAnsi" w:hAnsiTheme="minorHAnsi" w:cstheme="minorHAnsi"/>
          <w:b/>
        </w:rPr>
        <w:t>CJEU preliminary reference</w:t>
      </w:r>
      <w:r w:rsidR="007B3295" w:rsidRPr="00D35AB9">
        <w:rPr>
          <w:rFonts w:asciiTheme="minorHAnsi" w:hAnsiTheme="minorHAnsi" w:cstheme="minorHAnsi"/>
          <w:b/>
        </w:rPr>
        <w:t>s</w:t>
      </w:r>
      <w:r w:rsidR="006D4BE5">
        <w:rPr>
          <w:rFonts w:asciiTheme="minorHAnsi" w:hAnsiTheme="minorHAnsi" w:cstheme="minorHAnsi"/>
          <w:b/>
        </w:rPr>
        <w:t xml:space="preserve"> on the EU Blocking Regulation</w:t>
      </w:r>
    </w:p>
    <w:p w14:paraId="0C4B6AF2" w14:textId="44526E4D" w:rsidR="007B3295" w:rsidRPr="00D35AB9" w:rsidRDefault="007B3295" w:rsidP="00D35AB9">
      <w:pPr>
        <w:spacing w:line="276" w:lineRule="auto"/>
        <w:rPr>
          <w:rFonts w:asciiTheme="minorHAnsi" w:hAnsiTheme="minorHAnsi" w:cstheme="minorHAnsi"/>
          <w:b/>
          <w:u w:val="single"/>
        </w:rPr>
      </w:pPr>
    </w:p>
    <w:p w14:paraId="295E5624" w14:textId="4B467BFF" w:rsidR="007B3295" w:rsidRPr="005B79BF" w:rsidRDefault="007B3295" w:rsidP="00D35AB9">
      <w:pPr>
        <w:pStyle w:val="ListParagraph"/>
        <w:numPr>
          <w:ilvl w:val="0"/>
          <w:numId w:val="20"/>
        </w:numPr>
        <w:spacing w:before="120" w:after="120" w:line="276" w:lineRule="auto"/>
        <w:jc w:val="both"/>
        <w:rPr>
          <w:rStyle w:val="apple-converted-space"/>
          <w:rFonts w:cstheme="minorHAnsi"/>
          <w:lang w:val="de-DE"/>
        </w:rPr>
      </w:pPr>
      <w:r w:rsidRPr="00602A35">
        <w:rPr>
          <w:rStyle w:val="apple-converted-space"/>
          <w:rFonts w:cstheme="minorHAnsi"/>
          <w:color w:val="2B3337"/>
          <w:shd w:val="clear" w:color="auto" w:fill="FFFFFF"/>
          <w:lang w:val="de-DE"/>
        </w:rPr>
        <w:t>March 2020:</w:t>
      </w:r>
      <w:r w:rsidRPr="00602A35">
        <w:rPr>
          <w:rStyle w:val="apple-converted-space"/>
          <w:rFonts w:cstheme="minorHAnsi"/>
          <w:i/>
          <w:iCs/>
          <w:color w:val="2B3337"/>
          <w:shd w:val="clear" w:color="auto" w:fill="FFFFFF"/>
          <w:lang w:val="de-DE"/>
        </w:rPr>
        <w:t xml:space="preserve"> </w:t>
      </w:r>
      <w:r w:rsidRPr="00602A35">
        <w:rPr>
          <w:rStyle w:val="Emphasis"/>
          <w:rFonts w:cstheme="minorHAnsi"/>
          <w:color w:val="2B3337"/>
          <w:lang w:val="de-DE"/>
        </w:rPr>
        <w:t>Bank Mell</w:t>
      </w:r>
      <w:r w:rsidR="005B79BF">
        <w:rPr>
          <w:rStyle w:val="Emphasis"/>
          <w:rFonts w:cstheme="minorHAnsi"/>
          <w:color w:val="2B3337"/>
          <w:lang w:val="de-DE"/>
        </w:rPr>
        <w:t>i Iran v Telekom Deutschland Gmb</w:t>
      </w:r>
      <w:r w:rsidRPr="00602A35">
        <w:rPr>
          <w:rStyle w:val="Emphasis"/>
          <w:rFonts w:cstheme="minorHAnsi"/>
          <w:color w:val="2B3337"/>
          <w:lang w:val="de-DE"/>
        </w:rPr>
        <w:t>H</w:t>
      </w:r>
      <w:r w:rsidR="005B79BF">
        <w:rPr>
          <w:rStyle w:val="apple-converted-space"/>
          <w:rFonts w:cstheme="minorHAnsi"/>
          <w:color w:val="2B3337"/>
          <w:shd w:val="clear" w:color="auto" w:fill="FFFFFF"/>
          <w:lang w:val="de-DE"/>
        </w:rPr>
        <w:t>:</w:t>
      </w:r>
    </w:p>
    <w:p w14:paraId="6A0FD1C2" w14:textId="25C2862D" w:rsidR="005B79BF" w:rsidRPr="00602A35" w:rsidRDefault="00812244" w:rsidP="005B79BF">
      <w:pPr>
        <w:pStyle w:val="ListParagraph"/>
        <w:spacing w:before="120" w:after="120" w:line="276" w:lineRule="auto"/>
        <w:ind w:left="360"/>
        <w:jc w:val="both"/>
        <w:rPr>
          <w:rFonts w:cstheme="minorHAnsi"/>
          <w:lang w:val="de-DE"/>
        </w:rPr>
      </w:pPr>
      <w:hyperlink r:id="rId40" w:history="1">
        <w:r w:rsidR="005B79BF" w:rsidRPr="00997821">
          <w:rPr>
            <w:rStyle w:val="Hyperlink"/>
            <w:rFonts w:cstheme="minorHAnsi"/>
            <w:lang w:val="de-DE"/>
          </w:rPr>
          <w:t>http://curia.europa.eu/juris/showPdf.jsf?text=&amp;docid=225701&amp;pageIndex=0&amp;doclang=EN&amp;mode=req&amp;dir=&amp;occ=first&amp;part=1&amp;cid=11648</w:t>
        </w:r>
      </w:hyperlink>
    </w:p>
    <w:p w14:paraId="70F57337" w14:textId="77777777" w:rsidR="006D4BE5" w:rsidRPr="006D4BE5" w:rsidRDefault="006D4BE5" w:rsidP="006D4BE5">
      <w:pPr>
        <w:pStyle w:val="ListParagraph"/>
        <w:spacing w:before="120" w:after="120" w:line="276" w:lineRule="auto"/>
        <w:ind w:left="360"/>
        <w:jc w:val="both"/>
        <w:rPr>
          <w:rFonts w:cstheme="minorHAnsi"/>
          <w:b/>
          <w:i/>
          <w:iCs/>
          <w:u w:val="single"/>
        </w:rPr>
      </w:pPr>
    </w:p>
    <w:p w14:paraId="706455CE" w14:textId="2231F0F4" w:rsidR="005F538E" w:rsidRPr="00D35AB9" w:rsidRDefault="005F538E" w:rsidP="00D35AB9">
      <w:pPr>
        <w:pStyle w:val="ListParagraph"/>
        <w:numPr>
          <w:ilvl w:val="0"/>
          <w:numId w:val="20"/>
        </w:numPr>
        <w:spacing w:before="120" w:after="120" w:line="276" w:lineRule="auto"/>
        <w:jc w:val="both"/>
        <w:rPr>
          <w:rFonts w:cstheme="minorHAnsi"/>
          <w:b/>
          <w:i/>
          <w:iCs/>
          <w:u w:val="single"/>
        </w:rPr>
      </w:pPr>
      <w:r w:rsidRPr="00D35AB9">
        <w:rPr>
          <w:rFonts w:cstheme="minorHAnsi"/>
        </w:rPr>
        <w:t xml:space="preserve">July 2020: </w:t>
      </w:r>
      <w:r w:rsidRPr="00D35AB9">
        <w:rPr>
          <w:rFonts w:cstheme="minorHAnsi"/>
          <w:i/>
          <w:iCs/>
        </w:rPr>
        <w:t xml:space="preserve">Bank </w:t>
      </w:r>
      <w:r w:rsidR="00D35AB9">
        <w:rPr>
          <w:rFonts w:cstheme="minorHAnsi"/>
          <w:i/>
          <w:iCs/>
        </w:rPr>
        <w:t>Sepah v</w:t>
      </w:r>
      <w:r w:rsidRPr="00D35AB9">
        <w:rPr>
          <w:rFonts w:cstheme="minorHAnsi"/>
          <w:i/>
          <w:iCs/>
        </w:rPr>
        <w:t xml:space="preserve"> Overseas Financial Limited and Oaktree Finance Limited:</w:t>
      </w:r>
    </w:p>
    <w:p w14:paraId="543CB34D" w14:textId="77777777" w:rsidR="005F538E" w:rsidRPr="00D35AB9" w:rsidRDefault="00812244" w:rsidP="00D35AB9">
      <w:pPr>
        <w:pStyle w:val="ListParagraph"/>
        <w:spacing w:line="276" w:lineRule="auto"/>
        <w:ind w:left="360"/>
        <w:rPr>
          <w:rFonts w:cstheme="minorHAnsi"/>
          <w:u w:val="single"/>
        </w:rPr>
      </w:pPr>
      <w:hyperlink r:id="rId41" w:history="1">
        <w:r w:rsidR="005F538E" w:rsidRPr="00D35AB9">
          <w:rPr>
            <w:rStyle w:val="Hyperlink"/>
            <w:rFonts w:cstheme="minorHAnsi"/>
          </w:rPr>
          <w:t>http://curia.europa.eu/juris/showPdf.jsf?text=&amp;docid=230944&amp;pageIndex=0&amp;doclang=EN&amp;mode=lst&amp;dir=&amp;occ=first&amp;part=1&amp;cid=2035352</w:t>
        </w:r>
      </w:hyperlink>
    </w:p>
    <w:p w14:paraId="37B7675E" w14:textId="77777777" w:rsidR="005F538E" w:rsidRPr="00D35AB9" w:rsidRDefault="005F538E" w:rsidP="00D35AB9">
      <w:pPr>
        <w:pStyle w:val="ListParagraph"/>
        <w:spacing w:line="276" w:lineRule="auto"/>
        <w:ind w:left="360"/>
        <w:rPr>
          <w:rFonts w:cstheme="minorHAnsi"/>
          <w:b/>
          <w:u w:val="single"/>
        </w:rPr>
      </w:pPr>
    </w:p>
    <w:p w14:paraId="74585E21" w14:textId="597A9969" w:rsidR="005F538E" w:rsidRPr="00D35AB9" w:rsidRDefault="005F538E" w:rsidP="00722D18">
      <w:pPr>
        <w:spacing w:line="276" w:lineRule="auto"/>
        <w:rPr>
          <w:rFonts w:asciiTheme="minorHAnsi" w:hAnsiTheme="minorHAnsi" w:cstheme="minorHAnsi"/>
          <w:b/>
          <w:bCs/>
          <w:sz w:val="24"/>
          <w:szCs w:val="24"/>
          <w:u w:val="single"/>
        </w:rPr>
      </w:pPr>
    </w:p>
    <w:sectPr w:rsidR="005F538E" w:rsidRPr="00D35AB9">
      <w:footerReference w:type="defaul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AB378" w14:textId="77777777" w:rsidR="000E3B94" w:rsidRDefault="000E3B94" w:rsidP="00C15828">
      <w:r>
        <w:separator/>
      </w:r>
    </w:p>
  </w:endnote>
  <w:endnote w:type="continuationSeparator" w:id="0">
    <w:p w14:paraId="7D04C571" w14:textId="77777777" w:rsidR="000E3B94" w:rsidRDefault="000E3B94" w:rsidP="00C1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576095"/>
      <w:docPartObj>
        <w:docPartGallery w:val="Page Numbers (Bottom of Page)"/>
        <w:docPartUnique/>
      </w:docPartObj>
    </w:sdtPr>
    <w:sdtEndPr>
      <w:rPr>
        <w:noProof/>
      </w:rPr>
    </w:sdtEndPr>
    <w:sdtContent>
      <w:p w14:paraId="00328CC0" w14:textId="68364A6A" w:rsidR="00C15828" w:rsidRDefault="00C15828">
        <w:pPr>
          <w:pStyle w:val="Footer"/>
          <w:jc w:val="center"/>
        </w:pPr>
        <w:r>
          <w:fldChar w:fldCharType="begin"/>
        </w:r>
        <w:r>
          <w:instrText xml:space="preserve"> PAGE   \* MERGEFORMAT </w:instrText>
        </w:r>
        <w:r>
          <w:fldChar w:fldCharType="separate"/>
        </w:r>
        <w:r w:rsidR="00812244">
          <w:rPr>
            <w:noProof/>
          </w:rPr>
          <w:t>1</w:t>
        </w:r>
        <w:r>
          <w:rPr>
            <w:noProof/>
          </w:rPr>
          <w:fldChar w:fldCharType="end"/>
        </w:r>
      </w:p>
    </w:sdtContent>
  </w:sdt>
  <w:p w14:paraId="2E4E5272" w14:textId="77777777" w:rsidR="00C15828" w:rsidRDefault="00C158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856E3" w14:textId="77777777" w:rsidR="000E3B94" w:rsidRDefault="000E3B94" w:rsidP="00C15828">
      <w:r>
        <w:separator/>
      </w:r>
    </w:p>
  </w:footnote>
  <w:footnote w:type="continuationSeparator" w:id="0">
    <w:p w14:paraId="579F4769" w14:textId="77777777" w:rsidR="000E3B94" w:rsidRDefault="000E3B94" w:rsidP="00C15828">
      <w:r>
        <w:continuationSeparator/>
      </w:r>
    </w:p>
  </w:footnote>
  <w:footnote w:id="1">
    <w:p w14:paraId="0C406BED" w14:textId="77777777" w:rsidR="00430251" w:rsidRDefault="00430251" w:rsidP="004F7BC6">
      <w:pPr>
        <w:pStyle w:val="FootnoteText"/>
        <w:jc w:val="both"/>
      </w:pPr>
      <w:r>
        <w:rPr>
          <w:rStyle w:val="FootnoteReference"/>
        </w:rPr>
        <w:footnoteRef/>
      </w:r>
      <w:r>
        <w:t xml:space="preserve"> “</w:t>
      </w:r>
      <w:r w:rsidRPr="00F8472C">
        <w:rPr>
          <w:i/>
        </w:rPr>
        <w:t>No claims in connection with any contract or transaction the performance of which has been affected, directly or indirectly, in whole or in part, by the measures imposed under this Regulation, including claims for indemnity or any other claim of this type, such as a claim for compensation or a claim under a guarantee, notably a claim for extension or payment of a bond, guarantee or indemnity, particularly a financial guarantee or financial indemnity, of whatever form, shall be satisfied, if they are made by …</w:t>
      </w:r>
      <w:r>
        <w:t xml:space="preserve"> [designated persons, Iranian persons or other persons acting on their behalves]”.</w:t>
      </w:r>
    </w:p>
  </w:footnote>
  <w:footnote w:id="2">
    <w:p w14:paraId="059E009C" w14:textId="77777777" w:rsidR="008E58FB" w:rsidRPr="009D1D5E" w:rsidRDefault="008E58FB" w:rsidP="004F7BC6">
      <w:pPr>
        <w:pStyle w:val="FootnoteText"/>
        <w:jc w:val="both"/>
        <w:rPr>
          <w:rFonts w:cstheme="minorHAnsi"/>
        </w:rPr>
      </w:pPr>
      <w:r w:rsidRPr="009D1D5E">
        <w:rPr>
          <w:rStyle w:val="FootnoteReference"/>
          <w:rFonts w:cstheme="minorHAnsi"/>
        </w:rPr>
        <w:footnoteRef/>
      </w:r>
      <w:r w:rsidRPr="009D1D5E">
        <w:rPr>
          <w:rFonts w:cstheme="minorHAnsi"/>
        </w:rPr>
        <w:t xml:space="preserve"> Explanatory Notes to SAMLA, Para. 89. </w:t>
      </w:r>
    </w:p>
  </w:footnote>
  <w:footnote w:id="3">
    <w:p w14:paraId="198A2383" w14:textId="77777777" w:rsidR="008E58FB" w:rsidRPr="009D1D5E" w:rsidRDefault="008E58FB" w:rsidP="004F7BC6">
      <w:pPr>
        <w:jc w:val="both"/>
        <w:rPr>
          <w:rFonts w:asciiTheme="minorHAnsi" w:hAnsiTheme="minorHAnsi" w:cstheme="minorHAnsi"/>
          <w:sz w:val="20"/>
          <w:szCs w:val="20"/>
        </w:rPr>
      </w:pPr>
      <w:r w:rsidRPr="009D1D5E">
        <w:rPr>
          <w:rStyle w:val="FootnoteReference"/>
          <w:rFonts w:asciiTheme="minorHAnsi" w:hAnsiTheme="minorHAnsi" w:cstheme="minorHAnsi"/>
          <w:sz w:val="20"/>
          <w:szCs w:val="20"/>
        </w:rPr>
        <w:footnoteRef/>
      </w:r>
      <w:r w:rsidRPr="009D1D5E">
        <w:rPr>
          <w:rFonts w:asciiTheme="minorHAnsi" w:hAnsiTheme="minorHAnsi" w:cstheme="minorHAnsi"/>
          <w:sz w:val="20"/>
          <w:szCs w:val="20"/>
        </w:rPr>
        <w:t xml:space="preserve"> Explanatory Notes to SAMLA, Para. 89. The evidentiary threshold for designation by name and description is set out in Sections 11(2) and 12(5) of SAMLA.</w:t>
      </w:r>
    </w:p>
  </w:footnote>
  <w:footnote w:id="4">
    <w:p w14:paraId="63810CF6" w14:textId="77777777" w:rsidR="008E58FB" w:rsidRPr="009D1D5E" w:rsidRDefault="008E58FB" w:rsidP="004F7BC6">
      <w:pPr>
        <w:pStyle w:val="FootnoteText"/>
        <w:jc w:val="both"/>
        <w:rPr>
          <w:rFonts w:cstheme="minorHAnsi"/>
          <w:lang w:val="sv-SE"/>
        </w:rPr>
      </w:pPr>
      <w:r w:rsidRPr="009D1D5E">
        <w:rPr>
          <w:rStyle w:val="FootnoteReference"/>
          <w:rFonts w:cstheme="minorHAnsi"/>
        </w:rPr>
        <w:footnoteRef/>
      </w:r>
      <w:r w:rsidRPr="009D1D5E">
        <w:rPr>
          <w:rFonts w:cstheme="minorHAnsi"/>
          <w:lang w:val="sv-SE"/>
        </w:rPr>
        <w:t xml:space="preserve"> SAMLA, s. 33(2)(a).</w:t>
      </w:r>
    </w:p>
  </w:footnote>
  <w:footnote w:id="5">
    <w:p w14:paraId="68DB384B" w14:textId="77777777" w:rsidR="008E58FB" w:rsidRPr="009D1D5E" w:rsidRDefault="008E58FB" w:rsidP="004F7BC6">
      <w:pPr>
        <w:pStyle w:val="FootnoteText"/>
        <w:jc w:val="both"/>
        <w:rPr>
          <w:rFonts w:cstheme="minorHAnsi"/>
          <w:lang w:val="sv-SE"/>
        </w:rPr>
      </w:pPr>
      <w:r w:rsidRPr="009D1D5E">
        <w:rPr>
          <w:rStyle w:val="FootnoteReference"/>
          <w:rFonts w:cstheme="minorHAnsi"/>
        </w:rPr>
        <w:footnoteRef/>
      </w:r>
      <w:r w:rsidRPr="009D1D5E">
        <w:rPr>
          <w:rFonts w:cstheme="minorHAnsi"/>
          <w:lang w:val="sv-SE"/>
        </w:rPr>
        <w:t xml:space="preserve"> SAMLA, s. 33(2)(b). </w:t>
      </w:r>
    </w:p>
  </w:footnote>
  <w:footnote w:id="6">
    <w:p w14:paraId="3D0B89E9" w14:textId="77777777" w:rsidR="008E58FB" w:rsidRPr="005F538E" w:rsidRDefault="008E58FB" w:rsidP="004F7BC6">
      <w:pPr>
        <w:pStyle w:val="FootnoteText"/>
        <w:jc w:val="both"/>
        <w:rPr>
          <w:rFonts w:ascii="Times New Roman" w:hAnsi="Times New Roman" w:cs="Times New Roman"/>
          <w:lang w:val="sv-SE"/>
        </w:rPr>
      </w:pPr>
      <w:r w:rsidRPr="009D1D5E">
        <w:rPr>
          <w:rStyle w:val="FootnoteReference"/>
          <w:rFonts w:cstheme="minorHAnsi"/>
        </w:rPr>
        <w:footnoteRef/>
      </w:r>
      <w:r w:rsidRPr="009D1D5E">
        <w:rPr>
          <w:rFonts w:cstheme="minorHAnsi"/>
          <w:lang w:val="sv-SE"/>
        </w:rPr>
        <w:t xml:space="preserve"> SAMLA, s. 22(2).</w:t>
      </w:r>
    </w:p>
  </w:footnote>
  <w:footnote w:id="7">
    <w:p w14:paraId="7EB6825D" w14:textId="77777777" w:rsidR="008E58FB" w:rsidRPr="009D1D5E" w:rsidRDefault="008E58FB" w:rsidP="008E58FB">
      <w:pPr>
        <w:pStyle w:val="FootnoteText"/>
        <w:rPr>
          <w:rFonts w:cstheme="minorHAnsi"/>
          <w:lang w:val="sv-SE"/>
        </w:rPr>
      </w:pPr>
      <w:r w:rsidRPr="009D1D5E">
        <w:rPr>
          <w:rStyle w:val="FootnoteReference"/>
          <w:rFonts w:cstheme="minorHAnsi"/>
        </w:rPr>
        <w:footnoteRef/>
      </w:r>
      <w:r w:rsidRPr="009D1D5E">
        <w:rPr>
          <w:rFonts w:cstheme="minorHAnsi"/>
          <w:lang w:val="sv-SE"/>
        </w:rPr>
        <w:t xml:space="preserve"> SAMLA, s. 22(3) and (4).</w:t>
      </w:r>
    </w:p>
  </w:footnote>
  <w:footnote w:id="8">
    <w:p w14:paraId="3AB41801" w14:textId="77777777" w:rsidR="008E58FB" w:rsidRPr="009D1D5E" w:rsidRDefault="008E58FB" w:rsidP="008E58FB">
      <w:pPr>
        <w:pStyle w:val="FootnoteText"/>
        <w:rPr>
          <w:rFonts w:cstheme="minorHAnsi"/>
          <w:lang w:val="sv-SE"/>
        </w:rPr>
      </w:pPr>
      <w:r w:rsidRPr="009D1D5E">
        <w:rPr>
          <w:rStyle w:val="FootnoteReference"/>
          <w:rFonts w:cstheme="minorHAnsi"/>
        </w:rPr>
        <w:footnoteRef/>
      </w:r>
      <w:r w:rsidRPr="009D1D5E">
        <w:rPr>
          <w:rFonts w:cstheme="minorHAnsi"/>
        </w:rPr>
        <w:t xml:space="preserve"> Explanatory Notes to SAMLA, para. </w:t>
      </w:r>
      <w:r w:rsidRPr="009D1D5E">
        <w:rPr>
          <w:rFonts w:cstheme="minorHAnsi"/>
          <w:lang w:val="sv-SE"/>
        </w:rPr>
        <w:t xml:space="preserve">91. </w:t>
      </w:r>
    </w:p>
  </w:footnote>
  <w:footnote w:id="9">
    <w:p w14:paraId="207179FE" w14:textId="77777777" w:rsidR="00AD64AB" w:rsidRPr="009D1D5E" w:rsidRDefault="00AD64AB" w:rsidP="00AD64AB">
      <w:pPr>
        <w:pStyle w:val="FootnoteText"/>
        <w:rPr>
          <w:rFonts w:cstheme="minorHAnsi"/>
          <w:lang w:val="sv-SE"/>
        </w:rPr>
      </w:pPr>
      <w:r w:rsidRPr="009D1D5E">
        <w:rPr>
          <w:rStyle w:val="FootnoteReference"/>
          <w:rFonts w:cstheme="minorHAnsi"/>
        </w:rPr>
        <w:footnoteRef/>
      </w:r>
      <w:r w:rsidRPr="009D1D5E">
        <w:rPr>
          <w:rFonts w:cstheme="minorHAnsi"/>
          <w:lang w:val="sv-SE"/>
        </w:rPr>
        <w:t xml:space="preserve"> SAMLA, s. 24(2).</w:t>
      </w:r>
    </w:p>
  </w:footnote>
  <w:footnote w:id="10">
    <w:p w14:paraId="3C61B8E6" w14:textId="77777777" w:rsidR="00AD64AB" w:rsidRPr="005F538E" w:rsidRDefault="00AD64AB" w:rsidP="00AD64AB">
      <w:pPr>
        <w:pStyle w:val="FootnoteText"/>
        <w:rPr>
          <w:rFonts w:ascii="Times New Roman" w:hAnsi="Times New Roman" w:cs="Times New Roman"/>
          <w:lang w:val="sv-SE"/>
        </w:rPr>
      </w:pPr>
      <w:r w:rsidRPr="009D1D5E">
        <w:rPr>
          <w:rStyle w:val="FootnoteReference"/>
          <w:rFonts w:cstheme="minorHAnsi"/>
        </w:rPr>
        <w:footnoteRef/>
      </w:r>
      <w:r w:rsidRPr="009D1D5E">
        <w:rPr>
          <w:rFonts w:cstheme="minorHAnsi"/>
          <w:lang w:val="sv-SE"/>
        </w:rPr>
        <w:t xml:space="preserve"> SAMLA, s. 24(4).</w:t>
      </w:r>
    </w:p>
  </w:footnote>
  <w:footnote w:id="11">
    <w:p w14:paraId="0BFF2F2B" w14:textId="77777777" w:rsidR="00AD64AB" w:rsidRPr="009D1D5E" w:rsidRDefault="00AD64AB" w:rsidP="00AD64AB">
      <w:pPr>
        <w:pStyle w:val="FootnoteText"/>
        <w:rPr>
          <w:rFonts w:cstheme="minorHAnsi"/>
          <w:lang w:val="sv-SE"/>
        </w:rPr>
      </w:pPr>
      <w:r w:rsidRPr="009D1D5E">
        <w:rPr>
          <w:rStyle w:val="FootnoteReference"/>
          <w:rFonts w:cstheme="minorHAnsi"/>
        </w:rPr>
        <w:footnoteRef/>
      </w:r>
      <w:r w:rsidRPr="009D1D5E">
        <w:rPr>
          <w:rFonts w:cstheme="minorHAnsi"/>
          <w:lang w:val="sv-SE"/>
        </w:rPr>
        <w:t xml:space="preserve"> SAMLA, s. 38(2).</w:t>
      </w:r>
    </w:p>
  </w:footnote>
  <w:footnote w:id="12">
    <w:p w14:paraId="57C12F67" w14:textId="77777777" w:rsidR="00AD64AB" w:rsidRPr="009D1D5E" w:rsidRDefault="00AD64AB" w:rsidP="00AD64AB">
      <w:pPr>
        <w:pStyle w:val="FootnoteText"/>
        <w:rPr>
          <w:rFonts w:cstheme="minorHAnsi"/>
        </w:rPr>
      </w:pPr>
      <w:r w:rsidRPr="009D1D5E">
        <w:rPr>
          <w:rStyle w:val="FootnoteReference"/>
          <w:rFonts w:cstheme="minorHAnsi"/>
        </w:rPr>
        <w:footnoteRef/>
      </w:r>
      <w:r w:rsidRPr="009D1D5E">
        <w:rPr>
          <w:rFonts w:cstheme="minorHAnsi"/>
        </w:rPr>
        <w:t xml:space="preserve"> Explanatory Notes to SAMLA, para. 110. </w:t>
      </w:r>
    </w:p>
  </w:footnote>
  <w:footnote w:id="13">
    <w:p w14:paraId="294477C2" w14:textId="77777777" w:rsidR="00AD64AB" w:rsidRPr="009D1D5E" w:rsidRDefault="00AD64AB" w:rsidP="00AD64AB">
      <w:pPr>
        <w:pStyle w:val="FootnoteText"/>
        <w:rPr>
          <w:rFonts w:cstheme="minorHAnsi"/>
        </w:rPr>
      </w:pPr>
      <w:r w:rsidRPr="009D1D5E">
        <w:rPr>
          <w:rStyle w:val="FootnoteReference"/>
          <w:rFonts w:cstheme="minorHAnsi"/>
        </w:rPr>
        <w:footnoteRef/>
      </w:r>
      <w:r w:rsidRPr="009D1D5E">
        <w:rPr>
          <w:rFonts w:cstheme="minorHAnsi"/>
        </w:rPr>
        <w:t xml:space="preserve"> SAMLA, s. 39(2) and Explanatory Notes to SAMLA, para. 113.</w:t>
      </w:r>
    </w:p>
  </w:footnote>
  <w:footnote w:id="14">
    <w:p w14:paraId="42B31230" w14:textId="77777777" w:rsidR="00AD64AB" w:rsidRPr="0056690D" w:rsidRDefault="00AD64AB" w:rsidP="00AD64AB">
      <w:pPr>
        <w:pStyle w:val="FootnoteText"/>
        <w:rPr>
          <w:rFonts w:ascii="Times New Roman" w:hAnsi="Times New Roman" w:cs="Times New Roman"/>
        </w:rPr>
      </w:pPr>
      <w:r w:rsidRPr="009D1D5E">
        <w:rPr>
          <w:rStyle w:val="FootnoteReference"/>
          <w:rFonts w:cstheme="minorHAnsi"/>
        </w:rPr>
        <w:footnoteRef/>
      </w:r>
      <w:r w:rsidRPr="009D1D5E">
        <w:rPr>
          <w:rFonts w:cstheme="minorHAnsi"/>
        </w:rPr>
        <w:t xml:space="preserve"> SAMLA, s. 40(1).</w:t>
      </w:r>
      <w:r w:rsidRPr="0056690D">
        <w:rPr>
          <w:rFonts w:ascii="Times New Roman" w:hAnsi="Times New Roman" w:cs="Times New Roman"/>
        </w:rPr>
        <w:t xml:space="preserve"> </w:t>
      </w:r>
    </w:p>
  </w:footnote>
  <w:footnote w:id="15">
    <w:p w14:paraId="638F54EB" w14:textId="77777777" w:rsidR="008E58FB" w:rsidRPr="009D1D5E" w:rsidRDefault="008E58FB" w:rsidP="008E58FB">
      <w:pPr>
        <w:pStyle w:val="FootnoteText"/>
        <w:rPr>
          <w:rFonts w:cstheme="minorHAnsi"/>
        </w:rPr>
      </w:pPr>
      <w:r w:rsidRPr="009D1D5E">
        <w:rPr>
          <w:rStyle w:val="FootnoteReference"/>
          <w:rFonts w:cstheme="minorHAnsi"/>
        </w:rPr>
        <w:footnoteRef/>
      </w:r>
      <w:r w:rsidRPr="009D1D5E">
        <w:rPr>
          <w:rFonts w:cstheme="minorHAnsi"/>
        </w:rPr>
        <w:t xml:space="preserve"> Global Human Rights Sanctions Regulations 2020, s. 4(2). </w:t>
      </w:r>
    </w:p>
  </w:footnote>
  <w:footnote w:id="16">
    <w:p w14:paraId="0CB9A1BA" w14:textId="77777777" w:rsidR="008E58FB" w:rsidRPr="009D1D5E" w:rsidRDefault="008E58FB" w:rsidP="008E58FB">
      <w:pPr>
        <w:pStyle w:val="FootnoteText"/>
        <w:rPr>
          <w:rFonts w:cstheme="minorHAnsi"/>
        </w:rPr>
      </w:pPr>
      <w:r w:rsidRPr="009D1D5E">
        <w:rPr>
          <w:rStyle w:val="FootnoteReference"/>
          <w:rFonts w:cstheme="minorHAnsi"/>
        </w:rPr>
        <w:footnoteRef/>
      </w:r>
      <w:r w:rsidRPr="009D1D5E">
        <w:rPr>
          <w:rFonts w:cstheme="minorHAnsi"/>
        </w:rPr>
        <w:t xml:space="preserve"> Global Human Rights Sanctions Regulations 2020, s. 6(1). </w:t>
      </w:r>
    </w:p>
  </w:footnote>
  <w:footnote w:id="17">
    <w:p w14:paraId="487E14B1" w14:textId="77777777" w:rsidR="008E58FB" w:rsidRPr="009D1D5E" w:rsidRDefault="008E58FB" w:rsidP="008E58FB">
      <w:pPr>
        <w:pStyle w:val="FootnoteText"/>
        <w:rPr>
          <w:rFonts w:cstheme="minorHAnsi"/>
        </w:rPr>
      </w:pPr>
      <w:r w:rsidRPr="009D1D5E">
        <w:rPr>
          <w:rStyle w:val="FootnoteReference"/>
          <w:rFonts w:cstheme="minorHAnsi"/>
        </w:rPr>
        <w:footnoteRef/>
      </w:r>
      <w:r w:rsidRPr="009D1D5E">
        <w:rPr>
          <w:rFonts w:cstheme="minorHAnsi"/>
        </w:rPr>
        <w:t xml:space="preserve"> Global Human Rights Sanctions Regulations 2020, s. 6(2). </w:t>
      </w:r>
    </w:p>
  </w:footnote>
  <w:footnote w:id="18">
    <w:p w14:paraId="27ECA604" w14:textId="77777777" w:rsidR="008E58FB" w:rsidRPr="0056690D" w:rsidRDefault="008E58FB" w:rsidP="008E58FB">
      <w:pPr>
        <w:pStyle w:val="FootnoteText"/>
        <w:rPr>
          <w:rFonts w:ascii="Times New Roman" w:hAnsi="Times New Roman" w:cs="Times New Roman"/>
        </w:rPr>
      </w:pPr>
      <w:r w:rsidRPr="009D1D5E">
        <w:rPr>
          <w:rStyle w:val="FootnoteReference"/>
          <w:rFonts w:cstheme="minorHAnsi"/>
        </w:rPr>
        <w:footnoteRef/>
      </w:r>
      <w:r w:rsidRPr="009D1D5E">
        <w:rPr>
          <w:rFonts w:cstheme="minorHAnsi"/>
        </w:rPr>
        <w:t xml:space="preserve"> Global Human Rights Sanctions Regulations 2020, s. 11(1).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F7B27"/>
    <w:multiLevelType w:val="hybridMultilevel"/>
    <w:tmpl w:val="93023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A7B4E"/>
    <w:multiLevelType w:val="hybridMultilevel"/>
    <w:tmpl w:val="D37A9622"/>
    <w:lvl w:ilvl="0" w:tplc="BB5C33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5185F16"/>
    <w:multiLevelType w:val="hybridMultilevel"/>
    <w:tmpl w:val="7ABE7122"/>
    <w:lvl w:ilvl="0" w:tplc="E2AEC56C">
      <w:start w:val="1"/>
      <w:numFmt w:val="decimal"/>
      <w:lvlText w:val="%1."/>
      <w:lvlJc w:val="left"/>
      <w:pPr>
        <w:ind w:left="720" w:hanging="360"/>
      </w:pPr>
      <w:rPr>
        <w:rFonts w:ascii="Times New Roman" w:eastAsiaTheme="minorHAnsi" w:hAnsi="Times New Roman" w:cs="Times New Roman"/>
        <w:i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947E7"/>
    <w:multiLevelType w:val="hybridMultilevel"/>
    <w:tmpl w:val="0562D2BC"/>
    <w:lvl w:ilvl="0" w:tplc="4B92AE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B041B5D"/>
    <w:multiLevelType w:val="hybridMultilevel"/>
    <w:tmpl w:val="03344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6409B"/>
    <w:multiLevelType w:val="hybridMultilevel"/>
    <w:tmpl w:val="D95E8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B638FB"/>
    <w:multiLevelType w:val="hybridMultilevel"/>
    <w:tmpl w:val="1B26FA68"/>
    <w:lvl w:ilvl="0" w:tplc="45CC36B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0F8110F"/>
    <w:multiLevelType w:val="hybridMultilevel"/>
    <w:tmpl w:val="E8861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A719C4"/>
    <w:multiLevelType w:val="hybridMultilevel"/>
    <w:tmpl w:val="BABA242A"/>
    <w:lvl w:ilvl="0" w:tplc="B4A83454">
      <w:start w:val="1"/>
      <w:numFmt w:val="decimal"/>
      <w:lvlText w:val="%1."/>
      <w:lvlJc w:val="left"/>
      <w:pPr>
        <w:ind w:left="720" w:hanging="360"/>
      </w:pPr>
      <w:rPr>
        <w:rFonts w:ascii="Times New Roman" w:eastAsiaTheme="minorHAnsi" w:hAnsi="Times New Roman" w:cs="Times New Roman"/>
        <w:i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AF460C"/>
    <w:multiLevelType w:val="hybridMultilevel"/>
    <w:tmpl w:val="3C260B24"/>
    <w:lvl w:ilvl="0" w:tplc="A99082E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3DC028E"/>
    <w:multiLevelType w:val="hybridMultilevel"/>
    <w:tmpl w:val="F9E21BEE"/>
    <w:lvl w:ilvl="0" w:tplc="F5CAD20A">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E3391C"/>
    <w:multiLevelType w:val="hybridMultilevel"/>
    <w:tmpl w:val="38800578"/>
    <w:lvl w:ilvl="0" w:tplc="72EC47A6">
      <w:start w:val="1"/>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080FDF"/>
    <w:multiLevelType w:val="hybridMultilevel"/>
    <w:tmpl w:val="93BC38B8"/>
    <w:lvl w:ilvl="0" w:tplc="DE8C452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671C5826"/>
    <w:multiLevelType w:val="hybridMultilevel"/>
    <w:tmpl w:val="8632D120"/>
    <w:lvl w:ilvl="0" w:tplc="057E141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67893E96"/>
    <w:multiLevelType w:val="hybridMultilevel"/>
    <w:tmpl w:val="8ADA7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232F8B"/>
    <w:multiLevelType w:val="hybridMultilevel"/>
    <w:tmpl w:val="3934CF9E"/>
    <w:lvl w:ilvl="0" w:tplc="6AE6734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6ACC6962"/>
    <w:multiLevelType w:val="hybridMultilevel"/>
    <w:tmpl w:val="BABA242A"/>
    <w:lvl w:ilvl="0" w:tplc="B4A83454">
      <w:start w:val="1"/>
      <w:numFmt w:val="decimal"/>
      <w:lvlText w:val="%1."/>
      <w:lvlJc w:val="left"/>
      <w:pPr>
        <w:ind w:left="720" w:hanging="360"/>
      </w:pPr>
      <w:rPr>
        <w:rFonts w:ascii="Times New Roman" w:eastAsiaTheme="minorHAnsi" w:hAnsi="Times New Roman" w:cs="Times New Roman"/>
        <w:i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AB3928"/>
    <w:multiLevelType w:val="hybridMultilevel"/>
    <w:tmpl w:val="31480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F94B50"/>
    <w:multiLevelType w:val="hybridMultilevel"/>
    <w:tmpl w:val="C396012E"/>
    <w:lvl w:ilvl="0" w:tplc="BA780ED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7605641E"/>
    <w:multiLevelType w:val="hybridMultilevel"/>
    <w:tmpl w:val="750A769C"/>
    <w:lvl w:ilvl="0" w:tplc="FB42A01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76BD0D57"/>
    <w:multiLevelType w:val="hybridMultilevel"/>
    <w:tmpl w:val="EFBEF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035AB4"/>
    <w:multiLevelType w:val="hybridMultilevel"/>
    <w:tmpl w:val="7820CB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7E0E6E"/>
    <w:multiLevelType w:val="multilevel"/>
    <w:tmpl w:val="3B64EC24"/>
    <w:lvl w:ilvl="0">
      <w:start w:val="1"/>
      <w:numFmt w:val="decimal"/>
      <w:pStyle w:val="0ParL1"/>
      <w:lvlText w:val="%1"/>
      <w:lvlJc w:val="left"/>
      <w:pPr>
        <w:tabs>
          <w:tab w:val="num" w:pos="567"/>
        </w:tabs>
        <w:ind w:left="567" w:hanging="567"/>
      </w:pPr>
      <w:rPr>
        <w:rFonts w:hint="default"/>
        <w:b w:val="0"/>
      </w:rPr>
    </w:lvl>
    <w:lvl w:ilvl="1">
      <w:start w:val="1"/>
      <w:numFmt w:val="lowerLetter"/>
      <w:pStyle w:val="0ParL2"/>
      <w:lvlText w:val="(%2)"/>
      <w:lvlJc w:val="left"/>
      <w:pPr>
        <w:tabs>
          <w:tab w:val="num" w:pos="1134"/>
        </w:tabs>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B9A2260"/>
    <w:multiLevelType w:val="hybridMultilevel"/>
    <w:tmpl w:val="433A8CF0"/>
    <w:lvl w:ilvl="0" w:tplc="90965D5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6"/>
  </w:num>
  <w:num w:numId="3">
    <w:abstractNumId w:val="18"/>
  </w:num>
  <w:num w:numId="4">
    <w:abstractNumId w:val="19"/>
  </w:num>
  <w:num w:numId="5">
    <w:abstractNumId w:val="15"/>
  </w:num>
  <w:num w:numId="6">
    <w:abstractNumId w:val="3"/>
  </w:num>
  <w:num w:numId="7">
    <w:abstractNumId w:val="9"/>
  </w:num>
  <w:num w:numId="8">
    <w:abstractNumId w:val="13"/>
  </w:num>
  <w:num w:numId="9">
    <w:abstractNumId w:val="1"/>
  </w:num>
  <w:num w:numId="10">
    <w:abstractNumId w:val="12"/>
  </w:num>
  <w:num w:numId="11">
    <w:abstractNumId w:val="14"/>
  </w:num>
  <w:num w:numId="12">
    <w:abstractNumId w:val="2"/>
  </w:num>
  <w:num w:numId="13">
    <w:abstractNumId w:val="21"/>
  </w:num>
  <w:num w:numId="14">
    <w:abstractNumId w:val="8"/>
  </w:num>
  <w:num w:numId="15">
    <w:abstractNumId w:val="23"/>
  </w:num>
  <w:num w:numId="16">
    <w:abstractNumId w:val="5"/>
  </w:num>
  <w:num w:numId="17">
    <w:abstractNumId w:val="0"/>
  </w:num>
  <w:num w:numId="18">
    <w:abstractNumId w:val="7"/>
  </w:num>
  <w:num w:numId="19">
    <w:abstractNumId w:val="22"/>
  </w:num>
  <w:num w:numId="20">
    <w:abstractNumId w:val="17"/>
  </w:num>
  <w:num w:numId="21">
    <w:abstractNumId w:val="11"/>
  </w:num>
  <w:num w:numId="22">
    <w:abstractNumId w:val="20"/>
  </w:num>
  <w:num w:numId="23">
    <w:abstractNumId w:val="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60B"/>
    <w:rsid w:val="00045109"/>
    <w:rsid w:val="00052BDE"/>
    <w:rsid w:val="0005708B"/>
    <w:rsid w:val="000A34A2"/>
    <w:rsid w:val="000E3B94"/>
    <w:rsid w:val="00144BD9"/>
    <w:rsid w:val="00145243"/>
    <w:rsid w:val="00181BD9"/>
    <w:rsid w:val="0019260B"/>
    <w:rsid w:val="00220420"/>
    <w:rsid w:val="00245639"/>
    <w:rsid w:val="00260B09"/>
    <w:rsid w:val="00274D8B"/>
    <w:rsid w:val="002A3FEB"/>
    <w:rsid w:val="002B01EC"/>
    <w:rsid w:val="002B67F0"/>
    <w:rsid w:val="002D71B5"/>
    <w:rsid w:val="00315658"/>
    <w:rsid w:val="0041571A"/>
    <w:rsid w:val="00430251"/>
    <w:rsid w:val="00454268"/>
    <w:rsid w:val="004D6F8F"/>
    <w:rsid w:val="004F7BC6"/>
    <w:rsid w:val="005B79BF"/>
    <w:rsid w:val="005C262A"/>
    <w:rsid w:val="005D41D4"/>
    <w:rsid w:val="005F538E"/>
    <w:rsid w:val="00602A35"/>
    <w:rsid w:val="006945C0"/>
    <w:rsid w:val="006C3320"/>
    <w:rsid w:val="006D4BE5"/>
    <w:rsid w:val="006E6415"/>
    <w:rsid w:val="00722D18"/>
    <w:rsid w:val="007754A0"/>
    <w:rsid w:val="007B3295"/>
    <w:rsid w:val="00812244"/>
    <w:rsid w:val="00835001"/>
    <w:rsid w:val="00867888"/>
    <w:rsid w:val="008E58FB"/>
    <w:rsid w:val="008F1865"/>
    <w:rsid w:val="00923EF8"/>
    <w:rsid w:val="00935FFE"/>
    <w:rsid w:val="009619A8"/>
    <w:rsid w:val="009D1D5E"/>
    <w:rsid w:val="00A92C11"/>
    <w:rsid w:val="00AD03D2"/>
    <w:rsid w:val="00AD64AB"/>
    <w:rsid w:val="00B2222D"/>
    <w:rsid w:val="00B24C35"/>
    <w:rsid w:val="00B725B1"/>
    <w:rsid w:val="00B758F4"/>
    <w:rsid w:val="00C102FA"/>
    <w:rsid w:val="00C15828"/>
    <w:rsid w:val="00C1604D"/>
    <w:rsid w:val="00C24C04"/>
    <w:rsid w:val="00CB0D2D"/>
    <w:rsid w:val="00CD326A"/>
    <w:rsid w:val="00D35AB9"/>
    <w:rsid w:val="00D520B7"/>
    <w:rsid w:val="00D561B0"/>
    <w:rsid w:val="00D96DB9"/>
    <w:rsid w:val="00E2592F"/>
    <w:rsid w:val="00E61BA7"/>
    <w:rsid w:val="00EE20AB"/>
    <w:rsid w:val="00EE2DE3"/>
    <w:rsid w:val="00F33EC5"/>
    <w:rsid w:val="00F466F5"/>
    <w:rsid w:val="00FA46C2"/>
    <w:rsid w:val="00FC022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400BC"/>
  <w15:chartTrackingRefBased/>
  <w15:docId w15:val="{E9E27274-489C-4FDA-B60C-1C26836B6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60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60B"/>
    <w:pPr>
      <w:spacing w:after="160" w:line="259"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19260B"/>
    <w:rPr>
      <w:color w:val="0563C1" w:themeColor="hyperlink"/>
      <w:u w:val="single"/>
    </w:rPr>
  </w:style>
  <w:style w:type="character" w:styleId="FollowedHyperlink">
    <w:name w:val="FollowedHyperlink"/>
    <w:basedOn w:val="DefaultParagraphFont"/>
    <w:uiPriority w:val="99"/>
    <w:semiHidden/>
    <w:unhideWhenUsed/>
    <w:rsid w:val="009619A8"/>
    <w:rPr>
      <w:color w:val="954F72" w:themeColor="followedHyperlink"/>
      <w:u w:val="single"/>
    </w:rPr>
  </w:style>
  <w:style w:type="paragraph" w:styleId="Header">
    <w:name w:val="header"/>
    <w:basedOn w:val="Normal"/>
    <w:link w:val="HeaderChar"/>
    <w:uiPriority w:val="99"/>
    <w:unhideWhenUsed/>
    <w:rsid w:val="00C15828"/>
    <w:pPr>
      <w:tabs>
        <w:tab w:val="center" w:pos="4513"/>
        <w:tab w:val="right" w:pos="9026"/>
      </w:tabs>
    </w:pPr>
  </w:style>
  <w:style w:type="character" w:customStyle="1" w:styleId="HeaderChar">
    <w:name w:val="Header Char"/>
    <w:basedOn w:val="DefaultParagraphFont"/>
    <w:link w:val="Header"/>
    <w:uiPriority w:val="99"/>
    <w:rsid w:val="00C15828"/>
    <w:rPr>
      <w:rFonts w:ascii="Calibri" w:hAnsi="Calibri" w:cs="Calibri"/>
    </w:rPr>
  </w:style>
  <w:style w:type="paragraph" w:styleId="Footer">
    <w:name w:val="footer"/>
    <w:basedOn w:val="Normal"/>
    <w:link w:val="FooterChar"/>
    <w:uiPriority w:val="99"/>
    <w:unhideWhenUsed/>
    <w:rsid w:val="00C15828"/>
    <w:pPr>
      <w:tabs>
        <w:tab w:val="center" w:pos="4513"/>
        <w:tab w:val="right" w:pos="9026"/>
      </w:tabs>
    </w:pPr>
  </w:style>
  <w:style w:type="character" w:customStyle="1" w:styleId="FooterChar">
    <w:name w:val="Footer Char"/>
    <w:basedOn w:val="DefaultParagraphFont"/>
    <w:link w:val="Footer"/>
    <w:uiPriority w:val="99"/>
    <w:rsid w:val="00C15828"/>
    <w:rPr>
      <w:rFonts w:ascii="Calibri" w:hAnsi="Calibri" w:cs="Calibri"/>
    </w:rPr>
  </w:style>
  <w:style w:type="paragraph" w:styleId="FootnoteText">
    <w:name w:val="footnote text"/>
    <w:basedOn w:val="Normal"/>
    <w:link w:val="FootnoteTextChar"/>
    <w:uiPriority w:val="99"/>
    <w:semiHidden/>
    <w:unhideWhenUsed/>
    <w:rsid w:val="008E58FB"/>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E58FB"/>
    <w:rPr>
      <w:sz w:val="20"/>
      <w:szCs w:val="20"/>
    </w:rPr>
  </w:style>
  <w:style w:type="character" w:styleId="FootnoteReference">
    <w:name w:val="footnote reference"/>
    <w:basedOn w:val="DefaultParagraphFont"/>
    <w:uiPriority w:val="99"/>
    <w:semiHidden/>
    <w:unhideWhenUsed/>
    <w:rsid w:val="008E58FB"/>
    <w:rPr>
      <w:vertAlign w:val="superscript"/>
    </w:rPr>
  </w:style>
  <w:style w:type="character" w:customStyle="1" w:styleId="UnresolvedMention1">
    <w:name w:val="Unresolved Mention1"/>
    <w:basedOn w:val="DefaultParagraphFont"/>
    <w:uiPriority w:val="99"/>
    <w:semiHidden/>
    <w:unhideWhenUsed/>
    <w:rsid w:val="008F1865"/>
    <w:rPr>
      <w:color w:val="605E5C"/>
      <w:shd w:val="clear" w:color="auto" w:fill="E1DFDD"/>
    </w:rPr>
  </w:style>
  <w:style w:type="paragraph" w:customStyle="1" w:styleId="0ParL1">
    <w:name w:val="0 Par L1"/>
    <w:basedOn w:val="ListParagraph"/>
    <w:qFormat/>
    <w:rsid w:val="00430251"/>
    <w:pPr>
      <w:numPr>
        <w:numId w:val="19"/>
      </w:numPr>
      <w:spacing w:after="240" w:line="276" w:lineRule="auto"/>
      <w:contextualSpacing w:val="0"/>
      <w:jc w:val="both"/>
    </w:pPr>
    <w:rPr>
      <w:rFonts w:ascii="Calibri" w:hAnsi="Calibri" w:cs="Calibri"/>
      <w:iCs/>
    </w:rPr>
  </w:style>
  <w:style w:type="paragraph" w:customStyle="1" w:styleId="0ParL2">
    <w:name w:val="0 Par L2"/>
    <w:basedOn w:val="0ParL1"/>
    <w:qFormat/>
    <w:rsid w:val="00430251"/>
    <w:pPr>
      <w:numPr>
        <w:ilvl w:val="1"/>
      </w:numPr>
    </w:pPr>
  </w:style>
  <w:style w:type="character" w:styleId="CommentReference">
    <w:name w:val="annotation reference"/>
    <w:basedOn w:val="DefaultParagraphFont"/>
    <w:uiPriority w:val="99"/>
    <w:semiHidden/>
    <w:unhideWhenUsed/>
    <w:rsid w:val="00430251"/>
    <w:rPr>
      <w:sz w:val="16"/>
      <w:szCs w:val="16"/>
    </w:rPr>
  </w:style>
  <w:style w:type="paragraph" w:styleId="CommentText">
    <w:name w:val="annotation text"/>
    <w:basedOn w:val="Normal"/>
    <w:link w:val="CommentTextChar"/>
    <w:uiPriority w:val="99"/>
    <w:semiHidden/>
    <w:unhideWhenUsed/>
    <w:rsid w:val="00430251"/>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30251"/>
    <w:rPr>
      <w:sz w:val="20"/>
      <w:szCs w:val="20"/>
    </w:rPr>
  </w:style>
  <w:style w:type="character" w:customStyle="1" w:styleId="apple-converted-space">
    <w:name w:val="apple-converted-space"/>
    <w:basedOn w:val="DefaultParagraphFont"/>
    <w:rsid w:val="007B3295"/>
  </w:style>
  <w:style w:type="character" w:styleId="Emphasis">
    <w:name w:val="Emphasis"/>
    <w:basedOn w:val="DefaultParagraphFont"/>
    <w:uiPriority w:val="20"/>
    <w:qFormat/>
    <w:rsid w:val="007B3295"/>
    <w:rPr>
      <w:i/>
      <w:iCs/>
    </w:rPr>
  </w:style>
  <w:style w:type="table" w:styleId="TableGrid">
    <w:name w:val="Table Grid"/>
    <w:basedOn w:val="TableNormal"/>
    <w:uiPriority w:val="39"/>
    <w:rsid w:val="00D96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917">
      <w:bodyDiv w:val="1"/>
      <w:marLeft w:val="0"/>
      <w:marRight w:val="0"/>
      <w:marTop w:val="0"/>
      <w:marBottom w:val="0"/>
      <w:divBdr>
        <w:top w:val="none" w:sz="0" w:space="0" w:color="auto"/>
        <w:left w:val="none" w:sz="0" w:space="0" w:color="auto"/>
        <w:bottom w:val="none" w:sz="0" w:space="0" w:color="auto"/>
        <w:right w:val="none" w:sz="0" w:space="0" w:color="auto"/>
      </w:divBdr>
    </w:div>
    <w:div w:id="1114977655">
      <w:bodyDiv w:val="1"/>
      <w:marLeft w:val="0"/>
      <w:marRight w:val="0"/>
      <w:marTop w:val="0"/>
      <w:marBottom w:val="0"/>
      <w:divBdr>
        <w:top w:val="none" w:sz="0" w:space="0" w:color="auto"/>
        <w:left w:val="none" w:sz="0" w:space="0" w:color="auto"/>
        <w:bottom w:val="none" w:sz="0" w:space="0" w:color="auto"/>
        <w:right w:val="none" w:sz="0" w:space="0" w:color="auto"/>
      </w:divBdr>
    </w:div>
    <w:div w:id="156725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6.jpeg"/><Relationship Id="rId26" Type="http://schemas.openxmlformats.org/officeDocument/2006/relationships/hyperlink" Target="https://www.legislation.gov.uk/uksi/2018/1213/pdfs/uksi_20181213_en.pdf" TargetMode="External"/><Relationship Id="rId39" Type="http://schemas.openxmlformats.org/officeDocument/2006/relationships/hyperlink" Target="https://www.gov.uk/guidance/protection-of-trading-interests-retained-blocking-regulation" TargetMode="External"/><Relationship Id="rId21" Type="http://schemas.openxmlformats.org/officeDocument/2006/relationships/hyperlink" Target="mailto:david.heaton@brickcourt.co.uk" TargetMode="External"/><Relationship Id="rId34" Type="http://schemas.openxmlformats.org/officeDocument/2006/relationships/hyperlink" Target="https://www.legislation.gov.uk/uksi/2019/461/schedule/2" TargetMode="External"/><Relationship Id="rId42"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yperlink" Target="https://www.gov.uk/government/collections/financial-sanctions-regime-specific-consolidated-lists-and-releases" TargetMode="External"/><Relationship Id="rId41" Type="http://schemas.openxmlformats.org/officeDocument/2006/relationships/hyperlink" Target="http://curia.europa.eu/juris/showPdf.jsf?text=&amp;docid=230944&amp;pageIndex=0&amp;doclang=EN&amp;mode=lst&amp;dir=&amp;occ=first&amp;part=1&amp;cid=203535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www.legislation.gov.uk/ukpga/2018/13/pdfs/ukpga_20180013_en.pdf" TargetMode="External"/><Relationship Id="rId32" Type="http://schemas.openxmlformats.org/officeDocument/2006/relationships/hyperlink" Target="https://www.gov.uk/government/publications/sanction-challenge-form-designated-persons" TargetMode="External"/><Relationship Id="rId37" Type="http://schemas.openxmlformats.org/officeDocument/2006/relationships/hyperlink" Target="https://www.legislation.gov.uk/uksi/2020/1660/contents/made" TargetMode="External"/><Relationship Id="rId40" Type="http://schemas.openxmlformats.org/officeDocument/2006/relationships/hyperlink" Target="http://curia.europa.eu/juris/showPdf.jsf?text=&amp;docid=225701&amp;pageIndex=0&amp;doclang=EN&amp;mode=req&amp;dir=&amp;occ=first&amp;part=1&amp;cid=11648" TargetMode="External"/><Relationship Id="rId5" Type="http://schemas.openxmlformats.org/officeDocument/2006/relationships/footnotes" Target="footnotes.xml"/><Relationship Id="rId15" Type="http://schemas.openxmlformats.org/officeDocument/2006/relationships/hyperlink" Target="mailto:jonathan.dawid@brickcourt.co.uk" TargetMode="External"/><Relationship Id="rId23" Type="http://schemas.openxmlformats.org/officeDocument/2006/relationships/hyperlink" Target="http://www.europeansanctions.com" TargetMode="External"/><Relationship Id="rId28" Type="http://schemas.openxmlformats.org/officeDocument/2006/relationships/hyperlink" Target="https://www.gov.uk/government/publications/sanctions-policy-after-31-december-2020/sanctions-policy-after-31-december-2020" TargetMode="External"/><Relationship Id="rId36" Type="http://schemas.openxmlformats.org/officeDocument/2006/relationships/hyperlink" Target="https://eur-lex.europa.eu/legal%20content/AUTO/?uri=CELEX:32018R1101&amp;qid=1611080244420&amp;rid=1" TargetMode="External"/><Relationship Id="rId10" Type="http://schemas.openxmlformats.org/officeDocument/2006/relationships/hyperlink" Target="mailto:fergus.randolph@brickcourt.co.uk" TargetMode="External"/><Relationship Id="rId19" Type="http://schemas.openxmlformats.org/officeDocument/2006/relationships/hyperlink" Target="mailto:malcolm.birdling@brickcourt.co.uk" TargetMode="External"/><Relationship Id="rId31" Type="http://schemas.openxmlformats.org/officeDocument/2006/relationships/hyperlink" Target="https://www.gov.uk/government/publications/making-a-sanctions-challenge-how-to-seek-variation-or-revocation-of-a-sanctions-designation/making-a-sanctions-challenge-how-to-seek-a-variation-or-revocation-of-a-sanctions-designation"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europeansanctions.com" TargetMode="External"/><Relationship Id="rId22" Type="http://schemas.openxmlformats.org/officeDocument/2006/relationships/image" Target="media/image8.jpeg"/><Relationship Id="rId27" Type="http://schemas.openxmlformats.org/officeDocument/2006/relationships/hyperlink" Target="https://assets.publishing.service.gov.uk/government/uploads/system/uploads/attachment_data/file/952150/General_Guidance_-_UK_Financial_Sanctions.pdf" TargetMode="External"/><Relationship Id="rId30" Type="http://schemas.openxmlformats.org/officeDocument/2006/relationships/hyperlink" Target="https://www.legislation.gov.uk/uksi/2018/1269/pdfs/uksi_20181269_en.pdf" TargetMode="External"/><Relationship Id="rId35" Type="http://schemas.openxmlformats.org/officeDocument/2006/relationships/hyperlink" Target="https://eur-lex.europa.eu/legal-content/EN/AUTO/?uri=CELEX:01996R2271-20180807&amp;qid=1611080056319" TargetMode="External"/><Relationship Id="rId43" Type="http://schemas.openxmlformats.org/officeDocument/2006/relationships/fontTable" Target="fontTable.xml"/><Relationship Id="rId8" Type="http://schemas.openxmlformats.org/officeDocument/2006/relationships/hyperlink" Target="mailto:david.anderson@brickcourt.co.uk" TargetMode="External"/><Relationship Id="rId3" Type="http://schemas.openxmlformats.org/officeDocument/2006/relationships/settings" Target="settings.xml"/><Relationship Id="rId12" Type="http://schemas.openxmlformats.org/officeDocument/2006/relationships/hyperlink" Target="mailto:maya.lester@brickcourt.co.uk" TargetMode="External"/><Relationship Id="rId17" Type="http://schemas.openxmlformats.org/officeDocument/2006/relationships/hyperlink" Target="mailto:richard.blakeley@brickcourt.co.uk" TargetMode="External"/><Relationship Id="rId25" Type="http://schemas.openxmlformats.org/officeDocument/2006/relationships/hyperlink" Target="https://www.legislation.gov.uk/ukpga/2018/13/pdfs/ukpgaen_20180013_en.pdf" TargetMode="External"/><Relationship Id="rId33" Type="http://schemas.openxmlformats.org/officeDocument/2006/relationships/hyperlink" Target="https://www.legislation.gov.uk/ukpga/2018/13/section/15" TargetMode="External"/><Relationship Id="rId38" Type="http://schemas.openxmlformats.org/officeDocument/2006/relationships/hyperlink" Target="https://www.legislation.gov.uk/uksi/2020/1660/memorandum/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4798</Words>
  <Characters>27353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Bjorge</dc:creator>
  <cp:keywords/>
  <dc:description/>
  <cp:lastModifiedBy>Paul Gray</cp:lastModifiedBy>
  <cp:revision>7</cp:revision>
  <cp:lastPrinted>2021-01-14T17:06:00Z</cp:lastPrinted>
  <dcterms:created xsi:type="dcterms:W3CDTF">2021-01-21T11:46:00Z</dcterms:created>
  <dcterms:modified xsi:type="dcterms:W3CDTF">2021-01-22T09:32:00Z</dcterms:modified>
</cp:coreProperties>
</file>