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E24B2" w14:textId="4A3858DC" w:rsidR="00885399" w:rsidRPr="005F351F" w:rsidRDefault="00492D33" w:rsidP="00492D33">
      <w:pPr>
        <w:rPr>
          <w:rFonts w:ascii="Garamond" w:hAnsi="Garamond"/>
          <w:b/>
          <w:sz w:val="23"/>
          <w:szCs w:val="23"/>
        </w:rPr>
      </w:pPr>
      <w:bookmarkStart w:id="0" w:name="_Hlk521934538"/>
      <w:r>
        <w:rPr>
          <w:rFonts w:ascii="Garamond" w:hAnsi="Garamond"/>
          <w:b/>
        </w:rPr>
        <w:tab/>
      </w:r>
      <w:r w:rsidRPr="005F351F">
        <w:rPr>
          <w:rFonts w:ascii="Garamond" w:hAnsi="Garamond"/>
          <w:b/>
          <w:sz w:val="23"/>
          <w:szCs w:val="23"/>
        </w:rPr>
        <w:tab/>
      </w:r>
      <w:r w:rsidRPr="005F351F">
        <w:rPr>
          <w:rFonts w:ascii="Garamond" w:hAnsi="Garamond"/>
          <w:b/>
          <w:sz w:val="23"/>
          <w:szCs w:val="23"/>
        </w:rPr>
        <w:tab/>
      </w:r>
      <w:r w:rsidRPr="005F351F">
        <w:rPr>
          <w:rFonts w:ascii="Garamond" w:hAnsi="Garamond"/>
          <w:b/>
          <w:sz w:val="23"/>
          <w:szCs w:val="23"/>
        </w:rPr>
        <w:tab/>
      </w:r>
      <w:r w:rsidRPr="005F351F">
        <w:rPr>
          <w:rFonts w:ascii="Garamond" w:hAnsi="Garamond"/>
          <w:b/>
          <w:sz w:val="23"/>
          <w:szCs w:val="23"/>
        </w:rPr>
        <w:tab/>
      </w:r>
      <w:r w:rsidRPr="005F351F">
        <w:rPr>
          <w:rFonts w:ascii="Garamond" w:hAnsi="Garamond"/>
          <w:b/>
          <w:sz w:val="23"/>
          <w:szCs w:val="23"/>
        </w:rPr>
        <w:tab/>
      </w:r>
      <w:r w:rsidRPr="005F351F">
        <w:rPr>
          <w:rFonts w:ascii="Garamond" w:hAnsi="Garamond"/>
          <w:b/>
          <w:sz w:val="23"/>
          <w:szCs w:val="23"/>
        </w:rPr>
        <w:tab/>
      </w:r>
      <w:r w:rsidRPr="005F351F">
        <w:rPr>
          <w:rFonts w:ascii="Garamond" w:hAnsi="Garamond"/>
          <w:b/>
          <w:sz w:val="23"/>
          <w:szCs w:val="23"/>
        </w:rPr>
        <w:tab/>
      </w:r>
      <w:r w:rsidRPr="005F351F">
        <w:rPr>
          <w:rFonts w:ascii="Garamond" w:hAnsi="Garamond"/>
          <w:b/>
          <w:sz w:val="23"/>
          <w:szCs w:val="23"/>
        </w:rPr>
        <w:tab/>
      </w:r>
      <w:r w:rsidR="00A71134" w:rsidRPr="005F351F">
        <w:rPr>
          <w:rFonts w:ascii="Garamond" w:hAnsi="Garamond"/>
          <w:b/>
          <w:sz w:val="23"/>
          <w:szCs w:val="23"/>
        </w:rPr>
        <w:tab/>
        <w:t>8 March 2018</w:t>
      </w:r>
    </w:p>
    <w:p w14:paraId="7B82AF7B" w14:textId="77777777" w:rsidR="00885399" w:rsidRPr="005F351F" w:rsidRDefault="00885399" w:rsidP="00AE45E8">
      <w:pPr>
        <w:jc w:val="right"/>
        <w:rPr>
          <w:rFonts w:ascii="Garamond" w:hAnsi="Garamond"/>
          <w:b/>
          <w:sz w:val="23"/>
          <w:szCs w:val="23"/>
        </w:rPr>
      </w:pPr>
    </w:p>
    <w:p w14:paraId="5F92F466" w14:textId="77777777" w:rsidR="00885399" w:rsidRPr="005F351F" w:rsidRDefault="00885399" w:rsidP="00AE45E8">
      <w:pPr>
        <w:jc w:val="center"/>
        <w:rPr>
          <w:rFonts w:ascii="Garamond" w:hAnsi="Garamond"/>
          <w:b/>
          <w:sz w:val="23"/>
          <w:szCs w:val="23"/>
        </w:rPr>
      </w:pPr>
      <w:r w:rsidRPr="005F351F">
        <w:rPr>
          <w:rFonts w:ascii="Garamond" w:hAnsi="Garamond"/>
          <w:b/>
          <w:sz w:val="23"/>
          <w:szCs w:val="23"/>
        </w:rPr>
        <w:t>PRESS SUMMARY</w:t>
      </w:r>
    </w:p>
    <w:p w14:paraId="23B6CA7E" w14:textId="77777777" w:rsidR="00885399" w:rsidRPr="005F351F" w:rsidRDefault="00885399" w:rsidP="00AE45E8">
      <w:pPr>
        <w:jc w:val="both"/>
        <w:rPr>
          <w:rFonts w:ascii="Garamond" w:hAnsi="Garamond"/>
          <w:b/>
          <w:sz w:val="23"/>
          <w:szCs w:val="23"/>
        </w:rPr>
      </w:pPr>
    </w:p>
    <w:p w14:paraId="36830AA8" w14:textId="28F4F896" w:rsidR="00885399" w:rsidRPr="005F351F" w:rsidRDefault="00885399" w:rsidP="00AE45E8">
      <w:pPr>
        <w:jc w:val="both"/>
        <w:rPr>
          <w:rFonts w:ascii="Garamond" w:hAnsi="Garamond"/>
          <w:b/>
          <w:sz w:val="23"/>
          <w:szCs w:val="23"/>
        </w:rPr>
      </w:pPr>
      <w:r w:rsidRPr="005F351F">
        <w:rPr>
          <w:rFonts w:ascii="Garamond" w:hAnsi="Garamond"/>
          <w:b/>
          <w:sz w:val="23"/>
          <w:szCs w:val="23"/>
        </w:rPr>
        <w:t>Butt (Appellant) v Secretary of State for the Home Department (Respondent) [2019] EWCA Civ</w:t>
      </w:r>
      <w:r w:rsidR="00D3452C" w:rsidRPr="005F351F">
        <w:rPr>
          <w:rFonts w:ascii="Garamond" w:hAnsi="Garamond"/>
          <w:b/>
          <w:sz w:val="23"/>
          <w:szCs w:val="23"/>
        </w:rPr>
        <w:t xml:space="preserve">. </w:t>
      </w:r>
      <w:r w:rsidR="00005A78" w:rsidRPr="005F351F">
        <w:rPr>
          <w:rFonts w:ascii="Garamond" w:hAnsi="Garamond"/>
          <w:b/>
          <w:sz w:val="23"/>
          <w:szCs w:val="23"/>
        </w:rPr>
        <w:t>256</w:t>
      </w:r>
    </w:p>
    <w:p w14:paraId="5C3CA26D" w14:textId="77777777" w:rsidR="00885399" w:rsidRPr="005F351F" w:rsidRDefault="00885399" w:rsidP="00AE45E8">
      <w:pPr>
        <w:jc w:val="both"/>
        <w:rPr>
          <w:rFonts w:ascii="Garamond" w:hAnsi="Garamond"/>
          <w:b/>
          <w:i/>
          <w:sz w:val="23"/>
          <w:szCs w:val="23"/>
        </w:rPr>
      </w:pPr>
    </w:p>
    <w:p w14:paraId="1D300FCF" w14:textId="77777777" w:rsidR="00885399" w:rsidRPr="005F351F" w:rsidRDefault="00885399" w:rsidP="00AE45E8">
      <w:pPr>
        <w:jc w:val="both"/>
        <w:rPr>
          <w:rFonts w:ascii="Garamond" w:hAnsi="Garamond"/>
          <w:b/>
          <w:sz w:val="23"/>
          <w:szCs w:val="23"/>
        </w:rPr>
      </w:pPr>
      <w:r w:rsidRPr="005F351F">
        <w:rPr>
          <w:rFonts w:ascii="Garamond" w:hAnsi="Garamond"/>
          <w:b/>
          <w:sz w:val="23"/>
          <w:szCs w:val="23"/>
        </w:rPr>
        <w:t>On appeal from:</w:t>
      </w:r>
      <w:r w:rsidRPr="005F351F">
        <w:rPr>
          <w:rFonts w:ascii="Garamond" w:hAnsi="Garamond"/>
          <w:b/>
          <w:i/>
          <w:sz w:val="23"/>
          <w:szCs w:val="23"/>
        </w:rPr>
        <w:t xml:space="preserve"> </w:t>
      </w:r>
      <w:r w:rsidRPr="005F351F">
        <w:rPr>
          <w:rFonts w:ascii="Garamond" w:hAnsi="Garamond"/>
          <w:b/>
          <w:sz w:val="23"/>
          <w:szCs w:val="23"/>
        </w:rPr>
        <w:t>[2017] EWHC 1930 (Admin)</w:t>
      </w:r>
    </w:p>
    <w:p w14:paraId="57DB345E" w14:textId="77777777" w:rsidR="00885399" w:rsidRPr="005F351F" w:rsidRDefault="00885399" w:rsidP="00AE45E8">
      <w:pPr>
        <w:jc w:val="both"/>
        <w:rPr>
          <w:rFonts w:ascii="Garamond" w:hAnsi="Garamond"/>
          <w:b/>
          <w:sz w:val="23"/>
          <w:szCs w:val="23"/>
        </w:rPr>
      </w:pPr>
    </w:p>
    <w:p w14:paraId="0F74CE85" w14:textId="77777777" w:rsidR="00885399" w:rsidRPr="005F351F" w:rsidRDefault="00885399" w:rsidP="00AE45E8">
      <w:pPr>
        <w:jc w:val="both"/>
        <w:rPr>
          <w:rFonts w:ascii="Garamond" w:hAnsi="Garamond"/>
          <w:sz w:val="23"/>
          <w:szCs w:val="23"/>
        </w:rPr>
      </w:pPr>
      <w:r w:rsidRPr="005F351F">
        <w:rPr>
          <w:rFonts w:ascii="Garamond" w:hAnsi="Garamond"/>
          <w:b/>
          <w:sz w:val="23"/>
          <w:szCs w:val="23"/>
        </w:rPr>
        <w:t>JUDGES:</w:t>
      </w:r>
      <w:r w:rsidRPr="005F351F">
        <w:rPr>
          <w:rFonts w:ascii="Garamond" w:hAnsi="Garamond"/>
          <w:sz w:val="23"/>
          <w:szCs w:val="23"/>
        </w:rPr>
        <w:t xml:space="preserve"> Sir Terence Etherton MR, Lady Justice Sharp, Lord Justice Irwin.</w:t>
      </w:r>
    </w:p>
    <w:p w14:paraId="0F238C07" w14:textId="77777777" w:rsidR="00885399" w:rsidRPr="005F351F" w:rsidRDefault="00885399" w:rsidP="00AE45E8">
      <w:pPr>
        <w:tabs>
          <w:tab w:val="left" w:pos="5295"/>
        </w:tabs>
        <w:jc w:val="both"/>
        <w:rPr>
          <w:rFonts w:ascii="Garamond" w:hAnsi="Garamond"/>
          <w:b/>
          <w:sz w:val="23"/>
          <w:szCs w:val="23"/>
        </w:rPr>
      </w:pPr>
      <w:r w:rsidRPr="005F351F">
        <w:rPr>
          <w:rFonts w:ascii="Garamond" w:hAnsi="Garamond"/>
          <w:b/>
          <w:sz w:val="23"/>
          <w:szCs w:val="23"/>
        </w:rPr>
        <w:tab/>
      </w:r>
    </w:p>
    <w:p w14:paraId="61BF9580" w14:textId="77777777" w:rsidR="00885399" w:rsidRPr="005F351F" w:rsidRDefault="00885399" w:rsidP="00AE45E8">
      <w:pPr>
        <w:jc w:val="both"/>
        <w:rPr>
          <w:rFonts w:ascii="Garamond" w:hAnsi="Garamond"/>
          <w:b/>
          <w:caps/>
          <w:sz w:val="23"/>
          <w:szCs w:val="23"/>
        </w:rPr>
      </w:pPr>
      <w:r w:rsidRPr="005F351F">
        <w:rPr>
          <w:rFonts w:ascii="Garamond" w:hAnsi="Garamond"/>
          <w:b/>
          <w:caps/>
          <w:sz w:val="23"/>
          <w:szCs w:val="23"/>
        </w:rPr>
        <w:t>Background to the appeal</w:t>
      </w:r>
    </w:p>
    <w:p w14:paraId="0DD728BE" w14:textId="77777777" w:rsidR="00885399" w:rsidRPr="005F351F" w:rsidRDefault="00885399" w:rsidP="00AE45E8">
      <w:pPr>
        <w:jc w:val="both"/>
        <w:rPr>
          <w:rFonts w:ascii="Garamond" w:hAnsi="Garamond"/>
          <w:sz w:val="23"/>
          <w:szCs w:val="23"/>
        </w:rPr>
      </w:pPr>
    </w:p>
    <w:p w14:paraId="7FB8CA9A" w14:textId="14804EC6" w:rsidR="00A93C72" w:rsidRPr="005F351F" w:rsidRDefault="00A93C72" w:rsidP="00A93C72">
      <w:pPr>
        <w:pStyle w:val="BodyText"/>
        <w:rPr>
          <w:sz w:val="23"/>
          <w:szCs w:val="23"/>
        </w:rPr>
      </w:pPr>
      <w:r w:rsidRPr="005F351F">
        <w:rPr>
          <w:sz w:val="23"/>
          <w:szCs w:val="23"/>
        </w:rPr>
        <w:t xml:space="preserve">Dr </w:t>
      </w:r>
      <w:r w:rsidR="00CA181D" w:rsidRPr="005F351F">
        <w:rPr>
          <w:sz w:val="23"/>
          <w:szCs w:val="23"/>
        </w:rPr>
        <w:t xml:space="preserve">Salman </w:t>
      </w:r>
      <w:r w:rsidRPr="005F351F">
        <w:rPr>
          <w:sz w:val="23"/>
          <w:szCs w:val="23"/>
        </w:rPr>
        <w:t xml:space="preserve">Butt is the editor-in-chief of “Islam21C”, a publicly accessible website describing itself as articulating Islamic beliefs in the 21st century. Dr Butt has been a guest speaker at a number of universities and schools. The </w:t>
      </w:r>
      <w:r w:rsidR="00EC22E0" w:rsidRPr="005F351F">
        <w:rPr>
          <w:sz w:val="23"/>
          <w:szCs w:val="23"/>
        </w:rPr>
        <w:t>Extremism Analysis Unit (“</w:t>
      </w:r>
      <w:r w:rsidR="00D5542F" w:rsidRPr="005F351F">
        <w:rPr>
          <w:sz w:val="23"/>
          <w:szCs w:val="23"/>
        </w:rPr>
        <w:t xml:space="preserve">EAU”) </w:t>
      </w:r>
      <w:r w:rsidRPr="005F351F">
        <w:rPr>
          <w:sz w:val="23"/>
          <w:szCs w:val="23"/>
        </w:rPr>
        <w:t>is a unit within the Home Office which conducts research into extremism in the UK and abroad.</w:t>
      </w:r>
    </w:p>
    <w:p w14:paraId="6F417638" w14:textId="27F64EFC" w:rsidR="00A93C72" w:rsidRPr="005F351F" w:rsidRDefault="00A93C72" w:rsidP="00A93C72">
      <w:pPr>
        <w:pStyle w:val="BodyText"/>
        <w:rPr>
          <w:sz w:val="23"/>
          <w:szCs w:val="23"/>
        </w:rPr>
      </w:pPr>
    </w:p>
    <w:p w14:paraId="64AA097A" w14:textId="77777777" w:rsidR="00A93C72" w:rsidRPr="005F351F" w:rsidRDefault="00A93C72" w:rsidP="00A93C72">
      <w:pPr>
        <w:pStyle w:val="BodyText"/>
        <w:rPr>
          <w:sz w:val="23"/>
          <w:szCs w:val="23"/>
        </w:rPr>
      </w:pPr>
      <w:r w:rsidRPr="005F351F">
        <w:rPr>
          <w:sz w:val="23"/>
          <w:szCs w:val="23"/>
        </w:rPr>
        <w:t>In September 2015 a Home Office press release announced the coming into force of the Guidance. In that release Dr Butt was said to have been identified as a “hate speaker” by the EAU. That conclusion was based on information supplied to the EAU as part of a digest detailing events taking place on university campuses that Student Rights, a body set up by the Henry Jackson Society think tank, considered to be potentially extremist.</w:t>
      </w:r>
    </w:p>
    <w:p w14:paraId="0BB02645" w14:textId="77777777" w:rsidR="00A93C72" w:rsidRPr="005F351F" w:rsidRDefault="00A93C72" w:rsidP="00FD4B8B">
      <w:pPr>
        <w:pStyle w:val="BodyText"/>
        <w:rPr>
          <w:sz w:val="23"/>
          <w:szCs w:val="23"/>
        </w:rPr>
      </w:pPr>
    </w:p>
    <w:p w14:paraId="1242C151" w14:textId="1622AE0A" w:rsidR="00885399" w:rsidRPr="005F351F" w:rsidRDefault="00885399" w:rsidP="00FD4B8B">
      <w:pPr>
        <w:pStyle w:val="BodyText"/>
        <w:rPr>
          <w:sz w:val="23"/>
          <w:szCs w:val="23"/>
        </w:rPr>
      </w:pPr>
      <w:r w:rsidRPr="005F351F">
        <w:rPr>
          <w:sz w:val="23"/>
          <w:szCs w:val="23"/>
        </w:rPr>
        <w:t xml:space="preserve">This appeal considers two matters. First, whether the collection and retention of information about Dr Butt’s views by the </w:t>
      </w:r>
      <w:r w:rsidR="00D5542F" w:rsidRPr="005F351F">
        <w:rPr>
          <w:sz w:val="23"/>
          <w:szCs w:val="23"/>
        </w:rPr>
        <w:t xml:space="preserve">EAU </w:t>
      </w:r>
      <w:r w:rsidRPr="005F351F">
        <w:rPr>
          <w:sz w:val="23"/>
          <w:szCs w:val="23"/>
        </w:rPr>
        <w:t>is compatible with Article 8 of the European Convention on Human Rights (“ECHR”). Second, whether the Higher Education Prevent Duty Guidance issued by the Secretary of State for the Home Department is compatible with Article 10.</w:t>
      </w:r>
    </w:p>
    <w:p w14:paraId="25FEEE0F" w14:textId="77777777" w:rsidR="00885399" w:rsidRPr="005F351F" w:rsidRDefault="00885399" w:rsidP="00FD4B8B">
      <w:pPr>
        <w:pStyle w:val="BodyText"/>
        <w:rPr>
          <w:sz w:val="23"/>
          <w:szCs w:val="23"/>
        </w:rPr>
      </w:pPr>
    </w:p>
    <w:p w14:paraId="245B0329" w14:textId="419A0302" w:rsidR="00885399" w:rsidRPr="005F351F" w:rsidRDefault="00885399" w:rsidP="00FD4B8B">
      <w:pPr>
        <w:pStyle w:val="BodyText"/>
        <w:rPr>
          <w:sz w:val="23"/>
          <w:szCs w:val="23"/>
        </w:rPr>
      </w:pPr>
      <w:r w:rsidRPr="005F351F">
        <w:rPr>
          <w:sz w:val="23"/>
          <w:szCs w:val="23"/>
        </w:rPr>
        <w:t xml:space="preserve">The </w:t>
      </w:r>
      <w:r w:rsidR="0015496E" w:rsidRPr="005F351F">
        <w:rPr>
          <w:sz w:val="23"/>
          <w:szCs w:val="23"/>
        </w:rPr>
        <w:t xml:space="preserve">Guidance </w:t>
      </w:r>
      <w:r w:rsidRPr="005F351F">
        <w:rPr>
          <w:sz w:val="23"/>
          <w:szCs w:val="23"/>
        </w:rPr>
        <w:t>was issued under the powers conferred by the Counter</w:t>
      </w:r>
      <w:r w:rsidR="00ED4768" w:rsidRPr="005F351F">
        <w:rPr>
          <w:sz w:val="23"/>
          <w:szCs w:val="23"/>
        </w:rPr>
        <w:t>-</w:t>
      </w:r>
      <w:r w:rsidRPr="005F351F">
        <w:rPr>
          <w:sz w:val="23"/>
          <w:szCs w:val="23"/>
        </w:rPr>
        <w:t xml:space="preserve">Terrorism and Security Act 2015 (“CTSA”). Section 26 CTSA places certain Higher Education institutions (“RHEBs”) under a duty to have regard to the need to prevent people from being drawn into terrorism. Section 29 CTSA empowers </w:t>
      </w:r>
      <w:r w:rsidR="00F40DE4" w:rsidRPr="005F351F">
        <w:rPr>
          <w:sz w:val="23"/>
          <w:szCs w:val="23"/>
        </w:rPr>
        <w:t xml:space="preserve">the </w:t>
      </w:r>
      <w:r w:rsidR="0015496E" w:rsidRPr="005F351F">
        <w:rPr>
          <w:sz w:val="23"/>
          <w:szCs w:val="23"/>
        </w:rPr>
        <w:t>S</w:t>
      </w:r>
      <w:r w:rsidR="00F40DE4" w:rsidRPr="005F351F">
        <w:rPr>
          <w:sz w:val="23"/>
          <w:szCs w:val="23"/>
        </w:rPr>
        <w:t>ecretary</w:t>
      </w:r>
      <w:r w:rsidR="0015496E" w:rsidRPr="005F351F">
        <w:rPr>
          <w:sz w:val="23"/>
          <w:szCs w:val="23"/>
        </w:rPr>
        <w:t xml:space="preserve"> </w:t>
      </w:r>
      <w:r w:rsidR="00F40DE4" w:rsidRPr="005F351F">
        <w:rPr>
          <w:sz w:val="23"/>
          <w:szCs w:val="23"/>
        </w:rPr>
        <w:t>of</w:t>
      </w:r>
      <w:r w:rsidR="0015496E" w:rsidRPr="005F351F">
        <w:rPr>
          <w:sz w:val="23"/>
          <w:szCs w:val="23"/>
        </w:rPr>
        <w:t xml:space="preserve"> S</w:t>
      </w:r>
      <w:r w:rsidR="00F40DE4" w:rsidRPr="005F351F">
        <w:rPr>
          <w:sz w:val="23"/>
          <w:szCs w:val="23"/>
        </w:rPr>
        <w:t>tate</w:t>
      </w:r>
      <w:r w:rsidRPr="005F351F">
        <w:rPr>
          <w:sz w:val="23"/>
          <w:szCs w:val="23"/>
        </w:rPr>
        <w:t xml:space="preserve"> to issue guidance to RHEBs on how to discharge that duty. RHEBs are required to have regard to that guidance. Section 31 CTSA requires both the RHEB in discharging its section 26 duty, and </w:t>
      </w:r>
      <w:r w:rsidR="0015496E" w:rsidRPr="005F351F">
        <w:rPr>
          <w:sz w:val="23"/>
          <w:szCs w:val="23"/>
        </w:rPr>
        <w:t>S</w:t>
      </w:r>
      <w:r w:rsidR="00F40DE4" w:rsidRPr="005F351F">
        <w:rPr>
          <w:sz w:val="23"/>
          <w:szCs w:val="23"/>
        </w:rPr>
        <w:t>ecretary</w:t>
      </w:r>
      <w:r w:rsidR="0015496E" w:rsidRPr="005F351F">
        <w:rPr>
          <w:sz w:val="23"/>
          <w:szCs w:val="23"/>
        </w:rPr>
        <w:t xml:space="preserve"> </w:t>
      </w:r>
      <w:r w:rsidR="00F40DE4" w:rsidRPr="005F351F">
        <w:rPr>
          <w:sz w:val="23"/>
          <w:szCs w:val="23"/>
        </w:rPr>
        <w:t>of</w:t>
      </w:r>
      <w:r w:rsidR="0015496E" w:rsidRPr="005F351F">
        <w:rPr>
          <w:sz w:val="23"/>
          <w:szCs w:val="23"/>
        </w:rPr>
        <w:t xml:space="preserve"> S</w:t>
      </w:r>
      <w:r w:rsidR="00F40DE4" w:rsidRPr="005F351F">
        <w:rPr>
          <w:sz w:val="23"/>
          <w:szCs w:val="23"/>
        </w:rPr>
        <w:t>tate</w:t>
      </w:r>
      <w:r w:rsidRPr="005F351F">
        <w:rPr>
          <w:sz w:val="23"/>
          <w:szCs w:val="23"/>
        </w:rPr>
        <w:t xml:space="preserve"> in formulating guidance, to have particular regard to the duty to ensure freedom of speech.</w:t>
      </w:r>
    </w:p>
    <w:p w14:paraId="5294FDC1" w14:textId="77777777" w:rsidR="00885399" w:rsidRPr="005F351F" w:rsidRDefault="00885399" w:rsidP="00FD4B8B">
      <w:pPr>
        <w:pStyle w:val="BodyText"/>
        <w:rPr>
          <w:sz w:val="23"/>
          <w:szCs w:val="23"/>
        </w:rPr>
      </w:pPr>
    </w:p>
    <w:p w14:paraId="38D7C85B" w14:textId="606C9FC3" w:rsidR="00885399" w:rsidRPr="005F351F" w:rsidRDefault="00C411CA" w:rsidP="00FD4B8B">
      <w:pPr>
        <w:pStyle w:val="BodyText"/>
        <w:rPr>
          <w:sz w:val="23"/>
          <w:szCs w:val="23"/>
        </w:rPr>
      </w:pPr>
      <w:r w:rsidRPr="005F351F">
        <w:rPr>
          <w:sz w:val="23"/>
          <w:szCs w:val="23"/>
        </w:rPr>
        <w:t xml:space="preserve">Paragraph 11 of </w:t>
      </w:r>
      <w:r w:rsidR="00F40DE4" w:rsidRPr="005F351F">
        <w:rPr>
          <w:sz w:val="23"/>
          <w:szCs w:val="23"/>
        </w:rPr>
        <w:t>t</w:t>
      </w:r>
      <w:r w:rsidR="00885399" w:rsidRPr="005F351F">
        <w:rPr>
          <w:sz w:val="23"/>
          <w:szCs w:val="23"/>
        </w:rPr>
        <w:t>he</w:t>
      </w:r>
      <w:r w:rsidR="00F40DE4" w:rsidRPr="005F351F">
        <w:rPr>
          <w:sz w:val="23"/>
          <w:szCs w:val="23"/>
        </w:rPr>
        <w:t xml:space="preserve"> </w:t>
      </w:r>
      <w:r w:rsidR="0015496E" w:rsidRPr="005F351F">
        <w:rPr>
          <w:sz w:val="23"/>
          <w:szCs w:val="23"/>
        </w:rPr>
        <w:t>G</w:t>
      </w:r>
      <w:r w:rsidR="00F40DE4" w:rsidRPr="005F351F">
        <w:rPr>
          <w:sz w:val="23"/>
          <w:szCs w:val="23"/>
        </w:rPr>
        <w:t>uidance</w:t>
      </w:r>
      <w:r w:rsidR="00885399" w:rsidRPr="005F351F">
        <w:rPr>
          <w:sz w:val="23"/>
          <w:szCs w:val="23"/>
        </w:rPr>
        <w:t xml:space="preserve"> states that, when considering whether to host a particular speaker, RHEBs should consider whether the views expressed constitute extremist views that risk drawing people into terrorism. “Extremist views”</w:t>
      </w:r>
      <w:r w:rsidR="00A75C7B" w:rsidRPr="005F351F">
        <w:rPr>
          <w:sz w:val="23"/>
          <w:szCs w:val="23"/>
        </w:rPr>
        <w:t xml:space="preserve"> are defined for this purpose as</w:t>
      </w:r>
      <w:r w:rsidR="00885399" w:rsidRPr="005F351F">
        <w:rPr>
          <w:sz w:val="23"/>
          <w:szCs w:val="23"/>
        </w:rPr>
        <w:t xml:space="preserve"> views that actively oppose fundamental British values. Where the speaker is likely to express extremist views</w:t>
      </w:r>
      <w:r w:rsidR="003D1403" w:rsidRPr="005F351F">
        <w:rPr>
          <w:sz w:val="23"/>
          <w:szCs w:val="23"/>
        </w:rPr>
        <w:t xml:space="preserve"> which are such as to risk drawing people into terrorism</w:t>
      </w:r>
      <w:r w:rsidR="00885399" w:rsidRPr="005F351F">
        <w:rPr>
          <w:sz w:val="23"/>
          <w:szCs w:val="23"/>
        </w:rPr>
        <w:t xml:space="preserve">, RHEBs are advised not to allow the event to proceed unless they are entirely convinced </w:t>
      </w:r>
      <w:r w:rsidR="00F40DE4" w:rsidRPr="005F351F">
        <w:rPr>
          <w:sz w:val="23"/>
          <w:szCs w:val="23"/>
        </w:rPr>
        <w:t xml:space="preserve">that </w:t>
      </w:r>
      <w:r w:rsidR="00885399" w:rsidRPr="005F351F">
        <w:rPr>
          <w:sz w:val="23"/>
          <w:szCs w:val="23"/>
        </w:rPr>
        <w:t xml:space="preserve">the risks of people being drawn into terrorism can be fully mitigated. If there is any doubt that full mitigation can be achieved, </w:t>
      </w:r>
      <w:r w:rsidR="00E61C27" w:rsidRPr="005F351F">
        <w:rPr>
          <w:sz w:val="23"/>
          <w:szCs w:val="23"/>
        </w:rPr>
        <w:t xml:space="preserve">for example </w:t>
      </w:r>
      <w:r w:rsidR="00FC5B86" w:rsidRPr="005F351F">
        <w:rPr>
          <w:sz w:val="23"/>
          <w:szCs w:val="23"/>
        </w:rPr>
        <w:t xml:space="preserve">by strong chairing of the meeting and by placing on the platform speakers with opposing views, </w:t>
      </w:r>
      <w:r w:rsidR="00885399" w:rsidRPr="005F351F">
        <w:rPr>
          <w:sz w:val="23"/>
          <w:szCs w:val="23"/>
        </w:rPr>
        <w:t>RHEBs should not allow the event to proceed.</w:t>
      </w:r>
    </w:p>
    <w:p w14:paraId="492E0C79" w14:textId="77777777" w:rsidR="00885399" w:rsidRPr="005F351F" w:rsidRDefault="00885399" w:rsidP="00FD4B8B">
      <w:pPr>
        <w:pStyle w:val="BodyText"/>
        <w:rPr>
          <w:sz w:val="23"/>
          <w:szCs w:val="23"/>
        </w:rPr>
      </w:pPr>
    </w:p>
    <w:p w14:paraId="06A14764" w14:textId="5BE5DC27" w:rsidR="00885399" w:rsidRPr="005F351F" w:rsidRDefault="00885399" w:rsidP="00FD4B8B">
      <w:pPr>
        <w:pStyle w:val="BodyText"/>
        <w:rPr>
          <w:sz w:val="23"/>
          <w:szCs w:val="23"/>
        </w:rPr>
      </w:pPr>
      <w:r w:rsidRPr="005F351F">
        <w:rPr>
          <w:sz w:val="23"/>
          <w:szCs w:val="23"/>
        </w:rPr>
        <w:t>Dr Butt challenges the lawfulness of the guidance and the EAU’s data collection on five grounds: the</w:t>
      </w:r>
      <w:r w:rsidR="005B77BA" w:rsidRPr="005F351F">
        <w:rPr>
          <w:sz w:val="23"/>
          <w:szCs w:val="23"/>
        </w:rPr>
        <w:t xml:space="preserve"> Guidance</w:t>
      </w:r>
      <w:r w:rsidRPr="005F351F">
        <w:rPr>
          <w:sz w:val="23"/>
          <w:szCs w:val="23"/>
        </w:rPr>
        <w:t xml:space="preserve"> was outside the powers of </w:t>
      </w:r>
      <w:r w:rsidR="0015496E" w:rsidRPr="005F351F">
        <w:rPr>
          <w:sz w:val="23"/>
          <w:szCs w:val="23"/>
        </w:rPr>
        <w:t>S</w:t>
      </w:r>
      <w:r w:rsidR="005B77BA" w:rsidRPr="005F351F">
        <w:rPr>
          <w:sz w:val="23"/>
          <w:szCs w:val="23"/>
        </w:rPr>
        <w:t>ecretary of State</w:t>
      </w:r>
      <w:r w:rsidRPr="005F351F">
        <w:rPr>
          <w:sz w:val="23"/>
          <w:szCs w:val="23"/>
        </w:rPr>
        <w:t xml:space="preserve"> under the CTSA; th</w:t>
      </w:r>
      <w:r w:rsidR="005B77BA" w:rsidRPr="005F351F">
        <w:rPr>
          <w:sz w:val="23"/>
          <w:szCs w:val="23"/>
        </w:rPr>
        <w:t xml:space="preserve">e </w:t>
      </w:r>
      <w:r w:rsidR="0015496E" w:rsidRPr="005F351F">
        <w:rPr>
          <w:sz w:val="23"/>
          <w:szCs w:val="23"/>
        </w:rPr>
        <w:t>S</w:t>
      </w:r>
      <w:r w:rsidR="005B77BA" w:rsidRPr="005F351F">
        <w:rPr>
          <w:sz w:val="23"/>
          <w:szCs w:val="23"/>
        </w:rPr>
        <w:t>ecretary of State</w:t>
      </w:r>
      <w:r w:rsidRPr="005F351F">
        <w:rPr>
          <w:sz w:val="23"/>
          <w:szCs w:val="23"/>
        </w:rPr>
        <w:t xml:space="preserve"> failed to discharge his section 31 CTSA duty; the </w:t>
      </w:r>
      <w:r w:rsidR="005B77BA" w:rsidRPr="005F351F">
        <w:rPr>
          <w:sz w:val="23"/>
          <w:szCs w:val="23"/>
        </w:rPr>
        <w:t>Guidance</w:t>
      </w:r>
      <w:r w:rsidRPr="005F351F">
        <w:rPr>
          <w:sz w:val="23"/>
          <w:szCs w:val="23"/>
        </w:rPr>
        <w:t xml:space="preserve"> was a violation of Article 10 and/or Dr Butt’s common law right to free speech; the collection and retention of his data by the EAU was </w:t>
      </w:r>
      <w:r w:rsidRPr="005F351F">
        <w:rPr>
          <w:sz w:val="23"/>
          <w:szCs w:val="23"/>
        </w:rPr>
        <w:lastRenderedPageBreak/>
        <w:t>contrary to Article 8; and</w:t>
      </w:r>
      <w:r w:rsidR="005B77BA" w:rsidRPr="005F351F">
        <w:rPr>
          <w:sz w:val="23"/>
          <w:szCs w:val="23"/>
        </w:rPr>
        <w:t xml:space="preserve"> </w:t>
      </w:r>
      <w:r w:rsidRPr="005F351F">
        <w:rPr>
          <w:sz w:val="23"/>
          <w:szCs w:val="23"/>
        </w:rPr>
        <w:t>the EAU’s activities were unauthorised directed surveillance for the purposes of the Regulation of Investigatory Powers Act 2000 (“RIPA”).</w:t>
      </w:r>
    </w:p>
    <w:p w14:paraId="743C7B1A" w14:textId="77777777" w:rsidR="005B77BA" w:rsidRPr="005F351F" w:rsidRDefault="005B77BA" w:rsidP="00AE45E8">
      <w:pPr>
        <w:jc w:val="both"/>
        <w:rPr>
          <w:rFonts w:ascii="Garamond" w:hAnsi="Garamond"/>
          <w:b/>
          <w:caps/>
          <w:sz w:val="23"/>
          <w:szCs w:val="23"/>
        </w:rPr>
      </w:pPr>
    </w:p>
    <w:p w14:paraId="4F4B81FD" w14:textId="77777777" w:rsidR="00885399" w:rsidRPr="005F351F" w:rsidRDefault="00885399" w:rsidP="00AE45E8">
      <w:pPr>
        <w:jc w:val="both"/>
        <w:rPr>
          <w:rFonts w:ascii="Garamond" w:hAnsi="Garamond"/>
          <w:b/>
          <w:caps/>
          <w:sz w:val="23"/>
          <w:szCs w:val="23"/>
        </w:rPr>
      </w:pPr>
      <w:r w:rsidRPr="005F351F">
        <w:rPr>
          <w:rFonts w:ascii="Garamond" w:hAnsi="Garamond"/>
          <w:b/>
          <w:caps/>
          <w:sz w:val="23"/>
          <w:szCs w:val="23"/>
        </w:rPr>
        <w:t>Judgment</w:t>
      </w:r>
    </w:p>
    <w:p w14:paraId="1EC6B655" w14:textId="77777777" w:rsidR="00885399" w:rsidRPr="005F351F" w:rsidRDefault="00885399" w:rsidP="00AE45E8">
      <w:pPr>
        <w:jc w:val="both"/>
        <w:rPr>
          <w:rFonts w:ascii="Garamond" w:hAnsi="Garamond"/>
          <w:b/>
          <w:caps/>
          <w:sz w:val="23"/>
          <w:szCs w:val="23"/>
        </w:rPr>
      </w:pPr>
    </w:p>
    <w:p w14:paraId="484D922D" w14:textId="77777777" w:rsidR="00885399" w:rsidRPr="005F351F" w:rsidRDefault="00885399" w:rsidP="00FD4B8B">
      <w:pPr>
        <w:pStyle w:val="BodyText"/>
        <w:rPr>
          <w:sz w:val="23"/>
          <w:szCs w:val="23"/>
        </w:rPr>
      </w:pPr>
      <w:r w:rsidRPr="005F351F">
        <w:rPr>
          <w:sz w:val="23"/>
          <w:szCs w:val="23"/>
        </w:rPr>
        <w:t xml:space="preserve">The Court unanimously dismisses the appeal in relation to the collection of information by the EAU. The appeal in relation to the </w:t>
      </w:r>
      <w:r w:rsidR="005B77BA" w:rsidRPr="005F351F">
        <w:rPr>
          <w:sz w:val="23"/>
          <w:szCs w:val="23"/>
        </w:rPr>
        <w:t>Guidance</w:t>
      </w:r>
      <w:r w:rsidRPr="005F351F">
        <w:rPr>
          <w:sz w:val="23"/>
          <w:szCs w:val="23"/>
        </w:rPr>
        <w:t xml:space="preserve"> is allowed in part, on the ground that </w:t>
      </w:r>
      <w:r w:rsidR="00C02C2C" w:rsidRPr="005F351F">
        <w:rPr>
          <w:sz w:val="23"/>
          <w:szCs w:val="23"/>
        </w:rPr>
        <w:t xml:space="preserve">Secretary of State </w:t>
      </w:r>
      <w:r w:rsidRPr="005F351F">
        <w:rPr>
          <w:sz w:val="23"/>
          <w:szCs w:val="23"/>
        </w:rPr>
        <w:t>failed to discharge his section 31 CTSA duty</w:t>
      </w:r>
      <w:r w:rsidR="00C02C2C" w:rsidRPr="005F351F">
        <w:rPr>
          <w:sz w:val="23"/>
          <w:szCs w:val="23"/>
        </w:rPr>
        <w:t xml:space="preserve"> in the advice given in paragraph 11 of the Guidance. </w:t>
      </w:r>
      <w:r w:rsidRPr="005F351F">
        <w:rPr>
          <w:sz w:val="23"/>
          <w:szCs w:val="23"/>
        </w:rPr>
        <w:t xml:space="preserve"> The </w:t>
      </w:r>
      <w:r w:rsidR="00C02C2C" w:rsidRPr="005F351F">
        <w:rPr>
          <w:sz w:val="23"/>
          <w:szCs w:val="23"/>
        </w:rPr>
        <w:t>Guidance</w:t>
      </w:r>
      <w:r w:rsidRPr="005F351F">
        <w:rPr>
          <w:sz w:val="23"/>
          <w:szCs w:val="23"/>
        </w:rPr>
        <w:t xml:space="preserve"> is declared unlawful to that extent and quashed.</w:t>
      </w:r>
    </w:p>
    <w:p w14:paraId="62EDA422" w14:textId="77777777" w:rsidR="00885399" w:rsidRPr="005F351F" w:rsidRDefault="00885399" w:rsidP="00AE45E8">
      <w:pPr>
        <w:jc w:val="both"/>
        <w:rPr>
          <w:rFonts w:ascii="Garamond" w:hAnsi="Garamond"/>
          <w:sz w:val="23"/>
          <w:szCs w:val="23"/>
        </w:rPr>
      </w:pPr>
    </w:p>
    <w:p w14:paraId="51BE99BF" w14:textId="77777777" w:rsidR="00885399" w:rsidRPr="005F351F" w:rsidRDefault="00885399" w:rsidP="00AE45E8">
      <w:pPr>
        <w:jc w:val="both"/>
        <w:rPr>
          <w:rFonts w:ascii="Garamond" w:hAnsi="Garamond"/>
          <w:b/>
          <w:caps/>
          <w:sz w:val="23"/>
          <w:szCs w:val="23"/>
        </w:rPr>
      </w:pPr>
      <w:r w:rsidRPr="005F351F">
        <w:rPr>
          <w:rFonts w:ascii="Garamond" w:hAnsi="Garamond"/>
          <w:b/>
          <w:caps/>
          <w:sz w:val="23"/>
          <w:szCs w:val="23"/>
        </w:rPr>
        <w:t>Reasons for the judgment</w:t>
      </w:r>
    </w:p>
    <w:p w14:paraId="181D15B9" w14:textId="77777777" w:rsidR="00885399" w:rsidRPr="005F351F" w:rsidRDefault="00885399" w:rsidP="00AE45E8">
      <w:pPr>
        <w:jc w:val="both"/>
        <w:rPr>
          <w:rFonts w:ascii="Garamond" w:hAnsi="Garamond"/>
          <w:sz w:val="23"/>
          <w:szCs w:val="23"/>
        </w:rPr>
      </w:pPr>
    </w:p>
    <w:p w14:paraId="2ED70BD0" w14:textId="77777777" w:rsidR="00885399" w:rsidRPr="005F351F" w:rsidRDefault="00885399" w:rsidP="00AE45E8">
      <w:pPr>
        <w:jc w:val="both"/>
        <w:rPr>
          <w:rFonts w:ascii="Garamond" w:hAnsi="Garamond"/>
          <w:i/>
          <w:sz w:val="23"/>
          <w:szCs w:val="23"/>
        </w:rPr>
      </w:pPr>
      <w:r w:rsidRPr="005F351F">
        <w:rPr>
          <w:rFonts w:ascii="Garamond" w:hAnsi="Garamond"/>
          <w:i/>
          <w:sz w:val="23"/>
          <w:szCs w:val="23"/>
        </w:rPr>
        <w:t>Collection and retention of data by the EAU</w:t>
      </w:r>
    </w:p>
    <w:p w14:paraId="0AECE77C" w14:textId="77777777" w:rsidR="00885399" w:rsidRPr="005F351F" w:rsidRDefault="00885399" w:rsidP="00AE45E8">
      <w:pPr>
        <w:jc w:val="both"/>
        <w:rPr>
          <w:rFonts w:ascii="Garamond" w:hAnsi="Garamond"/>
          <w:sz w:val="23"/>
          <w:szCs w:val="23"/>
        </w:rPr>
      </w:pPr>
    </w:p>
    <w:p w14:paraId="3D792703" w14:textId="77777777" w:rsidR="00885399" w:rsidRPr="005F351F" w:rsidRDefault="00885399" w:rsidP="00FD4B8B">
      <w:pPr>
        <w:pStyle w:val="BodyText"/>
        <w:rPr>
          <w:sz w:val="23"/>
          <w:szCs w:val="23"/>
        </w:rPr>
      </w:pPr>
      <w:r w:rsidRPr="005F351F">
        <w:rPr>
          <w:sz w:val="23"/>
          <w:szCs w:val="23"/>
        </w:rPr>
        <w:t xml:space="preserve">The Article 8 challenge to the collection of Dr Butt’s data is dismissed. Article 8(1) was not engaged by the collection and retention of data relating to Dr Butt. The touchstone for engagement of Article 8(1) is a legitimate expectation of privacy </w:t>
      </w:r>
      <w:r w:rsidRPr="005F351F">
        <w:rPr>
          <w:b/>
          <w:sz w:val="23"/>
          <w:szCs w:val="23"/>
        </w:rPr>
        <w:t>[66-67]</w:t>
      </w:r>
      <w:r w:rsidRPr="005F351F">
        <w:rPr>
          <w:sz w:val="23"/>
          <w:szCs w:val="23"/>
        </w:rPr>
        <w:t xml:space="preserve">. Neither the UK Supreme Court decision in </w:t>
      </w:r>
      <w:r w:rsidRPr="005F351F">
        <w:rPr>
          <w:i/>
          <w:sz w:val="23"/>
          <w:szCs w:val="23"/>
        </w:rPr>
        <w:t>Catt</w:t>
      </w:r>
      <w:r w:rsidRPr="005F351F">
        <w:rPr>
          <w:sz w:val="23"/>
          <w:szCs w:val="23"/>
        </w:rPr>
        <w:t xml:space="preserve"> [2015] UKSC 9, nor the European Court of Human Rights’ decision in </w:t>
      </w:r>
      <w:r w:rsidRPr="005F351F">
        <w:rPr>
          <w:i/>
          <w:sz w:val="23"/>
          <w:szCs w:val="23"/>
        </w:rPr>
        <w:t>Catt v UK</w:t>
      </w:r>
      <w:r w:rsidRPr="005F351F">
        <w:rPr>
          <w:sz w:val="23"/>
          <w:szCs w:val="23"/>
        </w:rPr>
        <w:t xml:space="preserve"> (43514/15), cast</w:t>
      </w:r>
      <w:r w:rsidR="00937141" w:rsidRPr="005F351F">
        <w:rPr>
          <w:sz w:val="23"/>
          <w:szCs w:val="23"/>
        </w:rPr>
        <w:t>s</w:t>
      </w:r>
      <w:r w:rsidRPr="005F351F">
        <w:rPr>
          <w:sz w:val="23"/>
          <w:szCs w:val="23"/>
        </w:rPr>
        <w:t xml:space="preserve"> doubt on this requirement, which applies even where the state systematically collects and stores data about an individual </w:t>
      </w:r>
      <w:r w:rsidRPr="005F351F">
        <w:rPr>
          <w:b/>
          <w:sz w:val="23"/>
          <w:szCs w:val="23"/>
        </w:rPr>
        <w:t>[75-76]</w:t>
      </w:r>
      <w:r w:rsidRPr="005F351F">
        <w:rPr>
          <w:sz w:val="23"/>
          <w:szCs w:val="23"/>
        </w:rPr>
        <w:t xml:space="preserve">. In relation to statements deliberately made public by him and which he wished to communicate to others, Dr Butt could have no reasonable expectation of privacy </w:t>
      </w:r>
      <w:r w:rsidRPr="005F351F">
        <w:rPr>
          <w:b/>
          <w:sz w:val="23"/>
          <w:szCs w:val="23"/>
        </w:rPr>
        <w:t>[67, 77]</w:t>
      </w:r>
      <w:r w:rsidRPr="005F351F">
        <w:rPr>
          <w:sz w:val="23"/>
          <w:szCs w:val="23"/>
        </w:rPr>
        <w:t xml:space="preserve">. Further, there was no systematic collection of information about Dr Butt by the EAU </w:t>
      </w:r>
      <w:r w:rsidRPr="005F351F">
        <w:rPr>
          <w:b/>
          <w:sz w:val="23"/>
          <w:szCs w:val="23"/>
        </w:rPr>
        <w:t>[78-82]</w:t>
      </w:r>
      <w:r w:rsidRPr="005F351F">
        <w:rPr>
          <w:sz w:val="23"/>
          <w:szCs w:val="23"/>
        </w:rPr>
        <w:t xml:space="preserve">, nor did the data it retained constitute a systematic record </w:t>
      </w:r>
      <w:r w:rsidRPr="005F351F">
        <w:rPr>
          <w:b/>
          <w:sz w:val="23"/>
          <w:szCs w:val="23"/>
        </w:rPr>
        <w:t>[83]</w:t>
      </w:r>
      <w:r w:rsidRPr="005F351F">
        <w:rPr>
          <w:sz w:val="23"/>
          <w:szCs w:val="23"/>
        </w:rPr>
        <w:t xml:space="preserve">. </w:t>
      </w:r>
    </w:p>
    <w:p w14:paraId="6BDA62F2" w14:textId="77777777" w:rsidR="00885399" w:rsidRPr="005F351F" w:rsidRDefault="00885399" w:rsidP="00FD4B8B">
      <w:pPr>
        <w:pStyle w:val="BodyText"/>
        <w:rPr>
          <w:sz w:val="23"/>
          <w:szCs w:val="23"/>
        </w:rPr>
      </w:pPr>
    </w:p>
    <w:p w14:paraId="3412DB58" w14:textId="093C47FA" w:rsidR="00885399" w:rsidRPr="005F351F" w:rsidRDefault="00885399" w:rsidP="00FD4B8B">
      <w:pPr>
        <w:pStyle w:val="BodyText"/>
        <w:rPr>
          <w:b/>
          <w:sz w:val="23"/>
          <w:szCs w:val="23"/>
          <w:u w:val="double"/>
        </w:rPr>
      </w:pPr>
      <w:r w:rsidRPr="005F351F">
        <w:rPr>
          <w:sz w:val="23"/>
          <w:szCs w:val="23"/>
        </w:rPr>
        <w:t>Even if Article 8(1) was engaged, the collection and retention of Dr Butt’s data was a justified interference with his right to privacy under Article 8(2)</w:t>
      </w:r>
      <w:r w:rsidR="00EA284F" w:rsidRPr="005F351F">
        <w:rPr>
          <w:sz w:val="23"/>
          <w:szCs w:val="23"/>
        </w:rPr>
        <w:t xml:space="preserve"> </w:t>
      </w:r>
      <w:r w:rsidR="00EA284F" w:rsidRPr="005F351F">
        <w:rPr>
          <w:b/>
          <w:sz w:val="23"/>
          <w:szCs w:val="23"/>
        </w:rPr>
        <w:t>[123-138].</w:t>
      </w:r>
    </w:p>
    <w:p w14:paraId="52759B81" w14:textId="77777777" w:rsidR="00885399" w:rsidRPr="005F351F" w:rsidRDefault="00885399" w:rsidP="00FD4B8B">
      <w:pPr>
        <w:pStyle w:val="BodyText"/>
        <w:rPr>
          <w:b/>
          <w:sz w:val="23"/>
          <w:szCs w:val="23"/>
        </w:rPr>
      </w:pPr>
    </w:p>
    <w:p w14:paraId="04DB8A38" w14:textId="2BEF01EC" w:rsidR="00885399" w:rsidRPr="005F351F" w:rsidRDefault="00885399" w:rsidP="00FD4B8B">
      <w:pPr>
        <w:pStyle w:val="BodyText"/>
        <w:rPr>
          <w:b/>
          <w:sz w:val="23"/>
          <w:szCs w:val="23"/>
        </w:rPr>
      </w:pPr>
      <w:r w:rsidRPr="005F351F">
        <w:rPr>
          <w:sz w:val="23"/>
          <w:szCs w:val="23"/>
        </w:rPr>
        <w:t xml:space="preserve">The challenge based </w:t>
      </w:r>
      <w:bookmarkStart w:id="1" w:name="_GoBack"/>
      <w:bookmarkEnd w:id="1"/>
      <w:r w:rsidRPr="005F351F">
        <w:rPr>
          <w:sz w:val="23"/>
          <w:szCs w:val="23"/>
        </w:rPr>
        <w:t xml:space="preserve">on RIPA is dismissed. The provisions of RIPA were not engaged because there was no surveillance, and even if there had been, it was not covert </w:t>
      </w:r>
      <w:r w:rsidRPr="005F351F">
        <w:rPr>
          <w:b/>
          <w:sz w:val="23"/>
          <w:szCs w:val="23"/>
        </w:rPr>
        <w:t>[84]-[87]</w:t>
      </w:r>
      <w:r w:rsidR="00EA284F" w:rsidRPr="005F351F">
        <w:rPr>
          <w:sz w:val="23"/>
          <w:szCs w:val="23"/>
        </w:rPr>
        <w:t xml:space="preserve">, </w:t>
      </w:r>
      <w:r w:rsidR="00EA284F" w:rsidRPr="005F351F">
        <w:rPr>
          <w:b/>
          <w:sz w:val="23"/>
          <w:szCs w:val="23"/>
        </w:rPr>
        <w:t>[146].</w:t>
      </w:r>
    </w:p>
    <w:p w14:paraId="75523E76" w14:textId="77777777" w:rsidR="00885399" w:rsidRPr="005F351F" w:rsidRDefault="00885399" w:rsidP="00AE45E8">
      <w:pPr>
        <w:jc w:val="both"/>
        <w:rPr>
          <w:rFonts w:ascii="Garamond" w:hAnsi="Garamond"/>
          <w:b/>
          <w:sz w:val="23"/>
          <w:szCs w:val="23"/>
        </w:rPr>
      </w:pPr>
    </w:p>
    <w:p w14:paraId="6F3336F1" w14:textId="77777777" w:rsidR="00885399" w:rsidRPr="005F351F" w:rsidRDefault="00885399" w:rsidP="00AE45E8">
      <w:pPr>
        <w:jc w:val="both"/>
        <w:rPr>
          <w:rFonts w:ascii="Garamond" w:hAnsi="Garamond"/>
          <w:i/>
          <w:sz w:val="23"/>
          <w:szCs w:val="23"/>
        </w:rPr>
      </w:pPr>
      <w:r w:rsidRPr="005F351F">
        <w:rPr>
          <w:rFonts w:ascii="Garamond" w:hAnsi="Garamond"/>
          <w:i/>
          <w:sz w:val="23"/>
          <w:szCs w:val="23"/>
        </w:rPr>
        <w:t>Violation of Article 10 and/or the common law right to free speech</w:t>
      </w:r>
    </w:p>
    <w:p w14:paraId="1ACFA1FB" w14:textId="77777777" w:rsidR="00885399" w:rsidRPr="005F351F" w:rsidRDefault="00885399" w:rsidP="00AE45E8">
      <w:pPr>
        <w:jc w:val="both"/>
        <w:rPr>
          <w:rFonts w:ascii="Garamond" w:hAnsi="Garamond"/>
          <w:i/>
          <w:sz w:val="23"/>
          <w:szCs w:val="23"/>
        </w:rPr>
      </w:pPr>
    </w:p>
    <w:p w14:paraId="2A85D95A" w14:textId="5AA09301" w:rsidR="00885399" w:rsidRPr="005F351F" w:rsidRDefault="00885399" w:rsidP="00FD4B8B">
      <w:pPr>
        <w:pStyle w:val="BodyText"/>
        <w:rPr>
          <w:sz w:val="23"/>
          <w:szCs w:val="23"/>
        </w:rPr>
      </w:pPr>
      <w:r w:rsidRPr="005F351F">
        <w:rPr>
          <w:sz w:val="23"/>
          <w:szCs w:val="23"/>
        </w:rPr>
        <w:t xml:space="preserve">The </w:t>
      </w:r>
      <w:r w:rsidR="0015496E" w:rsidRPr="005F351F">
        <w:rPr>
          <w:sz w:val="23"/>
          <w:szCs w:val="23"/>
        </w:rPr>
        <w:t>publication of the G</w:t>
      </w:r>
      <w:r w:rsidR="00937141" w:rsidRPr="005F351F">
        <w:rPr>
          <w:sz w:val="23"/>
          <w:szCs w:val="23"/>
        </w:rPr>
        <w:t>uidance</w:t>
      </w:r>
      <w:r w:rsidRPr="005F351F">
        <w:rPr>
          <w:sz w:val="23"/>
          <w:szCs w:val="23"/>
        </w:rPr>
        <w:t xml:space="preserve"> </w:t>
      </w:r>
      <w:r w:rsidR="0015496E" w:rsidRPr="005F351F">
        <w:rPr>
          <w:sz w:val="23"/>
          <w:szCs w:val="23"/>
        </w:rPr>
        <w:t xml:space="preserve">was within the </w:t>
      </w:r>
      <w:r w:rsidR="00937141" w:rsidRPr="005F351F">
        <w:rPr>
          <w:sz w:val="23"/>
          <w:szCs w:val="23"/>
        </w:rPr>
        <w:t>Secretary of State’s</w:t>
      </w:r>
      <w:r w:rsidRPr="005F351F">
        <w:rPr>
          <w:sz w:val="23"/>
          <w:szCs w:val="23"/>
        </w:rPr>
        <w:t xml:space="preserve"> power</w:t>
      </w:r>
      <w:r w:rsidR="00EA284F" w:rsidRPr="005F351F">
        <w:rPr>
          <w:sz w:val="23"/>
          <w:szCs w:val="23"/>
        </w:rPr>
        <w:t xml:space="preserve"> </w:t>
      </w:r>
      <w:r w:rsidRPr="005F351F">
        <w:rPr>
          <w:sz w:val="23"/>
          <w:szCs w:val="23"/>
        </w:rPr>
        <w:t xml:space="preserve">under section 29 CTSA </w:t>
      </w:r>
      <w:r w:rsidR="0015496E" w:rsidRPr="005F351F">
        <w:rPr>
          <w:sz w:val="23"/>
          <w:szCs w:val="23"/>
        </w:rPr>
        <w:t>but, as worded, it is unlawful</w:t>
      </w:r>
      <w:r w:rsidR="00C411CA" w:rsidRPr="005F351F">
        <w:rPr>
          <w:sz w:val="23"/>
          <w:szCs w:val="23"/>
        </w:rPr>
        <w:t xml:space="preserve"> in one respect. Paragraph 11 </w:t>
      </w:r>
      <w:r w:rsidRPr="005F351F">
        <w:rPr>
          <w:sz w:val="23"/>
          <w:szCs w:val="23"/>
        </w:rPr>
        <w:t>is expressed in unconditional terms</w:t>
      </w:r>
      <w:r w:rsidR="00C411CA" w:rsidRPr="005F351F">
        <w:rPr>
          <w:sz w:val="23"/>
          <w:szCs w:val="23"/>
        </w:rPr>
        <w:t>:</w:t>
      </w:r>
      <w:r w:rsidR="00937141" w:rsidRPr="005F351F">
        <w:rPr>
          <w:sz w:val="23"/>
          <w:szCs w:val="23"/>
        </w:rPr>
        <w:t xml:space="preserve"> </w:t>
      </w:r>
      <w:r w:rsidR="00C411CA" w:rsidRPr="005F351F">
        <w:rPr>
          <w:sz w:val="23"/>
          <w:szCs w:val="23"/>
        </w:rPr>
        <w:t>an event must not be allowed to proceed if the RHEB is not entirely convin</w:t>
      </w:r>
      <w:r w:rsidR="000F3DDC" w:rsidRPr="005F351F">
        <w:rPr>
          <w:sz w:val="23"/>
          <w:szCs w:val="23"/>
        </w:rPr>
        <w:t>ced</w:t>
      </w:r>
      <w:r w:rsidR="00C411CA" w:rsidRPr="005F351F">
        <w:rPr>
          <w:sz w:val="23"/>
          <w:szCs w:val="23"/>
        </w:rPr>
        <w:t xml:space="preserve"> that the risk, however small, of people being drawn into terroris</w:t>
      </w:r>
      <w:r w:rsidR="002B640A" w:rsidRPr="005F351F">
        <w:rPr>
          <w:sz w:val="23"/>
          <w:szCs w:val="23"/>
        </w:rPr>
        <w:t>m</w:t>
      </w:r>
      <w:r w:rsidR="00C411CA" w:rsidRPr="005F351F">
        <w:rPr>
          <w:sz w:val="23"/>
          <w:szCs w:val="23"/>
        </w:rPr>
        <w:t xml:space="preserve"> cannot be fully mitigated.</w:t>
      </w:r>
      <w:r w:rsidRPr="005F351F">
        <w:rPr>
          <w:sz w:val="23"/>
          <w:szCs w:val="23"/>
        </w:rPr>
        <w:t xml:space="preserve"> RHEBs are likely to read the </w:t>
      </w:r>
      <w:r w:rsidR="000F3DDC" w:rsidRPr="005F351F">
        <w:rPr>
          <w:sz w:val="23"/>
          <w:szCs w:val="23"/>
        </w:rPr>
        <w:t>G</w:t>
      </w:r>
      <w:r w:rsidRPr="005F351F">
        <w:rPr>
          <w:sz w:val="23"/>
          <w:szCs w:val="23"/>
        </w:rPr>
        <w:t xml:space="preserve">uidance and assume it represents a balance of their competing duties under the CTSA. The unconditional phrasing of the </w:t>
      </w:r>
      <w:r w:rsidR="00C411CA" w:rsidRPr="005F351F">
        <w:rPr>
          <w:sz w:val="23"/>
          <w:szCs w:val="23"/>
        </w:rPr>
        <w:t>G</w:t>
      </w:r>
      <w:r w:rsidRPr="005F351F">
        <w:rPr>
          <w:sz w:val="23"/>
          <w:szCs w:val="23"/>
        </w:rPr>
        <w:t>uidance was not sufficiently balanced or accurate so as to inform RHEBs of those competing obligations</w:t>
      </w:r>
      <w:r w:rsidR="000A24F1" w:rsidRPr="005F351F">
        <w:rPr>
          <w:sz w:val="23"/>
          <w:szCs w:val="23"/>
        </w:rPr>
        <w:t>, which include the duty to ensure freedom of speech.</w:t>
      </w:r>
      <w:r w:rsidRPr="005F351F">
        <w:rPr>
          <w:sz w:val="23"/>
          <w:szCs w:val="23"/>
        </w:rPr>
        <w:t xml:space="preserve"> To the extent that</w:t>
      </w:r>
      <w:r w:rsidR="008E6080" w:rsidRPr="005F351F">
        <w:rPr>
          <w:sz w:val="23"/>
          <w:szCs w:val="23"/>
        </w:rPr>
        <w:t xml:space="preserve"> the</w:t>
      </w:r>
      <w:r w:rsidRPr="005F351F">
        <w:rPr>
          <w:sz w:val="23"/>
          <w:szCs w:val="23"/>
        </w:rPr>
        <w:t xml:space="preserve"> </w:t>
      </w:r>
      <w:r w:rsidR="0015496E" w:rsidRPr="005F351F">
        <w:rPr>
          <w:sz w:val="23"/>
          <w:szCs w:val="23"/>
        </w:rPr>
        <w:t>S</w:t>
      </w:r>
      <w:r w:rsidR="000F3DDC" w:rsidRPr="005F351F">
        <w:rPr>
          <w:sz w:val="23"/>
          <w:szCs w:val="23"/>
        </w:rPr>
        <w:t>ecretary of State</w:t>
      </w:r>
      <w:r w:rsidRPr="005F351F">
        <w:rPr>
          <w:sz w:val="23"/>
          <w:szCs w:val="23"/>
        </w:rPr>
        <w:t xml:space="preserve"> had expressed </w:t>
      </w:r>
      <w:r w:rsidR="00C411CA" w:rsidRPr="005F351F">
        <w:rPr>
          <w:sz w:val="23"/>
          <w:szCs w:val="23"/>
        </w:rPr>
        <w:t xml:space="preserve">the Guidance </w:t>
      </w:r>
      <w:r w:rsidRPr="005F351F">
        <w:rPr>
          <w:sz w:val="23"/>
          <w:szCs w:val="23"/>
        </w:rPr>
        <w:t xml:space="preserve">in this unconditional form, he had failed to discharge his section 31 CTSA duty </w:t>
      </w:r>
      <w:r w:rsidRPr="005F351F">
        <w:rPr>
          <w:b/>
          <w:sz w:val="23"/>
          <w:szCs w:val="23"/>
        </w:rPr>
        <w:t>[176-177]</w:t>
      </w:r>
      <w:r w:rsidRPr="005F351F">
        <w:rPr>
          <w:sz w:val="23"/>
          <w:szCs w:val="23"/>
        </w:rPr>
        <w:t xml:space="preserve">. </w:t>
      </w:r>
    </w:p>
    <w:p w14:paraId="6BF009E4" w14:textId="77777777" w:rsidR="00885399" w:rsidRPr="005F351F" w:rsidRDefault="00885399" w:rsidP="00FD4B8B">
      <w:pPr>
        <w:pStyle w:val="BodyText"/>
        <w:rPr>
          <w:sz w:val="23"/>
          <w:szCs w:val="23"/>
        </w:rPr>
      </w:pPr>
    </w:p>
    <w:p w14:paraId="72B85282" w14:textId="30A6BFA4" w:rsidR="00885399" w:rsidRPr="005F351F" w:rsidRDefault="00885399" w:rsidP="00FD4B8B">
      <w:pPr>
        <w:pStyle w:val="BodyText"/>
        <w:rPr>
          <w:sz w:val="23"/>
          <w:szCs w:val="23"/>
        </w:rPr>
      </w:pPr>
      <w:r w:rsidRPr="005F351F">
        <w:rPr>
          <w:sz w:val="23"/>
          <w:szCs w:val="23"/>
        </w:rPr>
        <w:t xml:space="preserve">Dr Butt’s challenge to the </w:t>
      </w:r>
      <w:r w:rsidR="000C09F8" w:rsidRPr="005F351F">
        <w:rPr>
          <w:sz w:val="23"/>
          <w:szCs w:val="23"/>
        </w:rPr>
        <w:t>G</w:t>
      </w:r>
      <w:r w:rsidRPr="005F351F">
        <w:rPr>
          <w:sz w:val="23"/>
          <w:szCs w:val="23"/>
        </w:rPr>
        <w:t xml:space="preserve">uidance based on Article 10 ECHR fails because </w:t>
      </w:r>
      <w:r w:rsidR="00C411CA" w:rsidRPr="005F351F">
        <w:rPr>
          <w:sz w:val="23"/>
          <w:szCs w:val="23"/>
        </w:rPr>
        <w:t xml:space="preserve">he could not show </w:t>
      </w:r>
      <w:r w:rsidR="00903017" w:rsidRPr="005F351F">
        <w:rPr>
          <w:sz w:val="23"/>
          <w:szCs w:val="23"/>
        </w:rPr>
        <w:t xml:space="preserve">that </w:t>
      </w:r>
      <w:r w:rsidR="000F3DDC" w:rsidRPr="005F351F">
        <w:rPr>
          <w:sz w:val="23"/>
          <w:szCs w:val="23"/>
        </w:rPr>
        <w:t>the</w:t>
      </w:r>
      <w:r w:rsidR="00903017" w:rsidRPr="005F351F">
        <w:rPr>
          <w:sz w:val="23"/>
          <w:szCs w:val="23"/>
        </w:rPr>
        <w:t xml:space="preserve"> Guidance had actually been applied to prevent him speaking a</w:t>
      </w:r>
      <w:r w:rsidR="000C09F8" w:rsidRPr="005F351F">
        <w:rPr>
          <w:sz w:val="23"/>
          <w:szCs w:val="23"/>
        </w:rPr>
        <w:t>t</w:t>
      </w:r>
      <w:r w:rsidR="00903017" w:rsidRPr="005F351F">
        <w:rPr>
          <w:sz w:val="23"/>
          <w:szCs w:val="23"/>
        </w:rPr>
        <w:t xml:space="preserve"> universities </w:t>
      </w:r>
      <w:r w:rsidRPr="005F351F">
        <w:rPr>
          <w:b/>
          <w:sz w:val="23"/>
          <w:szCs w:val="23"/>
        </w:rPr>
        <w:t>[179-183]</w:t>
      </w:r>
      <w:r w:rsidRPr="005F351F">
        <w:rPr>
          <w:sz w:val="23"/>
          <w:szCs w:val="23"/>
        </w:rPr>
        <w:t>.</w:t>
      </w:r>
    </w:p>
    <w:p w14:paraId="2442279C" w14:textId="4B02F3E7" w:rsidR="00885399" w:rsidRPr="005F351F" w:rsidRDefault="00885399" w:rsidP="00AE45E8">
      <w:pPr>
        <w:jc w:val="both"/>
        <w:rPr>
          <w:rFonts w:ascii="Garamond" w:hAnsi="Garamond"/>
          <w:sz w:val="23"/>
          <w:szCs w:val="23"/>
        </w:rPr>
      </w:pPr>
    </w:p>
    <w:p w14:paraId="18F6522F" w14:textId="77777777" w:rsidR="00885399" w:rsidRPr="005F351F" w:rsidRDefault="00885399" w:rsidP="00AE45E8">
      <w:pPr>
        <w:jc w:val="both"/>
        <w:rPr>
          <w:rFonts w:ascii="Garamond" w:hAnsi="Garamond"/>
          <w:i/>
          <w:sz w:val="23"/>
          <w:szCs w:val="23"/>
        </w:rPr>
      </w:pPr>
      <w:r w:rsidRPr="005F351F">
        <w:rPr>
          <w:rFonts w:ascii="Garamond" w:hAnsi="Garamond"/>
          <w:i/>
          <w:sz w:val="23"/>
          <w:szCs w:val="23"/>
        </w:rPr>
        <w:t>References in square brackets are to paragraphs in the judgment</w:t>
      </w:r>
    </w:p>
    <w:p w14:paraId="3CBB85A1" w14:textId="77777777" w:rsidR="00885399" w:rsidRPr="005F351F" w:rsidRDefault="00885399" w:rsidP="00AE45E8">
      <w:pPr>
        <w:jc w:val="both"/>
        <w:rPr>
          <w:rFonts w:ascii="Garamond" w:hAnsi="Garamond"/>
          <w:i/>
          <w:sz w:val="23"/>
          <w:szCs w:val="23"/>
        </w:rPr>
      </w:pPr>
    </w:p>
    <w:p w14:paraId="01023FF1" w14:textId="77777777" w:rsidR="00885399" w:rsidRPr="005F351F" w:rsidRDefault="00885399" w:rsidP="00AE45E8">
      <w:pPr>
        <w:jc w:val="both"/>
        <w:rPr>
          <w:rFonts w:ascii="Garamond" w:hAnsi="Garamond"/>
          <w:b/>
          <w:sz w:val="23"/>
          <w:szCs w:val="23"/>
        </w:rPr>
      </w:pPr>
      <w:r w:rsidRPr="005F351F">
        <w:rPr>
          <w:rFonts w:ascii="Garamond" w:hAnsi="Garamond"/>
          <w:b/>
          <w:sz w:val="23"/>
          <w:szCs w:val="23"/>
        </w:rPr>
        <w:t>NOTE:</w:t>
      </w:r>
    </w:p>
    <w:p w14:paraId="4E5BBAD8" w14:textId="77777777" w:rsidR="00885399" w:rsidRPr="005F351F" w:rsidRDefault="00885399" w:rsidP="00AE45E8">
      <w:pPr>
        <w:jc w:val="both"/>
        <w:rPr>
          <w:rFonts w:ascii="Garamond" w:hAnsi="Garamond"/>
          <w:b/>
          <w:sz w:val="23"/>
          <w:szCs w:val="23"/>
        </w:rPr>
      </w:pPr>
      <w:r w:rsidRPr="005F351F">
        <w:rPr>
          <w:rFonts w:ascii="Garamond" w:hAnsi="Garamond"/>
          <w:b/>
          <w:sz w:val="23"/>
          <w:szCs w:val="23"/>
        </w:rPr>
        <w:t xml:space="preserve">This summary is provided to assist in understanding the Court of Appeal’s decision. It does not form part of the reasons for the decision. The full judgment of the Court of Appeal is the </w:t>
      </w:r>
      <w:r w:rsidRPr="005F351F">
        <w:rPr>
          <w:rFonts w:ascii="Garamond" w:hAnsi="Garamond"/>
          <w:b/>
          <w:sz w:val="23"/>
          <w:szCs w:val="23"/>
        </w:rPr>
        <w:lastRenderedPageBreak/>
        <w:t>only authoritative document. The full judgment of the Court of Appeal and a copy of this media summary are available at www.judiciary.uk</w:t>
      </w:r>
    </w:p>
    <w:bookmarkEnd w:id="0"/>
    <w:p w14:paraId="301BD673" w14:textId="4B53B817" w:rsidR="00885399" w:rsidRPr="002440EF" w:rsidRDefault="00885399">
      <w:pPr>
        <w:rPr>
          <w:rFonts w:ascii="Garamond" w:hAnsi="Garamond"/>
        </w:rPr>
      </w:pPr>
    </w:p>
    <w:sectPr w:rsidR="00885399" w:rsidRPr="002440EF" w:rsidSect="00AF79A8">
      <w:pgSz w:w="11906" w:h="16838"/>
      <w:pgMar w:top="1440" w:right="1361" w:bottom="1440" w:left="136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D1F6C" w14:textId="77777777" w:rsidR="00386C33" w:rsidRDefault="00386C33" w:rsidP="00386C33">
      <w:r>
        <w:separator/>
      </w:r>
    </w:p>
  </w:endnote>
  <w:endnote w:type="continuationSeparator" w:id="0">
    <w:p w14:paraId="61F13C55" w14:textId="77777777" w:rsidR="00386C33" w:rsidRDefault="00386C33" w:rsidP="0038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FB742" w14:textId="77777777" w:rsidR="00386C33" w:rsidRDefault="00386C33" w:rsidP="00386C33">
      <w:r>
        <w:separator/>
      </w:r>
    </w:p>
  </w:footnote>
  <w:footnote w:type="continuationSeparator" w:id="0">
    <w:p w14:paraId="716ED69C" w14:textId="77777777" w:rsidR="00386C33" w:rsidRDefault="00386C33" w:rsidP="00386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84953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CCA643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0C61A6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DBA369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6DA87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24C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6EB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18B4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0E24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A7E4C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9166B9F-65A5-45F6-A6FE-68CEB751AA91}"/>
    <w:docVar w:name="dgnword-eventsink" w:val="284481104"/>
  </w:docVars>
  <w:rsids>
    <w:rsidRoot w:val="00AE45E8"/>
    <w:rsid w:val="00005A78"/>
    <w:rsid w:val="00047E9E"/>
    <w:rsid w:val="000514BA"/>
    <w:rsid w:val="000A24F1"/>
    <w:rsid w:val="000C09F8"/>
    <w:rsid w:val="000D5FFA"/>
    <w:rsid w:val="000F3DDC"/>
    <w:rsid w:val="00116E32"/>
    <w:rsid w:val="0015496E"/>
    <w:rsid w:val="001A42CA"/>
    <w:rsid w:val="001C036E"/>
    <w:rsid w:val="001D4D98"/>
    <w:rsid w:val="001F47E7"/>
    <w:rsid w:val="001F578B"/>
    <w:rsid w:val="002440EF"/>
    <w:rsid w:val="002467E5"/>
    <w:rsid w:val="00283D7C"/>
    <w:rsid w:val="002B3C81"/>
    <w:rsid w:val="002B640A"/>
    <w:rsid w:val="002B7C77"/>
    <w:rsid w:val="002D1B50"/>
    <w:rsid w:val="002E0D36"/>
    <w:rsid w:val="002E5AAF"/>
    <w:rsid w:val="00340365"/>
    <w:rsid w:val="00374632"/>
    <w:rsid w:val="00386C33"/>
    <w:rsid w:val="003A1FBB"/>
    <w:rsid w:val="003D1403"/>
    <w:rsid w:val="003D71DC"/>
    <w:rsid w:val="003F0A40"/>
    <w:rsid w:val="00417C2E"/>
    <w:rsid w:val="00420DA4"/>
    <w:rsid w:val="00443907"/>
    <w:rsid w:val="00450630"/>
    <w:rsid w:val="0046355B"/>
    <w:rsid w:val="00475660"/>
    <w:rsid w:val="004831C2"/>
    <w:rsid w:val="00492D33"/>
    <w:rsid w:val="004B1899"/>
    <w:rsid w:val="0053329C"/>
    <w:rsid w:val="00563FBB"/>
    <w:rsid w:val="00581A00"/>
    <w:rsid w:val="005B2947"/>
    <w:rsid w:val="005B77BA"/>
    <w:rsid w:val="005C6EE0"/>
    <w:rsid w:val="005F351F"/>
    <w:rsid w:val="005F3FCA"/>
    <w:rsid w:val="006742D0"/>
    <w:rsid w:val="00684060"/>
    <w:rsid w:val="006C22F3"/>
    <w:rsid w:val="007340EE"/>
    <w:rsid w:val="0074739D"/>
    <w:rsid w:val="00754238"/>
    <w:rsid w:val="00765BF6"/>
    <w:rsid w:val="007821D8"/>
    <w:rsid w:val="0085485E"/>
    <w:rsid w:val="00885399"/>
    <w:rsid w:val="00896995"/>
    <w:rsid w:val="008A4019"/>
    <w:rsid w:val="008D1508"/>
    <w:rsid w:val="008E0AE4"/>
    <w:rsid w:val="008E6080"/>
    <w:rsid w:val="00903017"/>
    <w:rsid w:val="00917891"/>
    <w:rsid w:val="00937141"/>
    <w:rsid w:val="009A4869"/>
    <w:rsid w:val="00A71134"/>
    <w:rsid w:val="00A73CD4"/>
    <w:rsid w:val="00A75C7B"/>
    <w:rsid w:val="00A93C72"/>
    <w:rsid w:val="00AC0D57"/>
    <w:rsid w:val="00AE2E6E"/>
    <w:rsid w:val="00AE4305"/>
    <w:rsid w:val="00AE45E8"/>
    <w:rsid w:val="00AF79A8"/>
    <w:rsid w:val="00B0207B"/>
    <w:rsid w:val="00B06140"/>
    <w:rsid w:val="00B4473E"/>
    <w:rsid w:val="00B563CB"/>
    <w:rsid w:val="00B8025B"/>
    <w:rsid w:val="00B80948"/>
    <w:rsid w:val="00B8410F"/>
    <w:rsid w:val="00BB4FC5"/>
    <w:rsid w:val="00BB6D1E"/>
    <w:rsid w:val="00BE27A6"/>
    <w:rsid w:val="00BF52B3"/>
    <w:rsid w:val="00BF543A"/>
    <w:rsid w:val="00C01B61"/>
    <w:rsid w:val="00C02C2C"/>
    <w:rsid w:val="00C140A7"/>
    <w:rsid w:val="00C411CA"/>
    <w:rsid w:val="00C62F11"/>
    <w:rsid w:val="00CA181D"/>
    <w:rsid w:val="00CF2190"/>
    <w:rsid w:val="00D3452C"/>
    <w:rsid w:val="00D504F2"/>
    <w:rsid w:val="00D5542F"/>
    <w:rsid w:val="00D5614D"/>
    <w:rsid w:val="00D572F5"/>
    <w:rsid w:val="00D91D0F"/>
    <w:rsid w:val="00DC1F40"/>
    <w:rsid w:val="00E340FE"/>
    <w:rsid w:val="00E61C27"/>
    <w:rsid w:val="00E6671F"/>
    <w:rsid w:val="00E70E9E"/>
    <w:rsid w:val="00E7316E"/>
    <w:rsid w:val="00E920A7"/>
    <w:rsid w:val="00E96B52"/>
    <w:rsid w:val="00EA284F"/>
    <w:rsid w:val="00EC22E0"/>
    <w:rsid w:val="00EC7C20"/>
    <w:rsid w:val="00ED063F"/>
    <w:rsid w:val="00ED4768"/>
    <w:rsid w:val="00EF0D46"/>
    <w:rsid w:val="00F241B1"/>
    <w:rsid w:val="00F30ED2"/>
    <w:rsid w:val="00F40DE4"/>
    <w:rsid w:val="00F47462"/>
    <w:rsid w:val="00F92AB9"/>
    <w:rsid w:val="00FA66E2"/>
    <w:rsid w:val="00FB69A9"/>
    <w:rsid w:val="00FC5B86"/>
    <w:rsid w:val="00FD4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C8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45E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D4B8B"/>
    <w:pPr>
      <w:jc w:val="both"/>
    </w:pPr>
    <w:rPr>
      <w:rFonts w:ascii="Garamond" w:hAnsi="Garamond"/>
      <w:sz w:val="22"/>
      <w:szCs w:val="22"/>
    </w:rPr>
  </w:style>
  <w:style w:type="character" w:customStyle="1" w:styleId="BodyTextChar">
    <w:name w:val="Body Text Char"/>
    <w:basedOn w:val="DefaultParagraphFont"/>
    <w:link w:val="BodyText"/>
    <w:uiPriority w:val="99"/>
    <w:locked/>
    <w:rsid w:val="00FD4B8B"/>
    <w:rPr>
      <w:rFonts w:ascii="Garamond" w:eastAsia="Times New Roman" w:hAnsi="Garamond" w:cs="Times New Roman"/>
      <w:sz w:val="22"/>
      <w:szCs w:val="22"/>
      <w:lang w:val="en-GB" w:eastAsia="en-GB" w:bidi="ar-SA"/>
    </w:rPr>
  </w:style>
  <w:style w:type="paragraph" w:styleId="Header">
    <w:name w:val="header"/>
    <w:basedOn w:val="Normal"/>
    <w:link w:val="HeaderChar"/>
    <w:uiPriority w:val="99"/>
    <w:unhideWhenUsed/>
    <w:rsid w:val="00386C33"/>
    <w:pPr>
      <w:tabs>
        <w:tab w:val="center" w:pos="4513"/>
        <w:tab w:val="right" w:pos="9026"/>
      </w:tabs>
    </w:pPr>
  </w:style>
  <w:style w:type="character" w:customStyle="1" w:styleId="HeaderChar">
    <w:name w:val="Header Char"/>
    <w:basedOn w:val="DefaultParagraphFont"/>
    <w:link w:val="Header"/>
    <w:uiPriority w:val="99"/>
    <w:rsid w:val="00386C33"/>
    <w:rPr>
      <w:rFonts w:ascii="Times New Roman" w:eastAsia="Times New Roman" w:hAnsi="Times New Roman"/>
      <w:sz w:val="24"/>
      <w:szCs w:val="24"/>
    </w:rPr>
  </w:style>
  <w:style w:type="paragraph" w:styleId="Footer">
    <w:name w:val="footer"/>
    <w:basedOn w:val="Normal"/>
    <w:link w:val="FooterChar"/>
    <w:uiPriority w:val="99"/>
    <w:unhideWhenUsed/>
    <w:rsid w:val="00386C33"/>
    <w:pPr>
      <w:tabs>
        <w:tab w:val="center" w:pos="4513"/>
        <w:tab w:val="right" w:pos="9026"/>
      </w:tabs>
    </w:pPr>
  </w:style>
  <w:style w:type="character" w:customStyle="1" w:styleId="FooterChar">
    <w:name w:val="Footer Char"/>
    <w:basedOn w:val="DefaultParagraphFont"/>
    <w:link w:val="Footer"/>
    <w:uiPriority w:val="99"/>
    <w:rsid w:val="00386C3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1079</Words>
  <Characters>5470</Characters>
  <Application>Microsoft Office Word</Application>
  <DocSecurity>0</DocSecurity>
  <Lines>45</Lines>
  <Paragraphs>13</Paragraphs>
  <ScaleCrop>false</ScaleCrop>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2019-03-08T10:57:00Z</dcterms:created>
  <dcterms:modified xsi:type="dcterms:W3CDTF">2019-03-08T10:57:00Z</dcterms:modified>
</cp:coreProperties>
</file>