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DE0E3" w14:textId="77777777" w:rsidR="00D4740F" w:rsidRDefault="00D4740F" w:rsidP="008C736D">
      <w:pPr>
        <w:pStyle w:val="Heading1"/>
      </w:pPr>
      <w:r>
        <w:t xml:space="preserve">REASONABLE ADJUSTMENTS POLICY </w:t>
      </w:r>
    </w:p>
    <w:p w14:paraId="41C915B1" w14:textId="77777777" w:rsidR="00D4740F" w:rsidRPr="00E570AF" w:rsidRDefault="00D4740F" w:rsidP="008C736D">
      <w:pPr>
        <w:pStyle w:val="Policyparalevel1"/>
        <w:numPr>
          <w:ilvl w:val="0"/>
          <w:numId w:val="0"/>
        </w:numPr>
        <w:spacing w:after="360"/>
        <w:ind w:left="567"/>
        <w:rPr>
          <w:i/>
          <w:iCs/>
        </w:rPr>
      </w:pPr>
      <w:bookmarkStart w:id="0" w:name="_Hlk55111018"/>
      <w:bookmarkStart w:id="1" w:name="OLE_LINK2"/>
      <w:r w:rsidRPr="00E570AF">
        <w:rPr>
          <w:i/>
          <w:iCs/>
        </w:rPr>
        <w:t xml:space="preserve">References to Chambers in this policy include Brick Court Chambers and its service company, </w:t>
      </w:r>
      <w:bookmarkStart w:id="2" w:name="_Hlk49273642"/>
      <w:bookmarkStart w:id="3" w:name="OLE_LINK9"/>
      <w:r w:rsidRPr="00E570AF">
        <w:rPr>
          <w:i/>
          <w:iCs/>
        </w:rPr>
        <w:t>Little Essex Street Service Company Ltd</w:t>
      </w:r>
      <w:bookmarkEnd w:id="2"/>
      <w:bookmarkEnd w:id="3"/>
      <w:r w:rsidRPr="00E570AF">
        <w:rPr>
          <w:i/>
          <w:iCs/>
        </w:rPr>
        <w:t>. References to employees are to former employees of Brick Court Chambers and current and former employees of Little Essex Street Service Company Ltd, as appropriate.</w:t>
      </w:r>
    </w:p>
    <w:bookmarkEnd w:id="0"/>
    <w:bookmarkEnd w:id="1"/>
    <w:p w14:paraId="5A520E1A" w14:textId="77777777" w:rsidR="00D4740F" w:rsidRDefault="00D4740F" w:rsidP="008C736D">
      <w:pPr>
        <w:pStyle w:val="Heading2"/>
      </w:pPr>
      <w:r>
        <w:t>Introduction</w:t>
      </w:r>
    </w:p>
    <w:p w14:paraId="18F3DD61" w14:textId="570616DB" w:rsidR="00D4740F" w:rsidRDefault="00D4740F" w:rsidP="00670EAD">
      <w:pPr>
        <w:pStyle w:val="Policyparalevel1"/>
      </w:pPr>
      <w:bookmarkStart w:id="4" w:name="OLE_LINK38"/>
      <w:bookmarkStart w:id="5" w:name="OLE_LINK39"/>
      <w:r>
        <w:t>This is Chambers’ Reasonable Adjustments Policy. It is effective,</w:t>
      </w:r>
      <w:r w:rsidRPr="00773AD7">
        <w:t xml:space="preserve"> </w:t>
      </w:r>
      <w:r>
        <w:t>in this version, as of the date of its approval by the Executive Committee, set out below.</w:t>
      </w:r>
    </w:p>
    <w:p w14:paraId="5E809539" w14:textId="77777777" w:rsidR="00D4740F" w:rsidRDefault="00D4740F" w:rsidP="00670EAD">
      <w:pPr>
        <w:pStyle w:val="Policyparalevel1"/>
      </w:pPr>
      <w:r>
        <w:t xml:space="preserve">This is one of a number of specific policies aimed at achieving the objectives of Chambers’ Equality and Diversity Policy, which sets out Chambers’ overarching rules, principles and procedures for preventing discrimination, ensuring equality of opportunity, and promoting diversity, and which should be read together with this policy. </w:t>
      </w:r>
      <w:bookmarkStart w:id="6" w:name="OLE_LINK76"/>
      <w:bookmarkStart w:id="7" w:name="OLE_LINK77"/>
      <w:r>
        <w:t xml:space="preserve">Any </w:t>
      </w:r>
      <w:bookmarkStart w:id="8" w:name="OLE_LINK70"/>
      <w:bookmarkStart w:id="9" w:name="OLE_LINK71"/>
      <w:bookmarkStart w:id="10" w:name="OLE_LINK72"/>
      <w:r>
        <w:t xml:space="preserve">queries, concerns, issues, complaints or grievances </w:t>
      </w:r>
      <w:bookmarkEnd w:id="8"/>
      <w:bookmarkEnd w:id="9"/>
      <w:bookmarkEnd w:id="10"/>
      <w:r>
        <w:t xml:space="preserve">in respect of this policy should be raised by one of the means set out in </w:t>
      </w:r>
      <w:bookmarkStart w:id="11" w:name="_Hlk55200512"/>
      <w:bookmarkStart w:id="12" w:name="OLE_LINK55"/>
      <w:r>
        <w:t>the Equality and Diversity Policy</w:t>
      </w:r>
      <w:bookmarkEnd w:id="11"/>
      <w:bookmarkEnd w:id="12"/>
      <w:r>
        <w:t>.</w:t>
      </w:r>
      <w:r w:rsidRPr="004C4CE3">
        <w:t xml:space="preserve"> </w:t>
      </w:r>
      <w:r>
        <w:t>Breaches of this policy will be dealt with as set out in the Equality and Diversity Policy.</w:t>
      </w:r>
    </w:p>
    <w:bookmarkEnd w:id="4"/>
    <w:bookmarkEnd w:id="5"/>
    <w:bookmarkEnd w:id="6"/>
    <w:bookmarkEnd w:id="7"/>
    <w:p w14:paraId="05E99463" w14:textId="77777777" w:rsidR="00D4740F" w:rsidRDefault="00D4740F" w:rsidP="008C736D">
      <w:pPr>
        <w:pStyle w:val="Heading2"/>
      </w:pPr>
      <w:r>
        <w:t>Purpose and scope</w:t>
      </w:r>
    </w:p>
    <w:p w14:paraId="6CEE43EC" w14:textId="28C43A7E" w:rsidR="00D4740F" w:rsidRDefault="00D4740F" w:rsidP="008C736D">
      <w:pPr>
        <w:pStyle w:val="Policyparalevel1"/>
      </w:pPr>
      <w:r>
        <w:t xml:space="preserve">Chambers is committed to making reasonable adjustments in order to remove or reduce substantial disadvantage for disabled </w:t>
      </w:r>
      <w:r w:rsidR="00F80AD4">
        <w:t xml:space="preserve">or neurodivergent </w:t>
      </w:r>
      <w:r>
        <w:t xml:space="preserve">people working in or with Chambers, or receiving legal services. </w:t>
      </w:r>
    </w:p>
    <w:p w14:paraId="0BB0AA27" w14:textId="77777777" w:rsidR="00D4740F" w:rsidRDefault="00D4740F" w:rsidP="008C736D">
      <w:pPr>
        <w:pStyle w:val="Policyparalevel1"/>
      </w:pPr>
      <w:r>
        <w:t xml:space="preserve">This policy covers all members of Chambers, employees, pupils, mini-pupils, applicants for such roles, and visitors. </w:t>
      </w:r>
    </w:p>
    <w:p w14:paraId="137C3F8F" w14:textId="77777777" w:rsidR="00D4740F" w:rsidRDefault="00D4740F" w:rsidP="008C736D">
      <w:pPr>
        <w:pStyle w:val="Heading2"/>
      </w:pPr>
      <w:r>
        <w:t xml:space="preserve">Definition of disability </w:t>
      </w:r>
    </w:p>
    <w:p w14:paraId="209F1CEE" w14:textId="53F14B11" w:rsidR="00D4740F" w:rsidRDefault="00D4740F" w:rsidP="008C736D">
      <w:pPr>
        <w:pStyle w:val="Policyparalevel1"/>
      </w:pPr>
      <w:r>
        <w:t xml:space="preserve">For the purposes of this policy the definition of disability follows that set out in the Equality Act 2010 s.6. A person is therefore disabled if they have a physical or mental impairment which has a substantial and long-term adverse effect on their ability to carry out normal day-to-day activities. </w:t>
      </w:r>
      <w:r w:rsidR="00F80AD4">
        <w:t xml:space="preserve"> This may include neurodivergent </w:t>
      </w:r>
      <w:r w:rsidR="00F80AD4">
        <w:lastRenderedPageBreak/>
        <w:t>conditions</w:t>
      </w:r>
      <w:r w:rsidR="00D60A1D">
        <w:t>, although not everyone with such a condition may choose to regard their condition as a disability.</w:t>
      </w:r>
    </w:p>
    <w:p w14:paraId="132590FC" w14:textId="77777777" w:rsidR="00D4740F" w:rsidRDefault="00D4740F" w:rsidP="007E2A1D">
      <w:pPr>
        <w:pStyle w:val="Policyparalevel1"/>
      </w:pPr>
      <w:r>
        <w:t xml:space="preserve">“Substantial” means more than minor or trivial and “long-term” means 12 months or more. </w:t>
      </w:r>
    </w:p>
    <w:p w14:paraId="2337C1B4" w14:textId="77777777" w:rsidR="00D4740F" w:rsidRDefault="00D4740F" w:rsidP="007E2A1D">
      <w:pPr>
        <w:pStyle w:val="Heading2"/>
      </w:pPr>
      <w:r>
        <w:t xml:space="preserve">Types of reasonable adjustment </w:t>
      </w:r>
    </w:p>
    <w:p w14:paraId="2D0EEC09" w14:textId="77777777" w:rsidR="00D4740F" w:rsidRDefault="00D4740F" w:rsidP="007E2A1D">
      <w:pPr>
        <w:pStyle w:val="Policyparalevel1"/>
      </w:pPr>
      <w:r>
        <w:t xml:space="preserve">This policy does not provide an exhaustive list of the reasonable adjustments that Brick Court Chambers will make, but such adjustments may for example include: </w:t>
      </w:r>
    </w:p>
    <w:p w14:paraId="3081E059" w14:textId="77777777" w:rsidR="00D4740F" w:rsidRDefault="00D4740F" w:rsidP="00D4740F">
      <w:pPr>
        <w:pStyle w:val="Policyparalevel2"/>
      </w:pPr>
      <w:r>
        <w:t xml:space="preserve">provision of information in alternative formats (e.g. large print, Braille etc); </w:t>
      </w:r>
    </w:p>
    <w:p w14:paraId="01889053" w14:textId="77777777" w:rsidR="00D4740F" w:rsidRDefault="00D4740F" w:rsidP="00D4740F">
      <w:pPr>
        <w:pStyle w:val="Policyparalevel2"/>
      </w:pPr>
      <w:r>
        <w:t>paid disability leave, for example where a disabled employee of chambers needs to take time off work for treatment, rehabilitation or assessment related to their disability;</w:t>
      </w:r>
    </w:p>
    <w:p w14:paraId="6F157965" w14:textId="77777777" w:rsidR="00D4740F" w:rsidRDefault="00D4740F" w:rsidP="00D4740F">
      <w:pPr>
        <w:pStyle w:val="Policyparalevel2"/>
      </w:pPr>
      <w:r>
        <w:t xml:space="preserve">provision of auxiliary aids e.g. induction loops; </w:t>
      </w:r>
    </w:p>
    <w:p w14:paraId="25DF0F35" w14:textId="77777777" w:rsidR="00D4740F" w:rsidRDefault="00D4740F" w:rsidP="00D4740F">
      <w:pPr>
        <w:pStyle w:val="Policyparalevel2"/>
      </w:pPr>
      <w:r>
        <w:t xml:space="preserve">provision of accessible conference room facilities; and/or </w:t>
      </w:r>
    </w:p>
    <w:p w14:paraId="7957187A" w14:textId="77777777" w:rsidR="00D4740F" w:rsidRDefault="00D4740F" w:rsidP="00D4740F">
      <w:pPr>
        <w:pStyle w:val="Policyparalevel2"/>
      </w:pPr>
      <w:r>
        <w:t>provision of a reader or interpreter.</w:t>
      </w:r>
    </w:p>
    <w:p w14:paraId="1D52F151" w14:textId="77777777" w:rsidR="00D4740F" w:rsidRDefault="00D4740F" w:rsidP="007E2A1D">
      <w:pPr>
        <w:pStyle w:val="Heading2"/>
      </w:pPr>
      <w:r>
        <w:t xml:space="preserve">Reasonable adjustments for staff, members of Chambers and others in Chambers </w:t>
      </w:r>
    </w:p>
    <w:p w14:paraId="1200609C" w14:textId="0DCA39FD" w:rsidR="00D4740F" w:rsidRDefault="00D4740F" w:rsidP="007E2A1D">
      <w:pPr>
        <w:pStyle w:val="Policyparalevel1"/>
      </w:pPr>
      <w:r>
        <w:t xml:space="preserve">Any </w:t>
      </w:r>
      <w:bookmarkStart w:id="13" w:name="_Hlk60905137"/>
      <w:bookmarkStart w:id="14" w:name="OLE_LINK43"/>
      <w:r w:rsidR="00DC6D51">
        <w:t>employee</w:t>
      </w:r>
      <w:r>
        <w:t xml:space="preserve"> </w:t>
      </w:r>
      <w:bookmarkEnd w:id="13"/>
      <w:bookmarkEnd w:id="14"/>
      <w:r>
        <w:t>who require</w:t>
      </w:r>
      <w:r w:rsidR="00DC6D51">
        <w:t>s</w:t>
      </w:r>
      <w:r>
        <w:t xml:space="preserve"> reasonable adjustments to be made should make a request to </w:t>
      </w:r>
      <w:r w:rsidR="00DC6D51">
        <w:t xml:space="preserve">one of the Senior Clerks or the Director of Finance and Operations, in accordance with paragraph 8 of the Employee Capability (Sickness) Policy. Members of Chambers and others in Chambers should make a request to </w:t>
      </w:r>
      <w:r>
        <w:t xml:space="preserve">one of the Heads of Chambers. All requests for reasonable adjustments will be considered on a case-by-case basis with the advice and assistance of Chambers’ Equality and Diversity Officer. Where it is not possible to make the adjustment requested, the Heads of Chambers will discuss viable alternatives with the applicant. </w:t>
      </w:r>
    </w:p>
    <w:p w14:paraId="3386EC48" w14:textId="77777777" w:rsidR="00D4740F" w:rsidRDefault="00D4740F" w:rsidP="007E2A1D">
      <w:pPr>
        <w:pStyle w:val="Policyparalevel1"/>
      </w:pPr>
      <w:r>
        <w:t xml:space="preserve">The Heads of Chambers are responsible for considering whether or not disabled </w:t>
      </w:r>
      <w:bookmarkStart w:id="15" w:name="_Hlk60905156"/>
      <w:bookmarkStart w:id="16" w:name="OLE_LINK44"/>
      <w:r>
        <w:t xml:space="preserve">staff, members of Chambers or others in Chambers </w:t>
      </w:r>
      <w:bookmarkEnd w:id="15"/>
      <w:bookmarkEnd w:id="16"/>
      <w:r>
        <w:t xml:space="preserve">require assistance during an emergency evacuation and if so whether or not a personal emergency evacuation plan is required for the individual/s concerned. If so, the plan will be developed in partnership with the individual concerned in order to ensure that adjustments to the emergency evacuation procedure may be made. </w:t>
      </w:r>
    </w:p>
    <w:p w14:paraId="5A23550E" w14:textId="77777777" w:rsidR="00D4740F" w:rsidRDefault="00D4740F" w:rsidP="007E2A1D">
      <w:pPr>
        <w:pStyle w:val="Heading2"/>
      </w:pPr>
      <w:r>
        <w:lastRenderedPageBreak/>
        <w:t xml:space="preserve">Visitors to chambers </w:t>
      </w:r>
    </w:p>
    <w:p w14:paraId="1882DE31" w14:textId="4FB5EFB6" w:rsidR="00D4740F" w:rsidRDefault="00D4740F" w:rsidP="007E2A1D">
      <w:pPr>
        <w:pStyle w:val="Policyparalevel1"/>
      </w:pPr>
      <w:r>
        <w:t xml:space="preserve">Individual staff, members of Chambers or others in Chambers who are receiving visitors in Chambers are responsible for considering reasonable adjustment requests for those visitors. They are also responsible for anticipating any likely reasonable adjustments that will need to be made for visitors whom they know are to be disabled </w:t>
      </w:r>
      <w:r w:rsidR="00F80AD4">
        <w:t xml:space="preserve">or to have a neurodivergent condition </w:t>
      </w:r>
      <w:r>
        <w:t xml:space="preserve">and likely to require </w:t>
      </w:r>
      <w:r w:rsidR="00327129">
        <w:t>such adjustments</w:t>
      </w:r>
      <w:r>
        <w:t xml:space="preserve">. Visitor requests for specific reasonable adjustments may be made by contacting one of the Senior Clerks. </w:t>
      </w:r>
    </w:p>
    <w:p w14:paraId="6F92CB0D" w14:textId="77777777" w:rsidR="00D4740F" w:rsidRDefault="00D4740F" w:rsidP="007E2A1D">
      <w:pPr>
        <w:pStyle w:val="Heading2"/>
      </w:pPr>
      <w:r>
        <w:t xml:space="preserve">Cost of making reasonable adjustments </w:t>
      </w:r>
    </w:p>
    <w:p w14:paraId="6D8495F9" w14:textId="11B9EF83" w:rsidR="00D4740F" w:rsidRDefault="00D4740F" w:rsidP="007E2A1D">
      <w:pPr>
        <w:pStyle w:val="Policyparalevel1"/>
      </w:pPr>
      <w:r>
        <w:t xml:space="preserve">In no circumstances will Brick Court Chambers pass on the cost of a reasonable adjustment to a disabled </w:t>
      </w:r>
      <w:r w:rsidR="00F80AD4">
        <w:t xml:space="preserve">or neurodivergent </w:t>
      </w:r>
      <w:r>
        <w:t xml:space="preserve">person. </w:t>
      </w:r>
    </w:p>
    <w:p w14:paraId="127A7329" w14:textId="3301FBDE" w:rsidR="00D4740F" w:rsidRPr="00BB5C15" w:rsidRDefault="00D4740F" w:rsidP="007E2A1D">
      <w:pPr>
        <w:pStyle w:val="Policyapproved"/>
      </w:pPr>
      <w:r>
        <w:t>App</w:t>
      </w:r>
      <w:r w:rsidR="00E2007C">
        <w:t>roved by Executive Committee on 10 July</w:t>
      </w:r>
      <w:r w:rsidR="00014C3A">
        <w:t xml:space="preserve"> 202</w:t>
      </w:r>
      <w:r w:rsidR="00E2007C">
        <w:t>3.</w:t>
      </w:r>
      <w:bookmarkStart w:id="17" w:name="_GoBack"/>
      <w:bookmarkEnd w:id="17"/>
      <w:r>
        <w:t>.</w:t>
      </w:r>
      <w:r>
        <w:br/>
        <w:t>To be reviewed by the Equality and Diversity Committee every two years.</w:t>
      </w:r>
    </w:p>
    <w:p w14:paraId="7EA0AF8D" w14:textId="77777777" w:rsidR="00130A17" w:rsidRDefault="00130A17" w:rsidP="00C7702E">
      <w:pPr>
        <w:pStyle w:val="Heading1"/>
      </w:pPr>
    </w:p>
    <w:p w14:paraId="757BB53F" w14:textId="77777777" w:rsidR="00D4740F" w:rsidRPr="00C83881" w:rsidRDefault="00D4740F" w:rsidP="00C7702E">
      <w:pPr>
        <w:pStyle w:val="Heading1"/>
      </w:pPr>
    </w:p>
    <w:sectPr w:rsidR="00D4740F" w:rsidRPr="00C83881" w:rsidSect="00130A17">
      <w:footerReference w:type="default" r:id="rId8"/>
      <w:headerReference w:type="first" r:id="rId9"/>
      <w:pgSz w:w="11906" w:h="16838"/>
      <w:pgMar w:top="1701" w:right="1701" w:bottom="1701" w:left="1701" w:header="1417" w:footer="85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18AC1" w14:textId="77777777" w:rsidR="006F38F1" w:rsidRDefault="006F38F1">
      <w:r>
        <w:separator/>
      </w:r>
    </w:p>
  </w:endnote>
  <w:endnote w:type="continuationSeparator" w:id="0">
    <w:p w14:paraId="3D1B8B81" w14:textId="77777777" w:rsidR="006F38F1" w:rsidRDefault="006F3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EDF04" w14:textId="28D82CB9" w:rsidR="00130A17" w:rsidRDefault="00130A17" w:rsidP="00130A17">
    <w:pPr>
      <w:jc w:val="center"/>
    </w:pPr>
    <w:r>
      <w:fldChar w:fldCharType="begin"/>
    </w:r>
    <w:r>
      <w:instrText xml:space="preserve"> PAGE  \* MERGEFORMAT </w:instrText>
    </w:r>
    <w:r>
      <w:fldChar w:fldCharType="separate"/>
    </w:r>
    <w:r w:rsidR="00E2007C">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7B6BD" w14:textId="77777777" w:rsidR="006F38F1" w:rsidRDefault="006F38F1">
      <w:r>
        <w:separator/>
      </w:r>
    </w:p>
  </w:footnote>
  <w:footnote w:type="continuationSeparator" w:id="0">
    <w:p w14:paraId="1521CE67" w14:textId="77777777" w:rsidR="006F38F1" w:rsidRDefault="006F3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ook w:val="04A0" w:firstRow="1" w:lastRow="0" w:firstColumn="1" w:lastColumn="0" w:noHBand="0" w:noVBand="1"/>
    </w:tblPr>
    <w:tblGrid>
      <w:gridCol w:w="5088"/>
      <w:gridCol w:w="3416"/>
    </w:tblGrid>
    <w:tr w:rsidR="00492BD2" w14:paraId="41A2A60F" w14:textId="77777777" w:rsidTr="00130A17">
      <w:trPr>
        <w:jc w:val="center"/>
      </w:trPr>
      <w:tc>
        <w:tcPr>
          <w:tcW w:w="5417" w:type="dxa"/>
          <w:tcMar>
            <w:left w:w="0" w:type="dxa"/>
            <w:right w:w="0" w:type="dxa"/>
          </w:tcMar>
        </w:tcPr>
        <w:p w14:paraId="65EEAEAC" w14:textId="77777777" w:rsidR="00492BD2" w:rsidRPr="0065730C" w:rsidRDefault="00492BD2" w:rsidP="00492BD2">
          <w:pPr>
            <w:rPr>
              <w:rFonts w:ascii="Tahoma" w:hAnsi="Tahoma" w:cs="Tahoma"/>
              <w:spacing w:val="52"/>
            </w:rPr>
          </w:pPr>
          <w:r>
            <w:rPr>
              <w:rFonts w:ascii="Tahoma" w:hAnsi="Tahoma" w:cs="Tahoma"/>
              <w:noProof/>
              <w:sz w:val="16"/>
              <w:szCs w:val="16"/>
              <w:lang w:val="en-GB" w:eastAsia="en-GB" w:bidi="ar-SA"/>
            </w:rPr>
            <w:drawing>
              <wp:inline distT="0" distB="0" distL="0" distR="0" wp14:anchorId="201171DC" wp14:editId="5849D9F7">
                <wp:extent cx="1892300" cy="342900"/>
                <wp:effectExtent l="19050" t="0" r="0" b="0"/>
                <wp:docPr id="1" name="Picture 1" descr="C:\Users\joanne.case\AppData\Local\Microsoft\Windows\Temporary Internet Files\Content.Outlook\T5A23WEP\BrickCourt_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case\AppData\Local\Microsoft\Windows\Temporary Internet Files\Content.Outlook\T5A23WEP\BrickCourt_logo_black.jpg"/>
                        <pic:cNvPicPr>
                          <a:picLocks noChangeAspect="1" noChangeArrowheads="1"/>
                        </pic:cNvPicPr>
                      </pic:nvPicPr>
                      <pic:blipFill>
                        <a:blip r:embed="rId1"/>
                        <a:srcRect/>
                        <a:stretch>
                          <a:fillRect/>
                        </a:stretch>
                      </pic:blipFill>
                      <pic:spPr bwMode="auto">
                        <a:xfrm>
                          <a:off x="0" y="0"/>
                          <a:ext cx="1892300" cy="342900"/>
                        </a:xfrm>
                        <a:prstGeom prst="rect">
                          <a:avLst/>
                        </a:prstGeom>
                        <a:noFill/>
                        <a:ln w="9525">
                          <a:noFill/>
                          <a:miter lim="800000"/>
                          <a:headEnd/>
                          <a:tailEnd/>
                        </a:ln>
                      </pic:spPr>
                    </pic:pic>
                  </a:graphicData>
                </a:graphic>
              </wp:inline>
            </w:drawing>
          </w:r>
        </w:p>
      </w:tc>
      <w:tc>
        <w:tcPr>
          <w:tcW w:w="3686" w:type="dxa"/>
          <w:tcMar>
            <w:left w:w="0" w:type="dxa"/>
            <w:right w:w="0" w:type="dxa"/>
          </w:tcMar>
        </w:tcPr>
        <w:p w14:paraId="10AFD760" w14:textId="77777777" w:rsidR="00492BD2" w:rsidRPr="0065730C" w:rsidRDefault="00492BD2" w:rsidP="00492BD2">
          <w:pPr>
            <w:autoSpaceDE w:val="0"/>
            <w:autoSpaceDN w:val="0"/>
            <w:adjustRightInd w:val="0"/>
            <w:jc w:val="right"/>
            <w:rPr>
              <w:rFonts w:ascii="MinionPro-Regular" w:hAnsi="MinionPro-Regular" w:cs="MinionPro-Regular"/>
              <w:sz w:val="18"/>
              <w:szCs w:val="18"/>
            </w:rPr>
          </w:pPr>
          <w:r w:rsidRPr="0065730C">
            <w:rPr>
              <w:rFonts w:ascii="MinionPro-Regular" w:hAnsi="MinionPro-Regular" w:cs="MinionPro-Regular"/>
              <w:sz w:val="18"/>
              <w:szCs w:val="18"/>
            </w:rPr>
            <w:t>7-8 Essex Street</w:t>
          </w:r>
          <w:r>
            <w:rPr>
              <w:rFonts w:ascii="MinionPro-Regular" w:hAnsi="MinionPro-Regular" w:cs="MinionPro-Regular"/>
              <w:sz w:val="18"/>
              <w:szCs w:val="18"/>
            </w:rPr>
            <w:t xml:space="preserve"> </w:t>
          </w:r>
          <w:r w:rsidRPr="0065730C">
            <w:rPr>
              <w:rFonts w:ascii="MinionPro-Regular" w:hAnsi="MinionPro-Regular" w:cs="MinionPro-Regular"/>
              <w:position w:val="4"/>
              <w:sz w:val="18"/>
              <w:szCs w:val="18"/>
            </w:rPr>
            <w:t>.</w:t>
          </w:r>
          <w:r w:rsidRPr="0065730C">
            <w:rPr>
              <w:rFonts w:ascii="MinionPro-Regular" w:hAnsi="MinionPro-Regular" w:cs="MinionPro-Regular"/>
              <w:sz w:val="18"/>
              <w:szCs w:val="18"/>
            </w:rPr>
            <w:t xml:space="preserve"> London </w:t>
          </w:r>
          <w:r w:rsidRPr="0065730C">
            <w:rPr>
              <w:rFonts w:ascii="MinionPro-Regular" w:hAnsi="MinionPro-Regular" w:cs="MinionPro-Regular"/>
              <w:position w:val="4"/>
              <w:sz w:val="18"/>
              <w:szCs w:val="18"/>
            </w:rPr>
            <w:t>.</w:t>
          </w:r>
          <w:r w:rsidRPr="0065730C">
            <w:rPr>
              <w:rFonts w:ascii="MinionPro-Regular" w:hAnsi="MinionPro-Regular" w:cs="MinionPro-Regular"/>
              <w:sz w:val="18"/>
              <w:szCs w:val="18"/>
            </w:rPr>
            <w:t xml:space="preserve"> WC2R 3LD</w:t>
          </w:r>
        </w:p>
        <w:p w14:paraId="44E63E03" w14:textId="77777777" w:rsidR="00492BD2" w:rsidRPr="0065730C" w:rsidRDefault="00492BD2" w:rsidP="00492BD2">
          <w:pPr>
            <w:autoSpaceDE w:val="0"/>
            <w:autoSpaceDN w:val="0"/>
            <w:adjustRightInd w:val="0"/>
            <w:jc w:val="right"/>
            <w:rPr>
              <w:rFonts w:ascii="MinionPro-Regular" w:hAnsi="MinionPro-Regular" w:cs="MinionPro-Regular"/>
              <w:sz w:val="18"/>
              <w:szCs w:val="18"/>
            </w:rPr>
          </w:pPr>
          <w:r w:rsidRPr="0065730C">
            <w:rPr>
              <w:rFonts w:ascii="MinionPro-Regular" w:hAnsi="MinionPro-Regular" w:cs="MinionPro-Regular"/>
              <w:sz w:val="18"/>
              <w:szCs w:val="18"/>
            </w:rPr>
            <w:t>Tel: 020 7379 3550</w:t>
          </w:r>
          <w:r>
            <w:rPr>
              <w:rFonts w:ascii="MinionPro-Regular" w:hAnsi="MinionPro-Regular" w:cs="MinionPro-Regular"/>
              <w:sz w:val="18"/>
              <w:szCs w:val="18"/>
            </w:rPr>
            <w:t xml:space="preserve"> </w:t>
          </w:r>
          <w:r w:rsidRPr="0065730C">
            <w:rPr>
              <w:rFonts w:ascii="MinionPro-Regular" w:hAnsi="MinionPro-Regular" w:cs="MinionPro-Regular"/>
              <w:position w:val="4"/>
              <w:sz w:val="18"/>
              <w:szCs w:val="18"/>
            </w:rPr>
            <w:t xml:space="preserve">. </w:t>
          </w:r>
          <w:r w:rsidRPr="0065730C">
            <w:rPr>
              <w:rFonts w:ascii="MinionPro-Regular" w:hAnsi="MinionPro-Regular" w:cs="MinionPro-Regular"/>
              <w:sz w:val="18"/>
              <w:szCs w:val="18"/>
            </w:rPr>
            <w:t xml:space="preserve">LDE 302 </w:t>
          </w:r>
        </w:p>
        <w:p w14:paraId="4FE5E583" w14:textId="77777777" w:rsidR="00492BD2" w:rsidRPr="0065730C" w:rsidRDefault="00492BD2" w:rsidP="00492BD2">
          <w:pPr>
            <w:jc w:val="right"/>
            <w:rPr>
              <w:rFonts w:ascii="Tahoma" w:hAnsi="Tahoma" w:cs="Tahoma"/>
              <w:sz w:val="16"/>
              <w:szCs w:val="16"/>
            </w:rPr>
          </w:pPr>
          <w:r w:rsidRPr="0065730C">
            <w:rPr>
              <w:rFonts w:ascii="MinionPro-Regular" w:hAnsi="MinionPro-Regular" w:cs="MinionPro-Regular"/>
              <w:sz w:val="18"/>
              <w:szCs w:val="18"/>
            </w:rPr>
            <w:t>www.brickcourt.co.uk</w:t>
          </w:r>
        </w:p>
      </w:tc>
    </w:tr>
  </w:tbl>
  <w:p w14:paraId="17C974A1" w14:textId="77777777" w:rsidR="00492BD2" w:rsidRDefault="00492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70E0D"/>
    <w:multiLevelType w:val="multilevel"/>
    <w:tmpl w:val="ACEC8374"/>
    <w:lvl w:ilvl="0">
      <w:start w:val="1"/>
      <w:numFmt w:val="decimal"/>
      <w:pStyle w:val="Policyparalevel1"/>
      <w:lvlText w:val="%1."/>
      <w:lvlJc w:val="left"/>
      <w:pPr>
        <w:tabs>
          <w:tab w:val="num" w:pos="567"/>
        </w:tabs>
        <w:ind w:left="567" w:hanging="567"/>
      </w:pPr>
      <w:rPr>
        <w:rFonts w:hint="default"/>
      </w:rPr>
    </w:lvl>
    <w:lvl w:ilvl="1">
      <w:start w:val="1"/>
      <w:numFmt w:val="decimal"/>
      <w:pStyle w:val="Policyparalevel2"/>
      <w:lvlText w:val="(%2)"/>
      <w:lvlJc w:val="left"/>
      <w:pPr>
        <w:tabs>
          <w:tab w:val="num" w:pos="1134"/>
        </w:tabs>
        <w:ind w:left="1134" w:hanging="567"/>
      </w:pPr>
      <w:rPr>
        <w:rFonts w:hint="default"/>
      </w:rPr>
    </w:lvl>
    <w:lvl w:ilvl="2">
      <w:start w:val="1"/>
      <w:numFmt w:val="lowerLetter"/>
      <w:pStyle w:val="Policyparalevel3"/>
      <w:lvlText w:val="(%3)"/>
      <w:lvlJc w:val="left"/>
      <w:pPr>
        <w:tabs>
          <w:tab w:val="num" w:pos="1701"/>
        </w:tabs>
        <w:ind w:left="1701" w:hanging="567"/>
      </w:pPr>
      <w:rPr>
        <w:rFonts w:hint="default"/>
      </w:rPr>
    </w:lvl>
    <w:lvl w:ilvl="3">
      <w:start w:val="1"/>
      <w:numFmt w:val="lowerRoman"/>
      <w:pStyle w:val="Policyparalevel4"/>
      <w:lvlText w:val="(%4)"/>
      <w:lvlJc w:val="left"/>
      <w:pPr>
        <w:tabs>
          <w:tab w:val="num" w:pos="2268"/>
        </w:tabs>
        <w:ind w:left="2268" w:hanging="567"/>
      </w:pPr>
      <w:rPr>
        <w:rFonts w:hint="default"/>
      </w:rPr>
    </w:lvl>
    <w:lvl w:ilvl="4">
      <w:start w:val="1"/>
      <w:numFmt w:val="lowerLetter"/>
      <w:pStyle w:val="Policyparalevel5"/>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lowerLetter"/>
      <w:lvlText w:val="(%7)"/>
      <w:lvlJc w:val="left"/>
      <w:pPr>
        <w:tabs>
          <w:tab w:val="num" w:pos="3969"/>
        </w:tabs>
        <w:ind w:left="3969" w:hanging="567"/>
      </w:pPr>
      <w:rPr>
        <w:rFonts w:hint="default"/>
      </w:rPr>
    </w:lvl>
    <w:lvl w:ilvl="7">
      <w:start w:val="1"/>
      <w:numFmt w:val="lowerRoman"/>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1" w15:restartNumberingAfterBreak="0">
    <w:nsid w:val="3F5614B2"/>
    <w:multiLevelType w:val="multilevel"/>
    <w:tmpl w:val="9AAE8018"/>
    <w:lvl w:ilvl="0">
      <w:start w:val="1"/>
      <w:numFmt w:val="upperLetter"/>
      <w:lvlText w:val="%1."/>
      <w:lvlJc w:val="left"/>
      <w:pPr>
        <w:tabs>
          <w:tab w:val="num" w:pos="567"/>
        </w:tabs>
        <w:ind w:left="567" w:hanging="567"/>
      </w:pPr>
      <w:rPr>
        <w:rFonts w:hint="default"/>
        <w:color w:val="auto"/>
        <w:spacing w:val="0"/>
      </w:rPr>
    </w:lvl>
    <w:lvl w:ilvl="1">
      <w:start w:val="1"/>
      <w:numFmt w:val="upperLetter"/>
      <w:pStyle w:val="Heading2"/>
      <w:lvlText w:val="%2."/>
      <w:lvlJc w:val="left"/>
      <w:pPr>
        <w:tabs>
          <w:tab w:val="num" w:pos="567"/>
        </w:tabs>
        <w:ind w:left="567" w:hanging="567"/>
      </w:pPr>
      <w:rPr>
        <w:rFonts w:hint="default"/>
        <w:caps w:val="0"/>
        <w:strike w:val="0"/>
        <w:dstrike w:val="0"/>
        <w:vanish w:val="0"/>
        <w:color w:val="auto"/>
        <w:vertAlign w:val="baseline"/>
      </w:rPr>
    </w:lvl>
    <w:lvl w:ilvl="2">
      <w:start w:val="1"/>
      <w:numFmt w:val="none"/>
      <w:pStyle w:val="Heading3"/>
      <w:lvlText w:val=""/>
      <w:lvlJc w:val="left"/>
      <w:pPr>
        <w:tabs>
          <w:tab w:val="num" w:pos="567"/>
        </w:tabs>
        <w:ind w:left="567" w:hanging="567"/>
      </w:pPr>
      <w:rPr>
        <w:rFonts w:hint="default"/>
      </w:rPr>
    </w:lvl>
    <w:lvl w:ilvl="3">
      <w:start w:val="1"/>
      <w:numFmt w:val="none"/>
      <w:pStyle w:val="Heading4"/>
      <w:lvlText w:val=""/>
      <w:lvlJc w:val="left"/>
      <w:pPr>
        <w:ind w:left="567" w:hanging="567"/>
      </w:pPr>
      <w:rPr>
        <w:rFonts w:hint="default"/>
      </w:rPr>
    </w:lvl>
    <w:lvl w:ilvl="4">
      <w:start w:val="1"/>
      <w:numFmt w:val="none"/>
      <w:pStyle w:val="Heading5"/>
      <w:lvlText w:val=""/>
      <w:lvlJc w:val="left"/>
      <w:pPr>
        <w:tabs>
          <w:tab w:val="num" w:pos="567"/>
        </w:tabs>
        <w:ind w:left="567" w:hanging="567"/>
      </w:pPr>
      <w:rPr>
        <w:rFonts w:hint="default"/>
      </w:rPr>
    </w:lvl>
    <w:lvl w:ilvl="5">
      <w:start w:val="1"/>
      <w:numFmt w:val="none"/>
      <w:pStyle w:val="Heading6"/>
      <w:lvlText w:val="[HEADING 6]"/>
      <w:lvlJc w:val="left"/>
      <w:pPr>
        <w:ind w:left="1152" w:hanging="1152"/>
      </w:pPr>
      <w:rPr>
        <w:rFonts w:hint="default"/>
      </w:rPr>
    </w:lvl>
    <w:lvl w:ilvl="6">
      <w:start w:val="1"/>
      <w:numFmt w:val="none"/>
      <w:pStyle w:val="Heading7"/>
      <w:lvlText w:val="[HEADING 7]"/>
      <w:lvlJc w:val="left"/>
      <w:pPr>
        <w:ind w:left="1296" w:hanging="1296"/>
      </w:pPr>
      <w:rPr>
        <w:rFonts w:hint="default"/>
      </w:rPr>
    </w:lvl>
    <w:lvl w:ilvl="7">
      <w:start w:val="1"/>
      <w:numFmt w:val="none"/>
      <w:pStyle w:val="Heading8"/>
      <w:lvlText w:val="[HEADING 8]"/>
      <w:lvlJc w:val="left"/>
      <w:pPr>
        <w:ind w:left="1440" w:hanging="1440"/>
      </w:pPr>
      <w:rPr>
        <w:rFonts w:hint="default"/>
      </w:rPr>
    </w:lvl>
    <w:lvl w:ilvl="8">
      <w:start w:val="1"/>
      <w:numFmt w:val="none"/>
      <w:pStyle w:val="Heading9"/>
      <w:lvlText w:val="[HEADING 9]"/>
      <w:lvlJc w:val="left"/>
      <w:pPr>
        <w:ind w:left="1584" w:hanging="1584"/>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40F"/>
    <w:rsid w:val="0001395B"/>
    <w:rsid w:val="00014C3A"/>
    <w:rsid w:val="00026DAC"/>
    <w:rsid w:val="0004062E"/>
    <w:rsid w:val="00093125"/>
    <w:rsid w:val="000D6495"/>
    <w:rsid w:val="00126BBC"/>
    <w:rsid w:val="00130A17"/>
    <w:rsid w:val="001408AC"/>
    <w:rsid w:val="00155795"/>
    <w:rsid w:val="00162862"/>
    <w:rsid w:val="00187687"/>
    <w:rsid w:val="00191C30"/>
    <w:rsid w:val="001F29DE"/>
    <w:rsid w:val="002005C7"/>
    <w:rsid w:val="00210D74"/>
    <w:rsid w:val="00213C0A"/>
    <w:rsid w:val="00234471"/>
    <w:rsid w:val="002B0476"/>
    <w:rsid w:val="003000FE"/>
    <w:rsid w:val="00327129"/>
    <w:rsid w:val="00327D73"/>
    <w:rsid w:val="00366C0E"/>
    <w:rsid w:val="00380877"/>
    <w:rsid w:val="00403607"/>
    <w:rsid w:val="00425873"/>
    <w:rsid w:val="00437C8E"/>
    <w:rsid w:val="00444C93"/>
    <w:rsid w:val="004659E1"/>
    <w:rsid w:val="00492BD2"/>
    <w:rsid w:val="004E77CF"/>
    <w:rsid w:val="004F1333"/>
    <w:rsid w:val="004F5349"/>
    <w:rsid w:val="00522C9E"/>
    <w:rsid w:val="00533E07"/>
    <w:rsid w:val="00560857"/>
    <w:rsid w:val="005B1E91"/>
    <w:rsid w:val="005F31DF"/>
    <w:rsid w:val="00630F7F"/>
    <w:rsid w:val="00641F6A"/>
    <w:rsid w:val="00660325"/>
    <w:rsid w:val="006737C9"/>
    <w:rsid w:val="00682F19"/>
    <w:rsid w:val="006A5B67"/>
    <w:rsid w:val="006B6FB2"/>
    <w:rsid w:val="006C0934"/>
    <w:rsid w:val="006F38F1"/>
    <w:rsid w:val="00707DC1"/>
    <w:rsid w:val="0076266B"/>
    <w:rsid w:val="007D0594"/>
    <w:rsid w:val="007E53E0"/>
    <w:rsid w:val="007F6145"/>
    <w:rsid w:val="0081219B"/>
    <w:rsid w:val="00812DC7"/>
    <w:rsid w:val="008265E0"/>
    <w:rsid w:val="008418B3"/>
    <w:rsid w:val="00856090"/>
    <w:rsid w:val="00866D08"/>
    <w:rsid w:val="00871545"/>
    <w:rsid w:val="008907DD"/>
    <w:rsid w:val="008A3310"/>
    <w:rsid w:val="008D123D"/>
    <w:rsid w:val="008D5405"/>
    <w:rsid w:val="00904866"/>
    <w:rsid w:val="0090498C"/>
    <w:rsid w:val="00905041"/>
    <w:rsid w:val="00936005"/>
    <w:rsid w:val="00941058"/>
    <w:rsid w:val="009861E6"/>
    <w:rsid w:val="009A1218"/>
    <w:rsid w:val="00A23112"/>
    <w:rsid w:val="00A26378"/>
    <w:rsid w:val="00A617C3"/>
    <w:rsid w:val="00A94E14"/>
    <w:rsid w:val="00AC100A"/>
    <w:rsid w:val="00AD781D"/>
    <w:rsid w:val="00AF15F7"/>
    <w:rsid w:val="00B22760"/>
    <w:rsid w:val="00BB5C15"/>
    <w:rsid w:val="00BD43F9"/>
    <w:rsid w:val="00C20615"/>
    <w:rsid w:val="00C23534"/>
    <w:rsid w:val="00C260EC"/>
    <w:rsid w:val="00C4536B"/>
    <w:rsid w:val="00C7702E"/>
    <w:rsid w:val="00C83881"/>
    <w:rsid w:val="00C841CC"/>
    <w:rsid w:val="00C9201C"/>
    <w:rsid w:val="00CA36FD"/>
    <w:rsid w:val="00CC3E89"/>
    <w:rsid w:val="00D17A08"/>
    <w:rsid w:val="00D4740F"/>
    <w:rsid w:val="00D579F6"/>
    <w:rsid w:val="00D60A1D"/>
    <w:rsid w:val="00D66C5F"/>
    <w:rsid w:val="00D97CE9"/>
    <w:rsid w:val="00DB2FBE"/>
    <w:rsid w:val="00DC6D51"/>
    <w:rsid w:val="00DC7655"/>
    <w:rsid w:val="00E2007C"/>
    <w:rsid w:val="00E96EC1"/>
    <w:rsid w:val="00EB0186"/>
    <w:rsid w:val="00ED73D5"/>
    <w:rsid w:val="00EE22AE"/>
    <w:rsid w:val="00F0255B"/>
    <w:rsid w:val="00F02B7A"/>
    <w:rsid w:val="00F27E39"/>
    <w:rsid w:val="00F37CC6"/>
    <w:rsid w:val="00F5411C"/>
    <w:rsid w:val="00F56761"/>
    <w:rsid w:val="00F60010"/>
    <w:rsid w:val="00F80AD4"/>
    <w:rsid w:val="00F910D8"/>
    <w:rsid w:val="00FB187B"/>
    <w:rsid w:val="00FB3C6C"/>
    <w:rsid w:val="00FF08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22CF1FB"/>
  <w15:docId w15:val="{54863AC9-4421-4E9F-AAF7-E939D46A1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6D51"/>
    <w:pPr>
      <w:tabs>
        <w:tab w:val="left" w:pos="567"/>
        <w:tab w:val="left" w:pos="1134"/>
        <w:tab w:val="left" w:pos="1701"/>
        <w:tab w:val="left" w:pos="2268"/>
        <w:tab w:val="left" w:pos="2835"/>
        <w:tab w:val="left" w:pos="3402"/>
        <w:tab w:val="left" w:pos="3969"/>
        <w:tab w:val="left" w:pos="4536"/>
      </w:tabs>
      <w:spacing w:line="288" w:lineRule="auto"/>
      <w:jc w:val="both"/>
    </w:pPr>
    <w:rPr>
      <w:sz w:val="24"/>
      <w:szCs w:val="24"/>
      <w:lang w:val="en-US" w:eastAsia="en-US" w:bidi="en-US"/>
    </w:rPr>
  </w:style>
  <w:style w:type="paragraph" w:styleId="Heading1">
    <w:name w:val="heading 1"/>
    <w:basedOn w:val="Normal"/>
    <w:link w:val="Heading1Char"/>
    <w:qFormat/>
    <w:rsid w:val="00DC6D51"/>
    <w:pPr>
      <w:keepNext/>
      <w:tabs>
        <w:tab w:val="clear" w:pos="567"/>
        <w:tab w:val="clear" w:pos="1134"/>
        <w:tab w:val="clear" w:pos="1701"/>
        <w:tab w:val="clear" w:pos="2268"/>
        <w:tab w:val="clear" w:pos="2835"/>
        <w:tab w:val="clear" w:pos="3402"/>
        <w:tab w:val="clear" w:pos="3969"/>
        <w:tab w:val="clear" w:pos="4536"/>
      </w:tabs>
      <w:spacing w:before="720" w:after="720"/>
      <w:jc w:val="center"/>
      <w:outlineLvl w:val="0"/>
    </w:pPr>
    <w:rPr>
      <w:b/>
      <w:bCs/>
      <w:caps/>
      <w:lang w:val="en-GB"/>
    </w:rPr>
  </w:style>
  <w:style w:type="paragraph" w:styleId="Heading2">
    <w:name w:val="heading 2"/>
    <w:basedOn w:val="Policybase"/>
    <w:link w:val="Heading2Char"/>
    <w:qFormat/>
    <w:rsid w:val="00DC6D51"/>
    <w:pPr>
      <w:keepNext/>
      <w:numPr>
        <w:ilvl w:val="1"/>
        <w:numId w:val="1"/>
      </w:numPr>
      <w:tabs>
        <w:tab w:val="center" w:pos="3969"/>
      </w:tabs>
      <w:spacing w:after="220"/>
      <w:outlineLvl w:val="1"/>
    </w:pPr>
    <w:rPr>
      <w:b/>
    </w:rPr>
  </w:style>
  <w:style w:type="paragraph" w:styleId="Heading3">
    <w:name w:val="heading 3"/>
    <w:basedOn w:val="Policybase"/>
    <w:link w:val="Heading3Char"/>
    <w:qFormat/>
    <w:rsid w:val="00DC6D51"/>
    <w:pPr>
      <w:keepNext/>
      <w:numPr>
        <w:ilvl w:val="2"/>
        <w:numId w:val="1"/>
      </w:numPr>
      <w:tabs>
        <w:tab w:val="center" w:pos="3969"/>
      </w:tabs>
      <w:spacing w:after="220"/>
      <w:outlineLvl w:val="2"/>
    </w:pPr>
    <w:rPr>
      <w:bCs/>
      <w:i/>
      <w:iCs/>
    </w:rPr>
  </w:style>
  <w:style w:type="paragraph" w:styleId="Heading4">
    <w:name w:val="heading 4"/>
    <w:basedOn w:val="Heading3"/>
    <w:qFormat/>
    <w:rsid w:val="00DC6D51"/>
    <w:pPr>
      <w:numPr>
        <w:ilvl w:val="3"/>
      </w:numPr>
      <w:outlineLvl w:val="3"/>
    </w:pPr>
    <w:rPr>
      <w:b/>
      <w:i w:val="0"/>
    </w:rPr>
  </w:style>
  <w:style w:type="paragraph" w:styleId="Heading5">
    <w:name w:val="heading 5"/>
    <w:basedOn w:val="Heading3"/>
    <w:uiPriority w:val="99"/>
    <w:qFormat/>
    <w:rsid w:val="00DC6D51"/>
    <w:pPr>
      <w:numPr>
        <w:ilvl w:val="4"/>
      </w:numPr>
      <w:outlineLvl w:val="4"/>
    </w:pPr>
    <w:rPr>
      <w:b/>
      <w:u w:val="single"/>
    </w:rPr>
  </w:style>
  <w:style w:type="paragraph" w:styleId="Heading6">
    <w:name w:val="heading 6"/>
    <w:basedOn w:val="Normal"/>
    <w:link w:val="Heading6Char"/>
    <w:rsid w:val="00DC6D51"/>
    <w:pPr>
      <w:numPr>
        <w:ilvl w:val="5"/>
        <w:numId w:val="1"/>
      </w:numPr>
      <w:tabs>
        <w:tab w:val="clear" w:pos="567"/>
      </w:tabs>
      <w:outlineLvl w:val="5"/>
    </w:pPr>
  </w:style>
  <w:style w:type="paragraph" w:styleId="Heading7">
    <w:name w:val="heading 7"/>
    <w:basedOn w:val="Normal"/>
    <w:rsid w:val="00DC6D51"/>
    <w:pPr>
      <w:numPr>
        <w:ilvl w:val="6"/>
        <w:numId w:val="1"/>
      </w:numPr>
      <w:tabs>
        <w:tab w:val="clear" w:pos="567"/>
      </w:tabs>
      <w:outlineLvl w:val="6"/>
    </w:pPr>
  </w:style>
  <w:style w:type="paragraph" w:styleId="Heading8">
    <w:name w:val="heading 8"/>
    <w:basedOn w:val="Normal"/>
    <w:rsid w:val="00DC6D51"/>
    <w:pPr>
      <w:numPr>
        <w:ilvl w:val="7"/>
        <w:numId w:val="1"/>
      </w:numPr>
      <w:tabs>
        <w:tab w:val="clear" w:pos="567"/>
      </w:tabs>
      <w:outlineLvl w:val="7"/>
    </w:pPr>
  </w:style>
  <w:style w:type="paragraph" w:styleId="Heading9">
    <w:name w:val="heading 9"/>
    <w:basedOn w:val="Normal"/>
    <w:rsid w:val="00DC6D51"/>
    <w:pPr>
      <w:numPr>
        <w:ilvl w:val="8"/>
        <w:numId w:val="1"/>
      </w:numPr>
      <w:tabs>
        <w:tab w:val="clear" w:pos="567"/>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C6D51"/>
    <w:pPr>
      <w:jc w:val="center"/>
    </w:pPr>
    <w:rPr>
      <w:rFonts w:ascii="Trebuchet MS" w:hAnsi="Trebuchet MS"/>
      <w:sz w:val="44"/>
    </w:rPr>
  </w:style>
  <w:style w:type="paragraph" w:styleId="Subtitle">
    <w:name w:val="Subtitle"/>
    <w:basedOn w:val="Normal"/>
    <w:qFormat/>
    <w:rsid w:val="00DC6D51"/>
    <w:pPr>
      <w:jc w:val="center"/>
    </w:pPr>
    <w:rPr>
      <w:rFonts w:ascii="Arial" w:hAnsi="Arial" w:cs="Arial"/>
      <w:sz w:val="48"/>
    </w:rPr>
  </w:style>
  <w:style w:type="paragraph" w:styleId="Header">
    <w:name w:val="header"/>
    <w:basedOn w:val="Normal"/>
    <w:rsid w:val="00DC6D51"/>
    <w:pPr>
      <w:tabs>
        <w:tab w:val="center" w:pos="4320"/>
        <w:tab w:val="right" w:pos="8640"/>
      </w:tabs>
    </w:pPr>
  </w:style>
  <w:style w:type="character" w:styleId="Hyperlink">
    <w:name w:val="Hyperlink"/>
    <w:uiPriority w:val="99"/>
    <w:rsid w:val="00DC6D51"/>
    <w:rPr>
      <w:color w:val="0000FF"/>
      <w:u w:val="single"/>
    </w:rPr>
  </w:style>
  <w:style w:type="character" w:customStyle="1" w:styleId="Heading1Char">
    <w:name w:val="Heading 1 Char"/>
    <w:link w:val="Heading1"/>
    <w:rsid w:val="00DC6D51"/>
    <w:rPr>
      <w:b/>
      <w:bCs/>
      <w:caps/>
      <w:sz w:val="24"/>
      <w:szCs w:val="24"/>
      <w:lang w:eastAsia="en-US" w:bidi="en-US"/>
    </w:rPr>
  </w:style>
  <w:style w:type="paragraph" w:customStyle="1" w:styleId="Policybase">
    <w:name w:val="Policy base"/>
    <w:rsid w:val="00DC6D51"/>
    <w:pPr>
      <w:spacing w:line="288" w:lineRule="auto"/>
      <w:jc w:val="both"/>
    </w:pPr>
    <w:rPr>
      <w:kern w:val="20"/>
      <w:sz w:val="24"/>
      <w:szCs w:val="22"/>
      <w:lang w:eastAsia="en-US" w:bidi="en-US"/>
    </w:rPr>
  </w:style>
  <w:style w:type="character" w:customStyle="1" w:styleId="Heading2Char">
    <w:name w:val="Heading 2 Char"/>
    <w:link w:val="Heading2"/>
    <w:rsid w:val="00DC6D51"/>
    <w:rPr>
      <w:b/>
      <w:kern w:val="20"/>
      <w:sz w:val="24"/>
      <w:szCs w:val="22"/>
      <w:lang w:eastAsia="en-US" w:bidi="en-US"/>
    </w:rPr>
  </w:style>
  <w:style w:type="character" w:customStyle="1" w:styleId="Heading3Char">
    <w:name w:val="Heading 3 Char"/>
    <w:link w:val="Heading3"/>
    <w:rsid w:val="00DC6D51"/>
    <w:rPr>
      <w:bCs/>
      <w:i/>
      <w:iCs/>
      <w:kern w:val="20"/>
      <w:sz w:val="24"/>
      <w:szCs w:val="22"/>
      <w:lang w:eastAsia="en-US" w:bidi="en-US"/>
    </w:rPr>
  </w:style>
  <w:style w:type="paragraph" w:styleId="FootnoteText">
    <w:name w:val="footnote text"/>
    <w:basedOn w:val="Policybase"/>
    <w:link w:val="FootnoteTextChar"/>
    <w:uiPriority w:val="99"/>
    <w:rsid w:val="00DC6D51"/>
    <w:pPr>
      <w:tabs>
        <w:tab w:val="left" w:pos="567"/>
      </w:tabs>
      <w:spacing w:before="60" w:after="60" w:line="240" w:lineRule="auto"/>
      <w:ind w:left="567" w:hanging="567"/>
    </w:pPr>
    <w:rPr>
      <w:sz w:val="20"/>
    </w:rPr>
  </w:style>
  <w:style w:type="character" w:customStyle="1" w:styleId="FootnoteTextChar">
    <w:name w:val="Footnote Text Char"/>
    <w:link w:val="FootnoteText"/>
    <w:uiPriority w:val="99"/>
    <w:rsid w:val="00DC6D51"/>
    <w:rPr>
      <w:kern w:val="20"/>
      <w:szCs w:val="22"/>
      <w:lang w:eastAsia="en-US" w:bidi="en-US"/>
    </w:rPr>
  </w:style>
  <w:style w:type="character" w:customStyle="1" w:styleId="NoteStyle">
    <w:name w:val="Note Style"/>
    <w:rsid w:val="00DC6D51"/>
    <w:rPr>
      <w:i/>
      <w:color w:val="000000"/>
    </w:rPr>
  </w:style>
  <w:style w:type="character" w:styleId="FootnoteReference">
    <w:name w:val="footnote reference"/>
    <w:uiPriority w:val="99"/>
    <w:rsid w:val="00DC6D51"/>
    <w:rPr>
      <w:vertAlign w:val="superscript"/>
    </w:rPr>
  </w:style>
  <w:style w:type="character" w:styleId="PageNumber">
    <w:name w:val="page number"/>
    <w:rsid w:val="00DC6D51"/>
    <w:rPr>
      <w:rFonts w:ascii="Times New Roman" w:hAnsi="Times New Roman"/>
    </w:rPr>
  </w:style>
  <w:style w:type="paragraph" w:customStyle="1" w:styleId="Policyparalevel1">
    <w:name w:val="Policy para level 1"/>
    <w:basedOn w:val="Policybase"/>
    <w:qFormat/>
    <w:rsid w:val="00DC6D51"/>
    <w:pPr>
      <w:numPr>
        <w:numId w:val="2"/>
      </w:numPr>
      <w:spacing w:after="240"/>
    </w:pPr>
    <w:rPr>
      <w:lang w:bidi="ar-SA"/>
    </w:rPr>
  </w:style>
  <w:style w:type="paragraph" w:styleId="TOCHeading">
    <w:name w:val="TOC Heading"/>
    <w:basedOn w:val="Heading1"/>
    <w:next w:val="Normal"/>
    <w:uiPriority w:val="39"/>
    <w:unhideWhenUsed/>
    <w:rsid w:val="00DC6D51"/>
    <w:pPr>
      <w:keepLines/>
      <w:spacing w:after="0" w:line="276" w:lineRule="auto"/>
      <w:outlineLvl w:val="9"/>
    </w:pPr>
    <w:rPr>
      <w:rFonts w:eastAsia="MS PGothic"/>
      <w:caps w:val="0"/>
      <w:color w:val="365F91"/>
      <w:sz w:val="28"/>
      <w:szCs w:val="28"/>
      <w:lang w:val="en-US" w:bidi="ar-SA"/>
    </w:rPr>
  </w:style>
  <w:style w:type="paragraph" w:styleId="TOC1">
    <w:name w:val="toc 1"/>
    <w:basedOn w:val="Normal"/>
    <w:next w:val="Normal"/>
    <w:autoRedefine/>
    <w:uiPriority w:val="39"/>
    <w:rsid w:val="00DC6D51"/>
    <w:pPr>
      <w:tabs>
        <w:tab w:val="clear" w:pos="567"/>
        <w:tab w:val="clear" w:pos="1134"/>
        <w:tab w:val="clear" w:pos="1701"/>
        <w:tab w:val="clear" w:pos="2268"/>
        <w:tab w:val="clear" w:pos="2835"/>
        <w:tab w:val="clear" w:pos="3402"/>
        <w:tab w:val="clear" w:pos="3969"/>
        <w:tab w:val="clear" w:pos="4536"/>
      </w:tabs>
      <w:spacing w:before="120"/>
      <w:jc w:val="left"/>
    </w:pPr>
    <w:rPr>
      <w:b/>
      <w:sz w:val="22"/>
      <w:szCs w:val="22"/>
    </w:rPr>
  </w:style>
  <w:style w:type="paragraph" w:styleId="TOC2">
    <w:name w:val="toc 2"/>
    <w:basedOn w:val="Normal"/>
    <w:next w:val="Normal"/>
    <w:autoRedefine/>
    <w:uiPriority w:val="39"/>
    <w:rsid w:val="00DC6D51"/>
    <w:pPr>
      <w:tabs>
        <w:tab w:val="clear" w:pos="567"/>
        <w:tab w:val="clear" w:pos="1134"/>
        <w:tab w:val="clear" w:pos="1701"/>
        <w:tab w:val="clear" w:pos="2268"/>
        <w:tab w:val="clear" w:pos="2835"/>
        <w:tab w:val="clear" w:pos="3402"/>
        <w:tab w:val="clear" w:pos="3969"/>
        <w:tab w:val="clear" w:pos="4536"/>
      </w:tabs>
      <w:ind w:left="240"/>
      <w:jc w:val="left"/>
    </w:pPr>
    <w:rPr>
      <w:i/>
      <w:sz w:val="22"/>
      <w:szCs w:val="22"/>
    </w:rPr>
  </w:style>
  <w:style w:type="paragraph" w:styleId="TOC3">
    <w:name w:val="toc 3"/>
    <w:basedOn w:val="Normal"/>
    <w:next w:val="Normal"/>
    <w:autoRedefine/>
    <w:uiPriority w:val="39"/>
    <w:rsid w:val="00DC6D51"/>
    <w:pPr>
      <w:tabs>
        <w:tab w:val="clear" w:pos="567"/>
        <w:tab w:val="clear" w:pos="1134"/>
        <w:tab w:val="clear" w:pos="1701"/>
        <w:tab w:val="clear" w:pos="2268"/>
        <w:tab w:val="clear" w:pos="2835"/>
        <w:tab w:val="clear" w:pos="3402"/>
        <w:tab w:val="clear" w:pos="3969"/>
        <w:tab w:val="clear" w:pos="4536"/>
      </w:tabs>
      <w:ind w:left="480"/>
      <w:jc w:val="left"/>
    </w:pPr>
    <w:rPr>
      <w:sz w:val="22"/>
      <w:szCs w:val="22"/>
    </w:rPr>
  </w:style>
  <w:style w:type="paragraph" w:styleId="TOC4">
    <w:name w:val="toc 4"/>
    <w:basedOn w:val="Normal"/>
    <w:next w:val="Normal"/>
    <w:autoRedefine/>
    <w:rsid w:val="00DC6D51"/>
    <w:pPr>
      <w:tabs>
        <w:tab w:val="clear" w:pos="567"/>
        <w:tab w:val="clear" w:pos="1134"/>
        <w:tab w:val="clear" w:pos="1701"/>
        <w:tab w:val="clear" w:pos="2268"/>
        <w:tab w:val="clear" w:pos="2835"/>
        <w:tab w:val="clear" w:pos="3402"/>
        <w:tab w:val="clear" w:pos="3969"/>
        <w:tab w:val="clear" w:pos="4536"/>
      </w:tabs>
      <w:ind w:left="720"/>
      <w:jc w:val="left"/>
    </w:pPr>
    <w:rPr>
      <w:sz w:val="20"/>
      <w:szCs w:val="20"/>
    </w:rPr>
  </w:style>
  <w:style w:type="paragraph" w:styleId="TOC5">
    <w:name w:val="toc 5"/>
    <w:basedOn w:val="Normal"/>
    <w:next w:val="Normal"/>
    <w:autoRedefine/>
    <w:rsid w:val="00DC6D51"/>
    <w:pPr>
      <w:tabs>
        <w:tab w:val="clear" w:pos="567"/>
        <w:tab w:val="clear" w:pos="1134"/>
        <w:tab w:val="clear" w:pos="1701"/>
        <w:tab w:val="clear" w:pos="2268"/>
        <w:tab w:val="clear" w:pos="2835"/>
        <w:tab w:val="clear" w:pos="3402"/>
        <w:tab w:val="clear" w:pos="3969"/>
        <w:tab w:val="clear" w:pos="4536"/>
      </w:tabs>
      <w:ind w:left="960"/>
      <w:jc w:val="left"/>
    </w:pPr>
    <w:rPr>
      <w:sz w:val="20"/>
      <w:szCs w:val="20"/>
    </w:rPr>
  </w:style>
  <w:style w:type="paragraph" w:styleId="TOC6">
    <w:name w:val="toc 6"/>
    <w:basedOn w:val="Normal"/>
    <w:next w:val="Normal"/>
    <w:autoRedefine/>
    <w:rsid w:val="00DC6D51"/>
    <w:pPr>
      <w:tabs>
        <w:tab w:val="clear" w:pos="567"/>
        <w:tab w:val="clear" w:pos="1134"/>
        <w:tab w:val="clear" w:pos="1701"/>
        <w:tab w:val="clear" w:pos="2268"/>
        <w:tab w:val="clear" w:pos="2835"/>
        <w:tab w:val="clear" w:pos="3402"/>
        <w:tab w:val="clear" w:pos="3969"/>
        <w:tab w:val="clear" w:pos="4536"/>
      </w:tabs>
      <w:ind w:left="1200"/>
      <w:jc w:val="left"/>
    </w:pPr>
    <w:rPr>
      <w:sz w:val="20"/>
      <w:szCs w:val="20"/>
    </w:rPr>
  </w:style>
  <w:style w:type="paragraph" w:styleId="TOC7">
    <w:name w:val="toc 7"/>
    <w:basedOn w:val="Normal"/>
    <w:next w:val="Normal"/>
    <w:autoRedefine/>
    <w:rsid w:val="00DC6D51"/>
    <w:pPr>
      <w:tabs>
        <w:tab w:val="clear" w:pos="567"/>
        <w:tab w:val="clear" w:pos="1134"/>
        <w:tab w:val="clear" w:pos="1701"/>
        <w:tab w:val="clear" w:pos="2268"/>
        <w:tab w:val="clear" w:pos="2835"/>
        <w:tab w:val="clear" w:pos="3402"/>
        <w:tab w:val="clear" w:pos="3969"/>
        <w:tab w:val="clear" w:pos="4536"/>
      </w:tabs>
      <w:ind w:left="1440"/>
      <w:jc w:val="left"/>
    </w:pPr>
    <w:rPr>
      <w:sz w:val="20"/>
      <w:szCs w:val="20"/>
    </w:rPr>
  </w:style>
  <w:style w:type="paragraph" w:styleId="TOC8">
    <w:name w:val="toc 8"/>
    <w:basedOn w:val="Normal"/>
    <w:next w:val="Normal"/>
    <w:autoRedefine/>
    <w:rsid w:val="00DC6D51"/>
    <w:pPr>
      <w:tabs>
        <w:tab w:val="clear" w:pos="567"/>
        <w:tab w:val="clear" w:pos="1134"/>
        <w:tab w:val="clear" w:pos="1701"/>
        <w:tab w:val="clear" w:pos="2268"/>
        <w:tab w:val="clear" w:pos="2835"/>
        <w:tab w:val="clear" w:pos="3402"/>
        <w:tab w:val="clear" w:pos="3969"/>
        <w:tab w:val="clear" w:pos="4536"/>
      </w:tabs>
      <w:ind w:left="1680"/>
      <w:jc w:val="left"/>
    </w:pPr>
    <w:rPr>
      <w:sz w:val="20"/>
      <w:szCs w:val="20"/>
    </w:rPr>
  </w:style>
  <w:style w:type="paragraph" w:styleId="TOC9">
    <w:name w:val="toc 9"/>
    <w:basedOn w:val="Normal"/>
    <w:next w:val="Normal"/>
    <w:autoRedefine/>
    <w:rsid w:val="00DC6D51"/>
    <w:pPr>
      <w:tabs>
        <w:tab w:val="clear" w:pos="567"/>
        <w:tab w:val="clear" w:pos="1134"/>
        <w:tab w:val="clear" w:pos="1701"/>
        <w:tab w:val="clear" w:pos="2268"/>
        <w:tab w:val="clear" w:pos="2835"/>
        <w:tab w:val="clear" w:pos="3402"/>
        <w:tab w:val="clear" w:pos="3969"/>
        <w:tab w:val="clear" w:pos="4536"/>
      </w:tabs>
      <w:ind w:left="1920"/>
      <w:jc w:val="left"/>
    </w:pPr>
    <w:rPr>
      <w:sz w:val="20"/>
      <w:szCs w:val="20"/>
    </w:rPr>
  </w:style>
  <w:style w:type="paragraph" w:customStyle="1" w:styleId="FootnoteSeparator">
    <w:name w:val="Footnote Separator"/>
    <w:basedOn w:val="Policybase"/>
    <w:rsid w:val="00DC6D51"/>
    <w:pPr>
      <w:pBdr>
        <w:top w:val="single" w:sz="4" w:space="1" w:color="auto"/>
      </w:pBdr>
      <w:spacing w:line="240" w:lineRule="auto"/>
      <w:ind w:left="567"/>
    </w:pPr>
    <w:rPr>
      <w:sz w:val="12"/>
      <w:szCs w:val="12"/>
    </w:rPr>
  </w:style>
  <w:style w:type="table" w:styleId="TableGrid">
    <w:name w:val="Table Grid"/>
    <w:basedOn w:val="TableNormal"/>
    <w:rsid w:val="00DC6D5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paralevel2">
    <w:name w:val="Policy para level 2"/>
    <w:basedOn w:val="Policyparalevel1"/>
    <w:rsid w:val="00DC6D51"/>
    <w:pPr>
      <w:numPr>
        <w:ilvl w:val="1"/>
      </w:numPr>
    </w:pPr>
  </w:style>
  <w:style w:type="paragraph" w:customStyle="1" w:styleId="Policyparalevel3">
    <w:name w:val="Policy para level 3"/>
    <w:basedOn w:val="Policyparalevel1"/>
    <w:rsid w:val="00DC6D51"/>
    <w:pPr>
      <w:numPr>
        <w:ilvl w:val="2"/>
      </w:numPr>
    </w:pPr>
  </w:style>
  <w:style w:type="paragraph" w:customStyle="1" w:styleId="Policyparalevel4">
    <w:name w:val="Policy para level 4"/>
    <w:basedOn w:val="Policyparalevel1"/>
    <w:rsid w:val="00DC6D51"/>
    <w:pPr>
      <w:numPr>
        <w:ilvl w:val="3"/>
      </w:numPr>
    </w:pPr>
  </w:style>
  <w:style w:type="paragraph" w:customStyle="1" w:styleId="Policyparalevel5">
    <w:name w:val="Policy para level 5"/>
    <w:basedOn w:val="Policyparalevel1"/>
    <w:rsid w:val="00DC6D51"/>
    <w:pPr>
      <w:numPr>
        <w:ilvl w:val="4"/>
      </w:numPr>
    </w:pPr>
  </w:style>
  <w:style w:type="character" w:customStyle="1" w:styleId="Heading6Char">
    <w:name w:val="Heading 6 Char"/>
    <w:basedOn w:val="DefaultParagraphFont"/>
    <w:link w:val="Heading6"/>
    <w:rsid w:val="00DC6D51"/>
    <w:rPr>
      <w:sz w:val="24"/>
      <w:szCs w:val="24"/>
      <w:lang w:val="en-US" w:eastAsia="en-US" w:bidi="en-US"/>
    </w:rPr>
  </w:style>
  <w:style w:type="paragraph" w:customStyle="1" w:styleId="Policyapproved">
    <w:name w:val="Policy approved"/>
    <w:basedOn w:val="Policyparalevel1"/>
    <w:rsid w:val="00DC6D51"/>
    <w:pPr>
      <w:numPr>
        <w:numId w:val="0"/>
      </w:numPr>
      <w:spacing w:before="480"/>
      <w:ind w:left="567"/>
      <w:jc w:val="left"/>
    </w:pPr>
    <w:rPr>
      <w:i/>
      <w:iCs/>
    </w:rPr>
  </w:style>
  <w:style w:type="paragraph" w:styleId="Footer">
    <w:name w:val="footer"/>
    <w:basedOn w:val="Normal"/>
    <w:link w:val="FooterChar"/>
    <w:uiPriority w:val="99"/>
    <w:unhideWhenUsed/>
    <w:rsid w:val="00DC6D51"/>
    <w:pPr>
      <w:tabs>
        <w:tab w:val="clear" w:pos="567"/>
        <w:tab w:val="clear" w:pos="1134"/>
        <w:tab w:val="clear" w:pos="1701"/>
        <w:tab w:val="clear" w:pos="2268"/>
        <w:tab w:val="clear" w:pos="2835"/>
        <w:tab w:val="clear" w:pos="3402"/>
        <w:tab w:val="clear" w:pos="3969"/>
        <w:tab w:val="clear" w:pos="4536"/>
        <w:tab w:val="center" w:pos="4680"/>
        <w:tab w:val="right" w:pos="9360"/>
      </w:tabs>
      <w:spacing w:line="240" w:lineRule="auto"/>
    </w:pPr>
  </w:style>
  <w:style w:type="character" w:customStyle="1" w:styleId="FooterChar">
    <w:name w:val="Footer Char"/>
    <w:basedOn w:val="DefaultParagraphFont"/>
    <w:link w:val="Footer"/>
    <w:uiPriority w:val="99"/>
    <w:rsid w:val="00DC6D51"/>
    <w:rPr>
      <w:sz w:val="24"/>
      <w:szCs w:val="24"/>
      <w:lang w:val="en-US" w:eastAsia="en-US" w:bidi="en-US"/>
    </w:rPr>
  </w:style>
  <w:style w:type="paragraph" w:styleId="BalloonText">
    <w:name w:val="Balloon Text"/>
    <w:basedOn w:val="Normal"/>
    <w:link w:val="BalloonTextChar"/>
    <w:rsid w:val="00DC6D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DC6D51"/>
    <w:rPr>
      <w:rFonts w:ascii="Segoe UI" w:hAnsi="Segoe UI" w:cs="Segoe UI"/>
      <w:sz w:val="18"/>
      <w:szCs w:val="18"/>
      <w:lang w:val="en-US" w:eastAsia="en-US" w:bidi="en-US"/>
    </w:rPr>
  </w:style>
  <w:style w:type="paragraph" w:customStyle="1" w:styleId="Policynotes">
    <w:name w:val="Policy notes"/>
    <w:basedOn w:val="Policyparalevel1"/>
    <w:rsid w:val="00DC6D51"/>
    <w:pPr>
      <w:numPr>
        <w:numId w:val="0"/>
      </w:numPr>
      <w:spacing w:after="360"/>
      <w:ind w:left="567"/>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48B34-9117-495C-B7AB-A093C15BC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Angela Campbell</cp:lastModifiedBy>
  <cp:revision>2</cp:revision>
  <cp:lastPrinted>2023-08-16T09:23:00Z</cp:lastPrinted>
  <dcterms:created xsi:type="dcterms:W3CDTF">2023-08-16T09:29:00Z</dcterms:created>
  <dcterms:modified xsi:type="dcterms:W3CDTF">2023-08-16T09:29:00Z</dcterms:modified>
</cp:coreProperties>
</file>