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0EAE9" w14:textId="49B8ACA9" w:rsidR="0020713C" w:rsidRDefault="0020713C" w:rsidP="0020713C">
      <w:pPr>
        <w:jc w:val="center"/>
        <w:rPr>
          <w:b/>
        </w:rPr>
      </w:pPr>
      <w:r w:rsidRPr="0020713C">
        <w:rPr>
          <w:b/>
          <w:noProof/>
        </w:rPr>
        <w:drawing>
          <wp:inline distT="0" distB="0" distL="0" distR="0" wp14:anchorId="4CC4AA95" wp14:editId="6170D4A5">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340AF76" w14:textId="77777777" w:rsidR="002E1401" w:rsidRDefault="002E1401" w:rsidP="00516DAC">
      <w:pPr>
        <w:pStyle w:val="Title"/>
        <w:pBdr>
          <w:top w:val="none" w:sz="0" w:space="0" w:color="auto"/>
          <w:left w:val="none" w:sz="0" w:space="0" w:color="auto"/>
          <w:bottom w:val="none" w:sz="0" w:space="0" w:color="auto"/>
          <w:right w:val="none" w:sz="0" w:space="0" w:color="auto"/>
        </w:pBdr>
        <w:jc w:val="left"/>
      </w:pPr>
    </w:p>
    <w:p w14:paraId="5303657B" w14:textId="77777777" w:rsidR="00F83B52" w:rsidRDefault="00F83B52" w:rsidP="00F83B52">
      <w:pPr>
        <w:jc w:val="right"/>
      </w:pPr>
    </w:p>
    <w:p w14:paraId="445910AD" w14:textId="370AAF5F" w:rsidR="00F83B52" w:rsidRDefault="00F83B52" w:rsidP="00F83B52">
      <w:pPr>
        <w:pStyle w:val="CoverText"/>
        <w:jc w:val="left"/>
        <w:rPr>
          <w:bCs/>
          <w:sz w:val="20"/>
          <w:u w:val="none"/>
        </w:rPr>
      </w:pPr>
      <w:r>
        <w:rPr>
          <w:bCs/>
        </w:rPr>
        <w:t xml:space="preserve">Neutral Citation Number: </w:t>
      </w:r>
      <w:r w:rsidR="00BB5817">
        <w:rPr>
          <w:bCs/>
        </w:rPr>
        <w:t xml:space="preserve">[2020] </w:t>
      </w:r>
      <w:proofErr w:type="spellStart"/>
      <w:r w:rsidR="00BB5817">
        <w:rPr>
          <w:bCs/>
        </w:rPr>
        <w:t>EWCA</w:t>
      </w:r>
      <w:proofErr w:type="spellEnd"/>
      <w:r w:rsidR="00BB5817">
        <w:rPr>
          <w:bCs/>
        </w:rPr>
        <w:t xml:space="preserve"> </w:t>
      </w:r>
      <w:proofErr w:type="spellStart"/>
      <w:r w:rsidR="00BB5817">
        <w:rPr>
          <w:bCs/>
        </w:rPr>
        <w:t>Civ</w:t>
      </w:r>
      <w:proofErr w:type="spellEnd"/>
      <w:r w:rsidR="00BB5817">
        <w:rPr>
          <w:bCs/>
        </w:rPr>
        <w:t xml:space="preserve"> 503</w:t>
      </w:r>
      <w:r>
        <w:rPr>
          <w:bCs/>
        </w:rPr>
        <w:br/>
      </w:r>
    </w:p>
    <w:p w14:paraId="27E19364" w14:textId="02049909" w:rsidR="00F83B52" w:rsidRDefault="00F83B52" w:rsidP="00F83B52">
      <w:pPr>
        <w:pStyle w:val="CoverText"/>
        <w:rPr>
          <w:b/>
          <w:spacing w:val="-3"/>
        </w:rPr>
      </w:pPr>
      <w:r>
        <w:t>Case No: A4/2019/1379 &amp; A4/2019/13</w:t>
      </w:r>
      <w:r w:rsidR="003E2016">
        <w:t>8</w:t>
      </w:r>
      <w:r>
        <w:t>0</w:t>
      </w:r>
    </w:p>
    <w:p w14:paraId="13E0354D" w14:textId="77777777" w:rsidR="00F83B52" w:rsidRDefault="00F83B52" w:rsidP="00F83B5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14:paraId="1B6999E0" w14:textId="55C0968F" w:rsidR="00F83B52" w:rsidRDefault="00F83B52" w:rsidP="00F83B5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 APPEAL FROM THE HIGH COURT</w:t>
      </w:r>
      <w:r w:rsidR="007F33D2">
        <w:t xml:space="preserve"> OF JUSTICE</w:t>
      </w:r>
    </w:p>
    <w:p w14:paraId="3D40E41E" w14:textId="77777777" w:rsidR="00F83B52" w:rsidRDefault="00F83B52" w:rsidP="00F83B5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BUSINESS AND PROPERTY COURTS OF ENGLAND AND WALES</w:t>
      </w:r>
    </w:p>
    <w:p w14:paraId="7D7C2025" w14:textId="77777777" w:rsidR="00F83B52" w:rsidRDefault="00F83B52" w:rsidP="00F83B5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QUEEN’S BENCH DIVISION</w:t>
      </w:r>
    </w:p>
    <w:p w14:paraId="1DEA3610" w14:textId="77777777" w:rsidR="00F83B52" w:rsidRDefault="00F83B52" w:rsidP="00F83B5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COMMERCIAL COURT</w:t>
      </w:r>
    </w:p>
    <w:p w14:paraId="3D28B8CA" w14:textId="25871A14" w:rsidR="00F83B52" w:rsidRDefault="00F83B52" w:rsidP="00F83B5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w:t>
      </w:r>
      <w:r w:rsidR="00B77845">
        <w:t xml:space="preserve">r Justice </w:t>
      </w:r>
      <w:r>
        <w:t>B</w:t>
      </w:r>
      <w:r w:rsidR="002F3F8F">
        <w:t>utcher</w:t>
      </w:r>
    </w:p>
    <w:p w14:paraId="5E45E0F7" w14:textId="77777777" w:rsidR="00F83B52" w:rsidRDefault="00F83B52" w:rsidP="00F83B5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[2019] EWHC 1220 (Comm)</w:t>
      </w:r>
    </w:p>
    <w:p w14:paraId="39D45DCA" w14:textId="77777777" w:rsidR="00F83B52" w:rsidRDefault="00F83B52" w:rsidP="00F83B52">
      <w:pPr>
        <w:pStyle w:val="CoverText"/>
      </w:pPr>
      <w:r>
        <w:t>Royal Courts of Justice</w:t>
      </w:r>
    </w:p>
    <w:p w14:paraId="231EE41A" w14:textId="77777777" w:rsidR="00F83B52" w:rsidRDefault="00F83B52" w:rsidP="00F83B52">
      <w:pPr>
        <w:pStyle w:val="CoverText"/>
      </w:pPr>
      <w:r>
        <w:t>Strand, London, WC2A 2LL</w:t>
      </w:r>
    </w:p>
    <w:p w14:paraId="73218B7D" w14:textId="77777777" w:rsidR="00F83B52" w:rsidRDefault="00F83B52" w:rsidP="00F83B52">
      <w:pPr>
        <w:suppressAutoHyphens/>
        <w:jc w:val="right"/>
        <w:rPr>
          <w:spacing w:val="-3"/>
          <w:u w:val="single"/>
        </w:rPr>
      </w:pPr>
    </w:p>
    <w:p w14:paraId="68F136A4" w14:textId="056FAA24" w:rsidR="00F83B52" w:rsidRDefault="00F83B52" w:rsidP="00F83B52">
      <w:pPr>
        <w:pStyle w:val="CoverText"/>
        <w:rPr>
          <w:b/>
        </w:rPr>
      </w:pPr>
      <w:r>
        <w:t xml:space="preserve">Date: </w:t>
      </w:r>
      <w:r w:rsidR="00583A84">
        <w:t>07/04/2020</w:t>
      </w:r>
    </w:p>
    <w:p w14:paraId="08CA11B7" w14:textId="77777777" w:rsidR="00F83B52" w:rsidRDefault="00F83B52" w:rsidP="00F83B52">
      <w:pPr>
        <w:suppressAutoHyphens/>
        <w:jc w:val="center"/>
        <w:rPr>
          <w:b/>
          <w:spacing w:val="-3"/>
        </w:rPr>
      </w:pPr>
      <w:r>
        <w:rPr>
          <w:b/>
          <w:spacing w:val="-3"/>
        </w:rPr>
        <w:t>Before:</w:t>
      </w:r>
    </w:p>
    <w:p w14:paraId="31D541B4" w14:textId="77777777" w:rsidR="00F83B52" w:rsidRDefault="00F83B52" w:rsidP="00F83B5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SIR GEOFFREY VOS, CHANCELLOR OF THE HIGH COURT</w:t>
      </w:r>
    </w:p>
    <w:p w14:paraId="5D465DB9" w14:textId="77777777" w:rsidR="00F83B52" w:rsidRDefault="00F83B52" w:rsidP="00F83B5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NEWEY</w:t>
      </w:r>
      <w:r>
        <w:br/>
      </w:r>
      <w:r>
        <w:rPr>
          <w:b w:val="0"/>
          <w:bCs/>
          <w:u w:val="none"/>
        </w:rPr>
        <w:t>and</w:t>
      </w:r>
    </w:p>
    <w:p w14:paraId="6F86590C" w14:textId="77777777" w:rsidR="00F83B52" w:rsidRDefault="00F83B52" w:rsidP="00F83B5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MALES</w:t>
      </w:r>
    </w:p>
    <w:p w14:paraId="10130F35" w14:textId="77777777" w:rsidR="00F83B52" w:rsidRDefault="00F83B52" w:rsidP="00F83B52">
      <w:pPr>
        <w:suppressAutoHyphens/>
        <w:jc w:val="center"/>
        <w:rPr>
          <w:spacing w:val="-3"/>
        </w:rPr>
      </w:pPr>
      <w:r>
        <w:rPr>
          <w:spacing w:val="-3"/>
        </w:rPr>
        <w:t>- - - - - - - - - - - - - - - - - - - - -</w:t>
      </w:r>
    </w:p>
    <w:p w14:paraId="463B22D2" w14:textId="77777777" w:rsidR="00F83B52" w:rsidRDefault="00F83B52" w:rsidP="00F83B52">
      <w:pPr>
        <w:suppressAutoHyphens/>
        <w:jc w:val="center"/>
        <w:rPr>
          <w:b/>
          <w:spacing w:val="-3"/>
        </w:rPr>
      </w:pPr>
      <w:r>
        <w:rPr>
          <w:b/>
          <w:spacing w:val="-3"/>
        </w:rPr>
        <w:t>Between:</w:t>
      </w:r>
    </w:p>
    <w:tbl>
      <w:tblPr>
        <w:tblW w:w="8964" w:type="dxa"/>
        <w:tblInd w:w="144" w:type="dxa"/>
        <w:tblLayout w:type="fixed"/>
        <w:tblLook w:val="0000" w:firstRow="0" w:lastRow="0" w:firstColumn="0" w:lastColumn="0" w:noHBand="0" w:noVBand="0"/>
      </w:tblPr>
      <w:tblGrid>
        <w:gridCol w:w="1314"/>
        <w:gridCol w:w="6210"/>
        <w:gridCol w:w="1440"/>
      </w:tblGrid>
      <w:tr w:rsidR="00F83B52" w14:paraId="3EB6EF48" w14:textId="77777777" w:rsidTr="006876AA">
        <w:tc>
          <w:tcPr>
            <w:tcW w:w="1314" w:type="dxa"/>
          </w:tcPr>
          <w:p w14:paraId="36F97584" w14:textId="77777777" w:rsidR="00F83B52" w:rsidRDefault="00F83B52" w:rsidP="00563E19">
            <w:pPr>
              <w:suppressAutoHyphens/>
              <w:rPr>
                <w:b/>
                <w:spacing w:val="-3"/>
              </w:rPr>
            </w:pPr>
          </w:p>
        </w:tc>
        <w:tc>
          <w:tcPr>
            <w:tcW w:w="6210" w:type="dxa"/>
          </w:tcPr>
          <w:p w14:paraId="1B1E2844" w14:textId="3AAD8DFB" w:rsidR="00F83B52" w:rsidRDefault="00F83B52" w:rsidP="00563E19">
            <w:pPr>
              <w:suppressAutoHyphens/>
              <w:jc w:val="center"/>
              <w:rPr>
                <w:b/>
                <w:spacing w:val="-3"/>
              </w:rPr>
            </w:pPr>
            <w:r>
              <w:rPr>
                <w:b/>
                <w:spacing w:val="-3"/>
              </w:rPr>
              <w:t>TEES</w:t>
            </w:r>
            <w:r w:rsidR="00AD4318">
              <w:rPr>
                <w:b/>
                <w:spacing w:val="-3"/>
              </w:rPr>
              <w:t>S</w:t>
            </w:r>
            <w:r>
              <w:rPr>
                <w:b/>
                <w:spacing w:val="-3"/>
              </w:rPr>
              <w:t>IDE GAS TRANSPORTATION LIMITED</w:t>
            </w:r>
          </w:p>
        </w:tc>
        <w:tc>
          <w:tcPr>
            <w:tcW w:w="1440" w:type="dxa"/>
          </w:tcPr>
          <w:p w14:paraId="6EFB6DF9" w14:textId="77777777" w:rsidR="00F83B52" w:rsidRDefault="00F83B52" w:rsidP="00563E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p>
        </w:tc>
      </w:tr>
      <w:tr w:rsidR="00F83B52" w14:paraId="4503C9C0" w14:textId="77777777" w:rsidTr="006876AA">
        <w:tc>
          <w:tcPr>
            <w:tcW w:w="1314" w:type="dxa"/>
          </w:tcPr>
          <w:p w14:paraId="0B066085" w14:textId="77777777" w:rsidR="00F83B52" w:rsidRDefault="00F83B52" w:rsidP="00563E19">
            <w:pPr>
              <w:suppressAutoHyphens/>
              <w:rPr>
                <w:b/>
                <w:spacing w:val="-3"/>
              </w:rPr>
            </w:pPr>
          </w:p>
        </w:tc>
        <w:tc>
          <w:tcPr>
            <w:tcW w:w="6210" w:type="dxa"/>
          </w:tcPr>
          <w:p w14:paraId="0EB18D1C" w14:textId="77777777" w:rsidR="00F83B52" w:rsidRDefault="00F83B52" w:rsidP="00563E19">
            <w:pPr>
              <w:tabs>
                <w:tab w:val="center" w:pos="3312"/>
              </w:tabs>
              <w:suppressAutoHyphens/>
              <w:jc w:val="center"/>
              <w:rPr>
                <w:b/>
                <w:spacing w:val="-3"/>
              </w:rPr>
            </w:pPr>
            <w:r>
              <w:rPr>
                <w:b/>
                <w:spacing w:val="-3"/>
              </w:rPr>
              <w:t>- and -</w:t>
            </w:r>
          </w:p>
        </w:tc>
        <w:tc>
          <w:tcPr>
            <w:tcW w:w="1440" w:type="dxa"/>
          </w:tcPr>
          <w:p w14:paraId="4C7F26E4" w14:textId="77777777" w:rsidR="00F83B52" w:rsidRDefault="00F83B52" w:rsidP="00563E19">
            <w:pPr>
              <w:suppressAutoHyphens/>
              <w:jc w:val="right"/>
              <w:rPr>
                <w:b/>
                <w:spacing w:val="-3"/>
              </w:rPr>
            </w:pPr>
          </w:p>
        </w:tc>
      </w:tr>
      <w:tr w:rsidR="00F83B52" w14:paraId="0579D896" w14:textId="77777777" w:rsidTr="006876AA">
        <w:tc>
          <w:tcPr>
            <w:tcW w:w="1314" w:type="dxa"/>
          </w:tcPr>
          <w:p w14:paraId="3D5FAB2F" w14:textId="77777777" w:rsidR="00F83B52" w:rsidRDefault="00F83B52" w:rsidP="00563E19">
            <w:pPr>
              <w:suppressAutoHyphens/>
              <w:rPr>
                <w:b/>
                <w:spacing w:val="-3"/>
              </w:rPr>
            </w:pPr>
          </w:p>
        </w:tc>
        <w:tc>
          <w:tcPr>
            <w:tcW w:w="6210" w:type="dxa"/>
          </w:tcPr>
          <w:p w14:paraId="1A36FB26" w14:textId="77777777" w:rsidR="00F83B52" w:rsidRDefault="00F83B52" w:rsidP="00F83B52">
            <w:pPr>
              <w:numPr>
                <w:ilvl w:val="0"/>
                <w:numId w:val="15"/>
              </w:numPr>
              <w:tabs>
                <w:tab w:val="center" w:pos="671"/>
              </w:tabs>
              <w:suppressAutoHyphens/>
              <w:jc w:val="center"/>
              <w:rPr>
                <w:b/>
                <w:spacing w:val="-3"/>
              </w:rPr>
            </w:pPr>
            <w:r>
              <w:rPr>
                <w:b/>
                <w:spacing w:val="-3"/>
              </w:rPr>
              <w:t xml:space="preserve">CATS NORTH SEA LIMITED </w:t>
            </w:r>
          </w:p>
          <w:p w14:paraId="4A4DA8CF" w14:textId="77777777" w:rsidR="00F83B52" w:rsidRDefault="00F83B52" w:rsidP="00F83B52">
            <w:pPr>
              <w:numPr>
                <w:ilvl w:val="0"/>
                <w:numId w:val="15"/>
              </w:numPr>
              <w:tabs>
                <w:tab w:val="center" w:pos="671"/>
              </w:tabs>
              <w:suppressAutoHyphens/>
              <w:jc w:val="center"/>
              <w:rPr>
                <w:b/>
                <w:spacing w:val="-3"/>
              </w:rPr>
            </w:pPr>
            <w:r>
              <w:rPr>
                <w:b/>
                <w:spacing w:val="-3"/>
              </w:rPr>
              <w:t>ANTIN CATS LIMITED</w:t>
            </w:r>
          </w:p>
          <w:p w14:paraId="2051FC65" w14:textId="3CEAFCD6" w:rsidR="00F83B52" w:rsidRDefault="00BE0242" w:rsidP="00F83B52">
            <w:pPr>
              <w:numPr>
                <w:ilvl w:val="0"/>
                <w:numId w:val="15"/>
              </w:numPr>
              <w:tabs>
                <w:tab w:val="center" w:pos="671"/>
              </w:tabs>
              <w:suppressAutoHyphens/>
              <w:jc w:val="center"/>
              <w:rPr>
                <w:b/>
                <w:spacing w:val="-3"/>
              </w:rPr>
            </w:pPr>
            <w:r>
              <w:rPr>
                <w:b/>
                <w:spacing w:val="-3"/>
              </w:rPr>
              <w:t>C</w:t>
            </w:r>
            <w:r w:rsidR="00F83B52">
              <w:rPr>
                <w:b/>
                <w:spacing w:val="-3"/>
              </w:rPr>
              <w:t>ONOCOPHILLIPS PETROLEUM COMPANY UK LIMITED</w:t>
            </w:r>
          </w:p>
          <w:p w14:paraId="044C7773" w14:textId="77777777" w:rsidR="00F83B52" w:rsidRDefault="00F83B52" w:rsidP="00F83B52">
            <w:pPr>
              <w:numPr>
                <w:ilvl w:val="0"/>
                <w:numId w:val="15"/>
              </w:numPr>
              <w:tabs>
                <w:tab w:val="center" w:pos="671"/>
              </w:tabs>
              <w:suppressAutoHyphens/>
              <w:jc w:val="center"/>
              <w:rPr>
                <w:b/>
                <w:spacing w:val="-3"/>
              </w:rPr>
            </w:pPr>
            <w:r>
              <w:rPr>
                <w:b/>
                <w:spacing w:val="-3"/>
              </w:rPr>
              <w:t>ENI UK LIMITED</w:t>
            </w:r>
          </w:p>
        </w:tc>
        <w:tc>
          <w:tcPr>
            <w:tcW w:w="1440" w:type="dxa"/>
          </w:tcPr>
          <w:p w14:paraId="048F3891" w14:textId="77777777" w:rsidR="00F83B52" w:rsidRDefault="00F83B52" w:rsidP="00563E19">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hanging="156"/>
              <w:jc w:val="center"/>
            </w:pPr>
            <w:r>
              <w:t>Respondents</w:t>
            </w:r>
          </w:p>
        </w:tc>
      </w:tr>
    </w:tbl>
    <w:p w14:paraId="2E76B807" w14:textId="77777777" w:rsidR="00F83B52" w:rsidRDefault="00F83B52" w:rsidP="00F83B52">
      <w:pPr>
        <w:suppressAutoHyphens/>
        <w:rPr>
          <w:b/>
          <w:spacing w:val="-3"/>
        </w:rPr>
      </w:pPr>
    </w:p>
    <w:p w14:paraId="1B7EAD9A" w14:textId="77777777" w:rsidR="00F83B52" w:rsidRDefault="00F83B52" w:rsidP="00F83B52">
      <w:pPr>
        <w:suppressAutoHyphens/>
        <w:jc w:val="center"/>
        <w:rPr>
          <w:spacing w:val="-3"/>
        </w:rPr>
      </w:pPr>
      <w:r>
        <w:rPr>
          <w:spacing w:val="-3"/>
        </w:rPr>
        <w:lastRenderedPageBreak/>
        <w:t>- - - - - - - - - - - - - - - - - - - - -</w:t>
      </w:r>
    </w:p>
    <w:p w14:paraId="65D6A43E" w14:textId="77777777" w:rsidR="00F83B52" w:rsidRDefault="00F83B52" w:rsidP="00F83B52">
      <w:pPr>
        <w:suppressAutoHyphens/>
        <w:jc w:val="center"/>
        <w:rPr>
          <w:spacing w:val="-3"/>
        </w:rPr>
      </w:pPr>
      <w:r>
        <w:rPr>
          <w:spacing w:val="-3"/>
        </w:rPr>
        <w:t>- - - - - - - - - - - - - - - - - - - - -</w:t>
      </w:r>
    </w:p>
    <w:p w14:paraId="7667BA4F" w14:textId="77777777" w:rsidR="00F83B52" w:rsidRDefault="00F83B52" w:rsidP="00F83B52">
      <w:pPr>
        <w:suppressAutoHyphens/>
        <w:jc w:val="center"/>
        <w:rPr>
          <w:spacing w:val="-3"/>
        </w:rPr>
      </w:pPr>
    </w:p>
    <w:p w14:paraId="04635619" w14:textId="21FCBB39" w:rsidR="00F83B52" w:rsidRDefault="00F83B52" w:rsidP="00F83B52">
      <w:pPr>
        <w:suppressAutoHyphens/>
        <w:jc w:val="center"/>
        <w:rPr>
          <w:bCs/>
          <w:spacing w:val="-3"/>
        </w:rPr>
      </w:pPr>
      <w:r>
        <w:rPr>
          <w:b/>
          <w:spacing w:val="-3"/>
        </w:rPr>
        <w:t>Mr Ba</w:t>
      </w:r>
      <w:r w:rsidR="00030636">
        <w:rPr>
          <w:b/>
          <w:spacing w:val="-3"/>
        </w:rPr>
        <w:t>n</w:t>
      </w:r>
      <w:r>
        <w:rPr>
          <w:b/>
          <w:spacing w:val="-3"/>
        </w:rPr>
        <w:t>kim Thanki QC &amp; Mr Nik Yeo</w:t>
      </w:r>
      <w:r>
        <w:rPr>
          <w:bCs/>
          <w:spacing w:val="-3"/>
        </w:rPr>
        <w:t xml:space="preserve"> (instructed by </w:t>
      </w:r>
      <w:r>
        <w:rPr>
          <w:b/>
          <w:spacing w:val="-3"/>
        </w:rPr>
        <w:t>Boies Schiller Flexner (UK) LLP</w:t>
      </w:r>
      <w:r>
        <w:rPr>
          <w:bCs/>
          <w:spacing w:val="-3"/>
        </w:rPr>
        <w:t xml:space="preserve">) for the </w:t>
      </w:r>
      <w:r>
        <w:rPr>
          <w:b/>
          <w:spacing w:val="-3"/>
        </w:rPr>
        <w:t>Appellant</w:t>
      </w:r>
    </w:p>
    <w:p w14:paraId="71EAB80C" w14:textId="77777777" w:rsidR="00F83B52" w:rsidRDefault="00F83B52" w:rsidP="00F83B52">
      <w:pPr>
        <w:suppressAutoHyphens/>
        <w:jc w:val="center"/>
        <w:rPr>
          <w:bCs/>
          <w:spacing w:val="-3"/>
        </w:rPr>
      </w:pPr>
      <w:r>
        <w:rPr>
          <w:b/>
          <w:spacing w:val="-3"/>
        </w:rPr>
        <w:t xml:space="preserve">Mr Tim Lord QC &amp; Mr Richard Eschwege </w:t>
      </w:r>
      <w:r>
        <w:rPr>
          <w:bCs/>
          <w:spacing w:val="-3"/>
        </w:rPr>
        <w:t>(instructed by</w:t>
      </w:r>
      <w:r>
        <w:rPr>
          <w:b/>
          <w:spacing w:val="-3"/>
        </w:rPr>
        <w:t xml:space="preserve"> Pinsent Masons LLP</w:t>
      </w:r>
      <w:r>
        <w:rPr>
          <w:bCs/>
          <w:spacing w:val="-3"/>
        </w:rPr>
        <w:t xml:space="preserve">) for the </w:t>
      </w:r>
      <w:r>
        <w:rPr>
          <w:b/>
          <w:spacing w:val="-3"/>
        </w:rPr>
        <w:t>Respondents</w:t>
      </w:r>
    </w:p>
    <w:p w14:paraId="54A3A2B0" w14:textId="77777777" w:rsidR="00F83B52" w:rsidRDefault="00F83B52" w:rsidP="00F83B52">
      <w:pPr>
        <w:suppressAutoHyphens/>
        <w:jc w:val="center"/>
        <w:rPr>
          <w:b/>
          <w:spacing w:val="-3"/>
        </w:rPr>
      </w:pPr>
    </w:p>
    <w:p w14:paraId="24A51D5F" w14:textId="51E63167" w:rsidR="00F83B52" w:rsidRDefault="003E2016" w:rsidP="00F83B52">
      <w:pPr>
        <w:suppressAutoHyphens/>
        <w:jc w:val="center"/>
        <w:rPr>
          <w:spacing w:val="-3"/>
        </w:rPr>
      </w:pPr>
      <w:r>
        <w:rPr>
          <w:spacing w:val="-3"/>
        </w:rPr>
        <w:t xml:space="preserve">Remote </w:t>
      </w:r>
      <w:r w:rsidR="00F83B52">
        <w:rPr>
          <w:spacing w:val="-3"/>
        </w:rPr>
        <w:t>Hearing dates: 24</w:t>
      </w:r>
      <w:r w:rsidR="00F83B52" w:rsidRPr="00CD1A64">
        <w:rPr>
          <w:spacing w:val="-3"/>
          <w:vertAlign w:val="superscript"/>
        </w:rPr>
        <w:t>th</w:t>
      </w:r>
      <w:r w:rsidR="00F83B52">
        <w:rPr>
          <w:spacing w:val="-3"/>
        </w:rPr>
        <w:t xml:space="preserve"> &amp; 25</w:t>
      </w:r>
      <w:r w:rsidR="00F83B52" w:rsidRPr="00CD1A64">
        <w:rPr>
          <w:spacing w:val="-3"/>
          <w:vertAlign w:val="superscript"/>
        </w:rPr>
        <w:t>th</w:t>
      </w:r>
      <w:r w:rsidR="00F83B52">
        <w:rPr>
          <w:spacing w:val="-3"/>
        </w:rPr>
        <w:t xml:space="preserve"> March 2020</w:t>
      </w:r>
    </w:p>
    <w:p w14:paraId="6D647A69" w14:textId="77777777" w:rsidR="00F83B52" w:rsidRDefault="00F83B52" w:rsidP="00F83B52">
      <w:pPr>
        <w:suppressAutoHyphens/>
        <w:jc w:val="center"/>
        <w:rPr>
          <w:spacing w:val="-3"/>
        </w:rPr>
      </w:pPr>
      <w:r>
        <w:rPr>
          <w:spacing w:val="-3"/>
        </w:rPr>
        <w:t>- - - - - - - - - - - - - - - - - - - - -</w:t>
      </w:r>
    </w:p>
    <w:p w14:paraId="6669D181" w14:textId="1E97B5EC" w:rsidR="00C439A3" w:rsidRDefault="00C439A3" w:rsidP="006876AA">
      <w:pPr>
        <w:jc w:val="center"/>
        <w:rPr>
          <w:spacing w:val="-3"/>
        </w:rPr>
      </w:pPr>
      <w:r>
        <w:rPr>
          <w:spacing w:val="-3"/>
        </w:rPr>
        <w:t>- - - - - - - - - - - - - - - - - - - - -</w:t>
      </w:r>
    </w:p>
    <w:p w14:paraId="0497357B" w14:textId="32A2F528" w:rsidR="00C439A3" w:rsidRDefault="0020713C" w:rsidP="0020713C">
      <w:pPr>
        <w:pStyle w:val="CoverDesc"/>
      </w:pPr>
      <w:r>
        <w:t>Approved Judgment</w:t>
      </w:r>
    </w:p>
    <w:p w14:paraId="2EAD2BDE" w14:textId="77777777" w:rsidR="00C439A3" w:rsidRDefault="00C439A3">
      <w:bookmarkStart w:id="0" w:name="_GoBack"/>
      <w:bookmarkEnd w:id="0"/>
    </w:p>
    <w:p w14:paraId="4478BF96" w14:textId="7304C7EE" w:rsidR="00C439A3" w:rsidRDefault="0020713C">
      <w:pPr>
        <w:sectPr w:rsidR="00C439A3">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r w:rsidRPr="008143B3">
        <w:t>Covid-19 Protocol:  This judgment was handed down remotely by circulation to the parties’ representat</w:t>
      </w:r>
      <w:r>
        <w:t xml:space="preserve">ives by email, release to </w:t>
      </w:r>
      <w:proofErr w:type="spellStart"/>
      <w:r>
        <w:t>BAILII</w:t>
      </w:r>
      <w:proofErr w:type="spellEnd"/>
      <w:r w:rsidRPr="008143B3">
        <w:t xml:space="preserve"> and publication on the </w:t>
      </w:r>
      <w:r>
        <w:t xml:space="preserve">Courts and Tribunals Judiciary </w:t>
      </w:r>
      <w:r w:rsidRPr="008143B3">
        <w:t xml:space="preserve">website.  The date and time for hand-down is deemed to be </w:t>
      </w:r>
      <w:r>
        <w:t>on Tuesday 7</w:t>
      </w:r>
      <w:r w:rsidRPr="0020713C">
        <w:rPr>
          <w:vertAlign w:val="superscript"/>
        </w:rPr>
        <w:t>th</w:t>
      </w:r>
      <w:r>
        <w:t xml:space="preserve"> April 2020 at 10.30 a.m.</w:t>
      </w:r>
    </w:p>
    <w:p w14:paraId="675AB275" w14:textId="27DEDF94" w:rsidR="00C439A3" w:rsidRDefault="00B8105A">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Lord Justice Males</w:t>
      </w:r>
      <w:r w:rsidR="00C439A3">
        <w:rPr>
          <w:b/>
        </w:rPr>
        <w:t>:</w:t>
      </w:r>
      <w:r w:rsidR="00C439A3">
        <w:t xml:space="preserve"> </w:t>
      </w:r>
    </w:p>
    <w:p w14:paraId="00C7EE41" w14:textId="605458FC" w:rsidR="00357E46" w:rsidRPr="00357E46" w:rsidRDefault="00357E46" w:rsidP="0020713C">
      <w:pPr>
        <w:pStyle w:val="ParaLevel1"/>
        <w:numPr>
          <w:ilvl w:val="0"/>
          <w:numId w:val="0"/>
        </w:numPr>
        <w:ind w:left="720" w:hanging="720"/>
        <w:rPr>
          <w:b/>
          <w:bCs/>
        </w:rPr>
      </w:pPr>
      <w:r w:rsidRPr="00357E46">
        <w:rPr>
          <w:b/>
          <w:bCs/>
        </w:rPr>
        <w:t>Introduction</w:t>
      </w:r>
    </w:p>
    <w:p w14:paraId="33ECF80C" w14:textId="503AE8FB" w:rsidR="00700BEB" w:rsidRDefault="0096378B" w:rsidP="0020713C">
      <w:pPr>
        <w:pStyle w:val="ParaLevel1"/>
      </w:pPr>
      <w:r>
        <w:t>This</w:t>
      </w:r>
      <w:r w:rsidR="00A5148F">
        <w:t xml:space="preserve"> is an appeal</w:t>
      </w:r>
      <w:r w:rsidR="008122AF">
        <w:t xml:space="preserve"> from the judgment of Butcher J</w:t>
      </w:r>
      <w:r w:rsidR="00E33388">
        <w:t xml:space="preserve"> dated 14</w:t>
      </w:r>
      <w:r w:rsidR="005B7A01" w:rsidRPr="005B7A01">
        <w:rPr>
          <w:vertAlign w:val="superscript"/>
        </w:rPr>
        <w:t>th</w:t>
      </w:r>
      <w:r w:rsidR="005B7A01">
        <w:t xml:space="preserve"> </w:t>
      </w:r>
      <w:r w:rsidR="00E33388">
        <w:t>May 2019</w:t>
      </w:r>
      <w:r w:rsidR="005B7A01">
        <w:t xml:space="preserve"> by which he determined</w:t>
      </w:r>
      <w:r w:rsidR="001D643B">
        <w:t xml:space="preserve"> various issues</w:t>
      </w:r>
      <w:r w:rsidR="00016EE2">
        <w:t xml:space="preserve"> concerning the amount payable by the</w:t>
      </w:r>
      <w:r w:rsidR="002B66E5">
        <w:t xml:space="preserve"> appellant (“TGT</w:t>
      </w:r>
      <w:r w:rsidR="00572C4E">
        <w:t>L”)</w:t>
      </w:r>
      <w:r w:rsidR="00396B35">
        <w:t xml:space="preserve"> to the respondents</w:t>
      </w:r>
      <w:r w:rsidR="005012C9">
        <w:t xml:space="preserve"> (“the CATS Parties”)</w:t>
      </w:r>
      <w:r w:rsidR="002561F3">
        <w:t xml:space="preserve"> for the </w:t>
      </w:r>
      <w:r w:rsidR="00EA0BC3">
        <w:t xml:space="preserve">right to </w:t>
      </w:r>
      <w:r w:rsidR="002561F3">
        <w:t xml:space="preserve">use </w:t>
      </w:r>
      <w:r w:rsidR="00B543AF">
        <w:t>p</w:t>
      </w:r>
      <w:r w:rsidR="002561F3">
        <w:t>a</w:t>
      </w:r>
      <w:r w:rsidR="00B543AF">
        <w:t>rt of the capacity</w:t>
      </w:r>
      <w:r w:rsidR="00C03377">
        <w:t xml:space="preserve"> of a</w:t>
      </w:r>
      <w:r w:rsidR="002561F3">
        <w:t xml:space="preserve"> pipeline</w:t>
      </w:r>
      <w:r w:rsidR="001C0CC4">
        <w:t xml:space="preserve"> for the transportation</w:t>
      </w:r>
      <w:r w:rsidR="009274E9">
        <w:t xml:space="preserve"> of North Sea gas</w:t>
      </w:r>
      <w:r w:rsidR="00BF173A">
        <w:t>. The pipeline ran</w:t>
      </w:r>
      <w:r w:rsidR="00FA332B">
        <w:t xml:space="preserve"> from an offshore riser platform</w:t>
      </w:r>
      <w:r w:rsidR="00DC3B55">
        <w:t xml:space="preserve"> </w:t>
      </w:r>
      <w:r w:rsidR="00FE2056">
        <w:t xml:space="preserve">(“the </w:t>
      </w:r>
      <w:r w:rsidR="002F008B">
        <w:t>p</w:t>
      </w:r>
      <w:r w:rsidR="00FE2056">
        <w:t xml:space="preserve">latform”) </w:t>
      </w:r>
      <w:r w:rsidR="00DC3B55">
        <w:t>located some 230 km</w:t>
      </w:r>
      <w:r w:rsidR="00BD0802">
        <w:t xml:space="preserve"> east of Aberdeen</w:t>
      </w:r>
      <w:r w:rsidR="002E0267">
        <w:t xml:space="preserve"> </w:t>
      </w:r>
      <w:r w:rsidR="00206B95">
        <w:t xml:space="preserve">to </w:t>
      </w:r>
      <w:r w:rsidR="002E0267">
        <w:t xml:space="preserve">an onshore redelivery terminal and gas processing plant </w:t>
      </w:r>
      <w:r w:rsidR="00EF7350">
        <w:t>(</w:t>
      </w:r>
      <w:r w:rsidR="00770C9C">
        <w:t>“</w:t>
      </w:r>
      <w:r w:rsidR="00EF7350">
        <w:t xml:space="preserve">the </w:t>
      </w:r>
      <w:r w:rsidR="00F92534">
        <w:t>t</w:t>
      </w:r>
      <w:r w:rsidR="00EF7350">
        <w:t>erminal</w:t>
      </w:r>
      <w:r w:rsidR="00132524">
        <w:t>”</w:t>
      </w:r>
      <w:r w:rsidR="00EF7350">
        <w:t xml:space="preserve">) </w:t>
      </w:r>
      <w:r w:rsidR="002E0267">
        <w:t>at Seal Sands, Teesside</w:t>
      </w:r>
      <w:r w:rsidR="00D3257F">
        <w:t xml:space="preserve">. It </w:t>
      </w:r>
      <w:r w:rsidR="009310DF">
        <w:t>transported gas, not only for TGTL, but also for other shippers who concluded contracts with the CATS Parties</w:t>
      </w:r>
      <w:r w:rsidR="002E0267">
        <w:t>.</w:t>
      </w:r>
      <w:r w:rsidR="00D11FFE">
        <w:t xml:space="preserve"> </w:t>
      </w:r>
    </w:p>
    <w:p w14:paraId="1D7D31F6" w14:textId="79A21284" w:rsidR="00C439A3" w:rsidRDefault="00D11FFE" w:rsidP="0020713C">
      <w:pPr>
        <w:pStyle w:val="ParaLevel1"/>
      </w:pPr>
      <w:r>
        <w:t xml:space="preserve">Only one of the issues </w:t>
      </w:r>
      <w:r w:rsidR="0023085F">
        <w:t xml:space="preserve">decided by the judge </w:t>
      </w:r>
      <w:r>
        <w:t>is live on this appeal,</w:t>
      </w:r>
      <w:r w:rsidR="00B00B9E">
        <w:t xml:space="preserve"> namely</w:t>
      </w:r>
      <w:r w:rsidR="002705A8">
        <w:t xml:space="preserve"> the interpretation</w:t>
      </w:r>
      <w:r w:rsidR="00247226">
        <w:t xml:space="preserve"> of a phrase in the definition of “CATS Capacity”</w:t>
      </w:r>
      <w:r w:rsidR="00B02CA2">
        <w:t>,</w:t>
      </w:r>
      <w:r w:rsidR="0013004F">
        <w:t xml:space="preserve"> which formed</w:t>
      </w:r>
      <w:r w:rsidR="00AF3B3C">
        <w:t xml:space="preserve"> part of the formula agreed by the part</w:t>
      </w:r>
      <w:r w:rsidR="00146B40">
        <w:t>ies</w:t>
      </w:r>
      <w:r w:rsidR="00AF3B3C">
        <w:t xml:space="preserve"> for determining the “Capacity Fee</w:t>
      </w:r>
      <w:r w:rsidR="00FC7D89">
        <w:t xml:space="preserve">” </w:t>
      </w:r>
      <w:r w:rsidR="002C640F">
        <w:t xml:space="preserve">payable </w:t>
      </w:r>
      <w:r w:rsidR="00FC7D89">
        <w:t>by</w:t>
      </w:r>
      <w:r w:rsidR="002C640F">
        <w:t xml:space="preserve"> TGTL</w:t>
      </w:r>
      <w:r w:rsidR="00146B40">
        <w:t xml:space="preserve"> in the Contract Years 2013 to 2018</w:t>
      </w:r>
      <w:r w:rsidR="002C640F">
        <w:t>.</w:t>
      </w:r>
    </w:p>
    <w:p w14:paraId="54024BB9" w14:textId="259D687C" w:rsidR="009F38DE" w:rsidRDefault="009F38DE" w:rsidP="0020713C">
      <w:pPr>
        <w:pStyle w:val="ParaLevel1"/>
      </w:pPr>
      <w:r>
        <w:t>The phrase in question is:</w:t>
      </w:r>
    </w:p>
    <w:p w14:paraId="22BE3431" w14:textId="2E3AF5B1" w:rsidR="009F38DE" w:rsidRDefault="009F38DE" w:rsidP="0020713C">
      <w:pPr>
        <w:pStyle w:val="Quote"/>
      </w:pPr>
      <w:r>
        <w:t>“</w:t>
      </w:r>
      <w:r w:rsidR="00273282">
        <w:t xml:space="preserve">the aggregate maximum rates </w:t>
      </w:r>
      <w:r w:rsidR="00A15B10">
        <w:t>of delivery</w:t>
      </w:r>
      <w:r w:rsidR="00322FFC">
        <w:t xml:space="preserve"> of Non-Capacity Gas notified by the CATS Op</w:t>
      </w:r>
      <w:r w:rsidR="00A12AE7">
        <w:t>erator pursuant to Clause 4.6(a)(vii)</w:t>
      </w:r>
      <w:r w:rsidR="00C661DC">
        <w:t>, subject to any changes notified</w:t>
      </w:r>
      <w:r w:rsidR="00B54888">
        <w:t xml:space="preserve"> pursuant to Clause 4.6</w:t>
      </w:r>
      <w:r w:rsidR="00F112E3">
        <w:t>(b)(i).”</w:t>
      </w:r>
    </w:p>
    <w:p w14:paraId="4C77A90E" w14:textId="29DBFC1B" w:rsidR="009F38DE" w:rsidRDefault="00BA7C95" w:rsidP="0020713C">
      <w:pPr>
        <w:pStyle w:val="ParaLevel1"/>
      </w:pPr>
      <w:r>
        <w:t>Clause 4.6(a)(</w:t>
      </w:r>
      <w:r w:rsidR="008868C0">
        <w:t>vii) required</w:t>
      </w:r>
      <w:r w:rsidR="0075680D">
        <w:t xml:space="preserve"> </w:t>
      </w:r>
      <w:r w:rsidR="00E11B77">
        <w:t>notification to TGTL,</w:t>
      </w:r>
      <w:r w:rsidR="001B1360">
        <w:t xml:space="preserve"> </w:t>
      </w:r>
      <w:r w:rsidR="00041290">
        <w:t>for each shipper other than TGTL</w:t>
      </w:r>
      <w:r w:rsidR="001A23C2">
        <w:t>, of:</w:t>
      </w:r>
    </w:p>
    <w:p w14:paraId="776372FE" w14:textId="30EA6B6C" w:rsidR="00521862" w:rsidRDefault="00521862" w:rsidP="0020713C">
      <w:pPr>
        <w:pStyle w:val="Quote"/>
      </w:pPr>
      <w:r>
        <w:t>“the</w:t>
      </w:r>
      <w:r w:rsidR="00425FE3">
        <w:t xml:space="preserve"> maximum rate of delivery of Non-Capacity Gas</w:t>
      </w:r>
      <w:r w:rsidR="00BB5817">
        <w:t xml:space="preserve"> at such point</w:t>
      </w:r>
      <w:r w:rsidR="006A10AD">
        <w:t xml:space="preserve"> during the proposed period of transportation.”</w:t>
      </w:r>
    </w:p>
    <w:p w14:paraId="6339937B" w14:textId="15DE9299" w:rsidR="001A23C2" w:rsidRDefault="00DE4958" w:rsidP="0020713C">
      <w:pPr>
        <w:pStyle w:val="ParaLevel1"/>
      </w:pPr>
      <w:r>
        <w:t>The issue is whether</w:t>
      </w:r>
      <w:r w:rsidR="004D76CC">
        <w:t>,</w:t>
      </w:r>
      <w:r w:rsidR="004625F1">
        <w:t xml:space="preserve"> for the purpose of the </w:t>
      </w:r>
      <w:r w:rsidR="006E69BE">
        <w:t>C</w:t>
      </w:r>
      <w:r w:rsidR="004625F1">
        <w:t xml:space="preserve">apacity Fee formula, the relevant figure </w:t>
      </w:r>
      <w:r w:rsidR="008845C0">
        <w:t>for each third party shipper</w:t>
      </w:r>
      <w:r w:rsidR="00480436">
        <w:t>, was (a)</w:t>
      </w:r>
      <w:r w:rsidR="0078307A">
        <w:t xml:space="preserve"> the maximum rate of delivery by that shipper</w:t>
      </w:r>
      <w:r w:rsidR="00696AA3">
        <w:t xml:space="preserve"> over the whole</w:t>
      </w:r>
      <w:r w:rsidR="00AC3362">
        <w:t xml:space="preserve"> period covered by</w:t>
      </w:r>
      <w:r w:rsidR="00B44E9A">
        <w:t xml:space="preserve"> its contract with the CATS Parties or </w:t>
      </w:r>
      <w:r w:rsidR="00B44E9A">
        <w:lastRenderedPageBreak/>
        <w:t>(b)</w:t>
      </w:r>
      <w:r w:rsidR="00F72E30">
        <w:t xml:space="preserve"> a figure (known as the Daily Reserve</w:t>
      </w:r>
      <w:r w:rsidR="006F557D">
        <w:t>d</w:t>
      </w:r>
      <w:r w:rsidR="00F72E30">
        <w:t xml:space="preserve"> Capacity Rate</w:t>
      </w:r>
      <w:r w:rsidR="00C871BC">
        <w:t>, or “DRCR”)</w:t>
      </w:r>
      <w:r w:rsidR="0090055F">
        <w:t xml:space="preserve"> agreed </w:t>
      </w:r>
      <w:r w:rsidR="00005414">
        <w:t xml:space="preserve">from time to time </w:t>
      </w:r>
      <w:r w:rsidR="0090055F">
        <w:t>between</w:t>
      </w:r>
      <w:r w:rsidR="00CE6F8E">
        <w:t xml:space="preserve"> the CATS Parties</w:t>
      </w:r>
      <w:r w:rsidR="00392510">
        <w:t xml:space="preserve"> and the third party shipper</w:t>
      </w:r>
      <w:r w:rsidR="00686B54">
        <w:t xml:space="preserve"> as that shipper’s firm booked capacity in the pipeline.</w:t>
      </w:r>
    </w:p>
    <w:p w14:paraId="16AAA5AA" w14:textId="3B158AE3" w:rsidR="00947DBA" w:rsidRDefault="00FB665D" w:rsidP="0020713C">
      <w:pPr>
        <w:pStyle w:val="ParaLevel1"/>
      </w:pPr>
      <w:r>
        <w:t>TGTL</w:t>
      </w:r>
      <w:r w:rsidR="000D78F5">
        <w:t xml:space="preserve"> contends for the former (and higher)</w:t>
      </w:r>
      <w:r w:rsidR="004B21AD">
        <w:t xml:space="preserve"> figure;</w:t>
      </w:r>
      <w:r w:rsidR="0068542D">
        <w:t xml:space="preserve"> the CATS Parties</w:t>
      </w:r>
      <w:r w:rsidR="000D6475">
        <w:t xml:space="preserve"> contend </w:t>
      </w:r>
      <w:r w:rsidR="000D60DF">
        <w:t xml:space="preserve">(and the judge concluded) that </w:t>
      </w:r>
      <w:r w:rsidR="000D6475">
        <w:t>the latter (and lower) figure</w:t>
      </w:r>
      <w:r w:rsidR="000867CA">
        <w:t xml:space="preserve"> is correct</w:t>
      </w:r>
      <w:r w:rsidR="000D6475">
        <w:t>.</w:t>
      </w:r>
      <w:r w:rsidR="001B46FC">
        <w:t xml:space="preserve"> </w:t>
      </w:r>
      <w:r w:rsidR="00F1581D">
        <w:t xml:space="preserve">We were told that </w:t>
      </w:r>
      <w:r w:rsidR="003165D4">
        <w:t xml:space="preserve">some £37 million </w:t>
      </w:r>
      <w:r w:rsidR="00053836">
        <w:t>turns on this issue.</w:t>
      </w:r>
    </w:p>
    <w:p w14:paraId="323E6738" w14:textId="00C2060E" w:rsidR="003B734E" w:rsidRPr="003B734E" w:rsidRDefault="003B734E" w:rsidP="0020713C">
      <w:pPr>
        <w:pStyle w:val="ParaLevel1"/>
        <w:numPr>
          <w:ilvl w:val="0"/>
          <w:numId w:val="0"/>
        </w:numPr>
        <w:rPr>
          <w:b/>
          <w:bCs/>
        </w:rPr>
      </w:pPr>
      <w:r w:rsidRPr="003B734E">
        <w:rPr>
          <w:b/>
          <w:bCs/>
        </w:rPr>
        <w:t>Background</w:t>
      </w:r>
    </w:p>
    <w:p w14:paraId="1D869136" w14:textId="468CFF59" w:rsidR="005D5BB4" w:rsidRDefault="007C15F6" w:rsidP="0020713C">
      <w:pPr>
        <w:pStyle w:val="ParaLevel1"/>
      </w:pPr>
      <w:r>
        <w:t>A</w:t>
      </w:r>
      <w:r w:rsidR="002D73B5">
        <w:t xml:space="preserve"> full account of the background to this dispute is set out in the judge’s judgment.</w:t>
      </w:r>
      <w:r w:rsidR="00346358">
        <w:t xml:space="preserve"> For present purposes the following </w:t>
      </w:r>
      <w:r w:rsidR="00FF5A58">
        <w:t xml:space="preserve">(slightly simplified) </w:t>
      </w:r>
      <w:r w:rsidR="00346358">
        <w:t>summary will suffice.</w:t>
      </w:r>
    </w:p>
    <w:p w14:paraId="3A8520CF" w14:textId="0FFC8E47" w:rsidR="006A15C7" w:rsidRDefault="006A77F3" w:rsidP="0020713C">
      <w:pPr>
        <w:pStyle w:val="ParaLevel1"/>
      </w:pPr>
      <w:r>
        <w:t xml:space="preserve">The </w:t>
      </w:r>
      <w:r w:rsidR="0039117C">
        <w:t>p</w:t>
      </w:r>
      <w:r w:rsidR="009C3FFB">
        <w:t xml:space="preserve">latform </w:t>
      </w:r>
      <w:r>
        <w:t>is</w:t>
      </w:r>
      <w:bookmarkStart w:id="1" w:name="para1"/>
      <w:r>
        <w:t xml:space="preserve"> </w:t>
      </w:r>
      <w:r w:rsidR="00B8105A">
        <w:t>owned and operated by the CATS Parties. A 404</w:t>
      </w:r>
      <w:r w:rsidR="00760423">
        <w:t xml:space="preserve"> </w:t>
      </w:r>
      <w:r w:rsidR="00B8105A">
        <w:t>km high-pressure gas pipeline runs from t</w:t>
      </w:r>
      <w:r w:rsidR="00A11838">
        <w:t>he platform</w:t>
      </w:r>
      <w:r w:rsidR="00011B10">
        <w:t xml:space="preserve"> </w:t>
      </w:r>
      <w:r w:rsidR="00B8105A">
        <w:t xml:space="preserve">to the </w:t>
      </w:r>
      <w:r w:rsidR="00653D44">
        <w:t>t</w:t>
      </w:r>
      <w:r w:rsidR="00B8105A">
        <w:t xml:space="preserve">erminal. </w:t>
      </w:r>
      <w:r w:rsidR="00653D44">
        <w:t xml:space="preserve">It </w:t>
      </w:r>
      <w:r w:rsidR="00802D4E">
        <w:t>was constructed in the 1980s and early 1990s</w:t>
      </w:r>
      <w:r w:rsidR="0011372C">
        <w:t xml:space="preserve"> and </w:t>
      </w:r>
      <w:r w:rsidR="00432D38">
        <w:t>became operational in 1993</w:t>
      </w:r>
      <w:r w:rsidR="0011372C">
        <w:t xml:space="preserve">. It </w:t>
      </w:r>
      <w:r w:rsidR="00432D38">
        <w:t xml:space="preserve">has been one of six principal pipelines delivering North Sea gas to the UK mainland. </w:t>
      </w:r>
      <w:r w:rsidR="005D3989">
        <w:t xml:space="preserve">Gas is delivered to the pipeline </w:t>
      </w:r>
      <w:r w:rsidR="00867DD8">
        <w:t>from s</w:t>
      </w:r>
      <w:r w:rsidR="00B8105A">
        <w:t>everal production fields in the North Sea</w:t>
      </w:r>
      <w:r w:rsidR="005B0CF3">
        <w:t xml:space="preserve">. </w:t>
      </w:r>
      <w:bookmarkStart w:id="2" w:name="para2"/>
      <w:bookmarkEnd w:id="1"/>
    </w:p>
    <w:p w14:paraId="21A06B1B" w14:textId="04B483DA" w:rsidR="009B3A05" w:rsidRDefault="00B8105A" w:rsidP="0020713C">
      <w:pPr>
        <w:pStyle w:val="ParaLevel1"/>
      </w:pPr>
      <w:r>
        <w:t>On 10</w:t>
      </w:r>
      <w:r w:rsidR="001E076A" w:rsidRPr="001E076A">
        <w:rPr>
          <w:vertAlign w:val="superscript"/>
        </w:rPr>
        <w:t>th</w:t>
      </w:r>
      <w:r w:rsidR="001E076A">
        <w:t xml:space="preserve"> </w:t>
      </w:r>
      <w:r>
        <w:t>September 1990</w:t>
      </w:r>
      <w:r w:rsidR="001E076A">
        <w:t xml:space="preserve"> </w:t>
      </w:r>
      <w:r>
        <w:t xml:space="preserve">TGTL and the predecessors of the </w:t>
      </w:r>
      <w:r w:rsidR="001E076A">
        <w:t xml:space="preserve">CATS Parties </w:t>
      </w:r>
      <w:r>
        <w:t xml:space="preserve">entered into a </w:t>
      </w:r>
      <w:r w:rsidR="005535DA">
        <w:t>“</w:t>
      </w:r>
      <w:r>
        <w:t>Capacity Reservation and Transportation Agreement</w:t>
      </w:r>
      <w:r w:rsidR="005535DA">
        <w:t>”</w:t>
      </w:r>
      <w:r>
        <w:t xml:space="preserve"> (</w:t>
      </w:r>
      <w:r w:rsidR="00861591">
        <w:t>“</w:t>
      </w:r>
      <w:r w:rsidR="005535DA" w:rsidRPr="00EA7A5C">
        <w:t>the</w:t>
      </w:r>
      <w:r w:rsidR="00B34A74">
        <w:t xml:space="preserve"> Agreement”</w:t>
      </w:r>
      <w:r w:rsidR="00071091">
        <w:t xml:space="preserve"> or “</w:t>
      </w:r>
      <w:r w:rsidR="00BE74A5">
        <w:t xml:space="preserve">the </w:t>
      </w:r>
      <w:r w:rsidR="00071091">
        <w:t>CRTA”</w:t>
      </w:r>
      <w:r>
        <w:t xml:space="preserve">). </w:t>
      </w:r>
      <w:r w:rsidR="00EA7A5C">
        <w:t xml:space="preserve">This </w:t>
      </w:r>
      <w:r w:rsidR="003458C2">
        <w:t>entitled T</w:t>
      </w:r>
      <w:r>
        <w:t>GTL to a pre-determined capacity of pipeline gas, through the exclusive use of specified points of entry (for gas entering the system) and exit (</w:t>
      </w:r>
      <w:r w:rsidR="00C578E2">
        <w:t>for</w:t>
      </w:r>
      <w:r>
        <w:t xml:space="preserve"> redelivery of the gas from the </w:t>
      </w:r>
      <w:r w:rsidR="00973386">
        <w:t>pipeline</w:t>
      </w:r>
      <w:r>
        <w:t xml:space="preserve"> into the </w:t>
      </w:r>
      <w:r w:rsidR="008F4017">
        <w:t>terminal</w:t>
      </w:r>
      <w:r>
        <w:t>).</w:t>
      </w:r>
      <w:r w:rsidR="009B3A05" w:rsidRPr="009B3A05">
        <w:t xml:space="preserve"> </w:t>
      </w:r>
      <w:r w:rsidR="009B3A05">
        <w:t xml:space="preserve">The capacity reserved to TGTL was referred to as the “Capacity Reservation”. Gas transported as part of the Capacity Reservation was referred to as “Capacity Gas”. </w:t>
      </w:r>
    </w:p>
    <w:p w14:paraId="77714C64" w14:textId="6E03A48E" w:rsidR="00D10E19" w:rsidRDefault="00B8105A" w:rsidP="0020713C">
      <w:pPr>
        <w:pStyle w:val="ParaLevel1"/>
      </w:pPr>
      <w:r>
        <w:lastRenderedPageBreak/>
        <w:t xml:space="preserve"> The effect of this</w:t>
      </w:r>
      <w:r w:rsidR="00301292">
        <w:t xml:space="preserve"> </w:t>
      </w:r>
      <w:r>
        <w:t xml:space="preserve">was to grant TGTL </w:t>
      </w:r>
      <w:r w:rsidR="00301292">
        <w:t>what was described as “</w:t>
      </w:r>
      <w:r>
        <w:t>a pipeline within a pipeline</w:t>
      </w:r>
      <w:r w:rsidR="00301292">
        <w:t>”</w:t>
      </w:r>
      <w:r>
        <w:t>.</w:t>
      </w:r>
      <w:r w:rsidR="00C53744">
        <w:t xml:space="preserve"> TGTL’s sole business activity</w:t>
      </w:r>
      <w:r w:rsidR="004829C8">
        <w:t xml:space="preserve"> was to acquire</w:t>
      </w:r>
      <w:r w:rsidR="008D03B4">
        <w:t xml:space="preserve"> capacity within the pipeline</w:t>
      </w:r>
      <w:r w:rsidR="00E3573B">
        <w:t xml:space="preserve"> and to sell that capacity on to a consortium</w:t>
      </w:r>
      <w:r w:rsidR="00534C63">
        <w:t xml:space="preserve"> operating</w:t>
      </w:r>
      <w:r w:rsidR="006F310F">
        <w:t xml:space="preserve"> a collection of fields downstream of the </w:t>
      </w:r>
      <w:r w:rsidR="00764200">
        <w:t>p</w:t>
      </w:r>
      <w:r w:rsidR="006F310F">
        <w:t>latform.</w:t>
      </w:r>
    </w:p>
    <w:p w14:paraId="2FD64E78" w14:textId="117345AA" w:rsidR="00330CAF" w:rsidRDefault="00B8105A" w:rsidP="0020713C">
      <w:pPr>
        <w:pStyle w:val="ParaLevel1"/>
      </w:pPr>
      <w:bookmarkStart w:id="3" w:name="para3"/>
      <w:bookmarkEnd w:id="2"/>
      <w:r>
        <w:t>The A</w:t>
      </w:r>
      <w:r w:rsidR="00F4021E">
        <w:t>greement</w:t>
      </w:r>
      <w:r>
        <w:t xml:space="preserve"> provided for two different payment regimes. From April 1993 (when the </w:t>
      </w:r>
      <w:r w:rsidR="00B7334C">
        <w:t>pipeline</w:t>
      </w:r>
      <w:r>
        <w:t xml:space="preserve"> became operational) until 1</w:t>
      </w:r>
      <w:r w:rsidR="00495423" w:rsidRPr="00495423">
        <w:rPr>
          <w:vertAlign w:val="superscript"/>
        </w:rPr>
        <w:t>st</w:t>
      </w:r>
      <w:r w:rsidR="00495423">
        <w:t xml:space="preserve"> </w:t>
      </w:r>
      <w:r>
        <w:t xml:space="preserve">October 2013, TGTL paid a fixed </w:t>
      </w:r>
      <w:r w:rsidR="009D4CDC">
        <w:t>“</w:t>
      </w:r>
      <w:r>
        <w:t>Transportation Fee</w:t>
      </w:r>
      <w:r w:rsidR="009D4CDC">
        <w:t>”</w:t>
      </w:r>
      <w:r w:rsidR="00E648E9" w:rsidRPr="00E648E9">
        <w:t xml:space="preserve"> </w:t>
      </w:r>
      <w:r w:rsidR="00E648E9">
        <w:t xml:space="preserve">(which </w:t>
      </w:r>
      <w:r w:rsidR="00B22401">
        <w:t>consisted</w:t>
      </w:r>
      <w:r w:rsidR="000D150E">
        <w:t xml:space="preserve"> o</w:t>
      </w:r>
      <w:r w:rsidR="00E648E9">
        <w:t xml:space="preserve">f a high initial tariff from 1993 to 2008, and a considerably reduced tariff from 2008 to 2013). </w:t>
      </w:r>
      <w:r>
        <w:t>From 1</w:t>
      </w:r>
      <w:r w:rsidR="005D2225" w:rsidRPr="005D2225">
        <w:rPr>
          <w:vertAlign w:val="superscript"/>
        </w:rPr>
        <w:t>st</w:t>
      </w:r>
      <w:r w:rsidR="005D2225">
        <w:t xml:space="preserve"> </w:t>
      </w:r>
      <w:r>
        <w:t>October 2013 to 1</w:t>
      </w:r>
      <w:r w:rsidR="005D2225" w:rsidRPr="005D2225">
        <w:rPr>
          <w:vertAlign w:val="superscript"/>
        </w:rPr>
        <w:t>st</w:t>
      </w:r>
      <w:r w:rsidR="005D2225">
        <w:t xml:space="preserve"> </w:t>
      </w:r>
      <w:r>
        <w:t>October 2018 (</w:t>
      </w:r>
      <w:r w:rsidR="00CC3AC7">
        <w:t>when the Agreement ended</w:t>
      </w:r>
      <w:r>
        <w:t xml:space="preserve">), TGTL was to pay a </w:t>
      </w:r>
      <w:r w:rsidR="00A67B6E">
        <w:t>“</w:t>
      </w:r>
      <w:r>
        <w:t>Capacity Fee</w:t>
      </w:r>
      <w:r w:rsidR="00A67B6E">
        <w:t>”</w:t>
      </w:r>
      <w:r w:rsidR="00325BA2">
        <w:t xml:space="preserve"> which </w:t>
      </w:r>
      <w:r>
        <w:t xml:space="preserve">was to be calculated </w:t>
      </w:r>
      <w:r w:rsidR="00627853">
        <w:t>according</w:t>
      </w:r>
      <w:r>
        <w:t xml:space="preserve"> to a formula</w:t>
      </w:r>
      <w:r w:rsidR="00325BA2">
        <w:t>.</w:t>
      </w:r>
      <w:r>
        <w:t xml:space="preserve"> </w:t>
      </w:r>
      <w:bookmarkStart w:id="4" w:name="para11"/>
      <w:bookmarkEnd w:id="3"/>
      <w:r w:rsidR="00B91C3F">
        <w:t xml:space="preserve">The </w:t>
      </w:r>
      <w:r w:rsidR="00004D2B">
        <w:t>T</w:t>
      </w:r>
      <w:r w:rsidR="00B91C3F">
        <w:t>ransportation Fee</w:t>
      </w:r>
      <w:r w:rsidR="004872F5">
        <w:t xml:space="preserve"> and subsequently the Capacity Fee were payable whether or not</w:t>
      </w:r>
      <w:r w:rsidR="001941D5">
        <w:t xml:space="preserve"> TGTL used the capacity</w:t>
      </w:r>
      <w:r w:rsidR="00004D2B">
        <w:t xml:space="preserve"> reserved to it.</w:t>
      </w:r>
      <w:r w:rsidR="005545B2">
        <w:t xml:space="preserve"> Thus the Capacity Fee</w:t>
      </w:r>
      <w:r w:rsidR="007B5C57">
        <w:t xml:space="preserve"> and the formula for its calcula</w:t>
      </w:r>
      <w:r w:rsidR="00F54C78">
        <w:t>t</w:t>
      </w:r>
      <w:r w:rsidR="007B5C57">
        <w:t>ion</w:t>
      </w:r>
      <w:r w:rsidR="009A367A">
        <w:t xml:space="preserve"> would only become relevant</w:t>
      </w:r>
      <w:r w:rsidR="001F02E4">
        <w:t xml:space="preserve"> after the</w:t>
      </w:r>
      <w:r w:rsidR="00000881">
        <w:t xml:space="preserve"> </w:t>
      </w:r>
      <w:r w:rsidR="006C2642">
        <w:t xml:space="preserve">contract had been performed for </w:t>
      </w:r>
      <w:r w:rsidR="00EC7AFB">
        <w:t>over 20 years.</w:t>
      </w:r>
    </w:p>
    <w:p w14:paraId="33F0DB06" w14:textId="0A90FC91" w:rsidR="00EA1717" w:rsidRDefault="00B8105A" w:rsidP="0020713C">
      <w:pPr>
        <w:pStyle w:val="ParaLevel1"/>
      </w:pPr>
      <w:r>
        <w:t>Under clause 4.5</w:t>
      </w:r>
      <w:r w:rsidR="00330CAF">
        <w:t xml:space="preserve"> of the </w:t>
      </w:r>
      <w:r w:rsidR="00907745">
        <w:t>Agreement</w:t>
      </w:r>
      <w:r>
        <w:t xml:space="preserve">, the CATS Parties were free to use or sell all capacity other than TGTL's Capacity Reservation. If they contracted for the sale of capacity to third parties (by way of a </w:t>
      </w:r>
      <w:r w:rsidR="004D175A">
        <w:t>“</w:t>
      </w:r>
      <w:r>
        <w:t>Non-Capacity Gas</w:t>
      </w:r>
      <w:r w:rsidR="004D175A">
        <w:t>”</w:t>
      </w:r>
      <w:r>
        <w:t xml:space="preserve"> contract), the CATS Parties were required by clause 4.6 to provide TGTL with certain information about that contract, including its estimated period of life, the proposed points at which gas would enter and leave the </w:t>
      </w:r>
      <w:r w:rsidR="00FF5A58">
        <w:t>pipeline</w:t>
      </w:r>
      <w:r>
        <w:t xml:space="preserve">, and a </w:t>
      </w:r>
      <w:r w:rsidRPr="00BC7F60">
        <w:rPr>
          <w:i/>
          <w:iCs/>
        </w:rPr>
        <w:t>bona fide</w:t>
      </w:r>
      <w:r>
        <w:t xml:space="preserve"> estimate of the aggregate quantity and composition of the Non-Capacity Gas in the system. </w:t>
      </w:r>
      <w:r w:rsidR="0020327F">
        <w:t xml:space="preserve">Of particular importance for </w:t>
      </w:r>
      <w:r>
        <w:t>th</w:t>
      </w:r>
      <w:r w:rsidR="00EA1717">
        <w:t>is appeal</w:t>
      </w:r>
      <w:r w:rsidR="00C716F6">
        <w:t>,</w:t>
      </w:r>
      <w:r w:rsidR="00543DFB">
        <w:t xml:space="preserve"> </w:t>
      </w:r>
      <w:r w:rsidR="00121EA1">
        <w:t xml:space="preserve">the </w:t>
      </w:r>
      <w:r w:rsidR="00543DFB">
        <w:t>information to be provided to</w:t>
      </w:r>
      <w:r w:rsidR="00121EA1">
        <w:t xml:space="preserve"> TGTL</w:t>
      </w:r>
      <w:r w:rsidR="00EE2A79">
        <w:t xml:space="preserve"> included “</w:t>
      </w:r>
      <w:r w:rsidR="00F963EE">
        <w:t>the maximum rate of delivery of Non-Capacity</w:t>
      </w:r>
      <w:r w:rsidR="00A12D04">
        <w:t xml:space="preserve"> Gas </w:t>
      </w:r>
      <w:r w:rsidR="001C067F">
        <w:t>at s</w:t>
      </w:r>
      <w:r w:rsidR="00A12D04">
        <w:t xml:space="preserve">uch point </w:t>
      </w:r>
      <w:r w:rsidR="001C067F">
        <w:t>du</w:t>
      </w:r>
      <w:r w:rsidR="00A12D04">
        <w:t>ring the proposed period of transportation”</w:t>
      </w:r>
      <w:r w:rsidR="00EA1717">
        <w:t>.</w:t>
      </w:r>
    </w:p>
    <w:p w14:paraId="3A8753F6" w14:textId="3B868A8A" w:rsidR="007956D4" w:rsidRDefault="00B8105A" w:rsidP="0020713C">
      <w:pPr>
        <w:pStyle w:val="ParaLevel1"/>
      </w:pPr>
      <w:bookmarkStart w:id="5" w:name="para12"/>
      <w:bookmarkEnd w:id="4"/>
      <w:r>
        <w:lastRenderedPageBreak/>
        <w:t>On 20</w:t>
      </w:r>
      <w:r w:rsidR="00512F04" w:rsidRPr="00512F04">
        <w:rPr>
          <w:vertAlign w:val="superscript"/>
        </w:rPr>
        <w:t>th</w:t>
      </w:r>
      <w:r w:rsidR="00512F04">
        <w:t xml:space="preserve"> </w:t>
      </w:r>
      <w:r>
        <w:t>November 1998, the CATS Parties, TGTL, and a number of third-party shippers entered into a multilateral Transportation Allocation Agreement (</w:t>
      </w:r>
      <w:r w:rsidR="00594E9F">
        <w:t>“</w:t>
      </w:r>
      <w:r>
        <w:t>the TAA</w:t>
      </w:r>
      <w:r w:rsidR="00846A58">
        <w:t>”</w:t>
      </w:r>
      <w:r>
        <w:t xml:space="preserve">). The purpose of this agreement, in broad terms, was to make provision for the allocation of gas to shippers </w:t>
      </w:r>
      <w:r w:rsidR="007A40B7">
        <w:t xml:space="preserve">on redelivery. </w:t>
      </w:r>
      <w:r w:rsidR="000A62ED">
        <w:t>G</w:t>
      </w:r>
      <w:r>
        <w:t>as entered the pipeline with varying quality and composition</w:t>
      </w:r>
      <w:r w:rsidR="00100EDD">
        <w:t xml:space="preserve"> at a number of entry points and </w:t>
      </w:r>
      <w:r>
        <w:t xml:space="preserve">was necessarily mingled within the pipeline. </w:t>
      </w:r>
      <w:bookmarkStart w:id="6" w:name="para13"/>
      <w:bookmarkEnd w:id="5"/>
      <w:r w:rsidR="00CC7C12">
        <w:t xml:space="preserve">Arrangements </w:t>
      </w:r>
      <w:r w:rsidR="00015A83">
        <w:t xml:space="preserve">therefore </w:t>
      </w:r>
      <w:r w:rsidR="00CC7C12">
        <w:t>needed to be established</w:t>
      </w:r>
      <w:r w:rsidR="003727A5">
        <w:t xml:space="preserve"> to determine</w:t>
      </w:r>
      <w:r w:rsidR="00B81B67">
        <w:t xml:space="preserve"> how the commingled gas</w:t>
      </w:r>
      <w:r w:rsidR="007718BD">
        <w:t xml:space="preserve"> </w:t>
      </w:r>
      <w:r w:rsidR="008936A7">
        <w:t>be</w:t>
      </w:r>
      <w:r w:rsidR="007718BD">
        <w:t>in</w:t>
      </w:r>
      <w:r w:rsidR="008936A7">
        <w:t>g r</w:t>
      </w:r>
      <w:r w:rsidR="007718BD">
        <w:t>edelivered from the pipeline</w:t>
      </w:r>
      <w:r w:rsidR="00EF7036">
        <w:t xml:space="preserve"> at the </w:t>
      </w:r>
      <w:r w:rsidR="0074203F">
        <w:t>t</w:t>
      </w:r>
      <w:r w:rsidR="00EF7036">
        <w:t>erminal</w:t>
      </w:r>
      <w:r w:rsidR="00272044">
        <w:t xml:space="preserve"> should be allocated between the various shippers of which TGTL was only one.</w:t>
      </w:r>
      <w:r w:rsidR="00C975F4">
        <w:t xml:space="preserve"> The arrangements set out in the TAA</w:t>
      </w:r>
      <w:r w:rsidR="00261DF1">
        <w:t xml:space="preserve"> replaced allocation principles which, as between TGTL and the CATS Parties</w:t>
      </w:r>
      <w:r w:rsidR="007956E7">
        <w:t xml:space="preserve">, had been contained in Schedule XIII to the </w:t>
      </w:r>
      <w:r w:rsidR="004406C4">
        <w:t>Agreement</w:t>
      </w:r>
      <w:r w:rsidR="000379FE">
        <w:t>, considered below</w:t>
      </w:r>
      <w:r w:rsidR="007956E7">
        <w:t>.</w:t>
      </w:r>
    </w:p>
    <w:p w14:paraId="62003DB8" w14:textId="2EAFEB04" w:rsidR="00B80C92" w:rsidRPr="00AC2479" w:rsidRDefault="00B80C92" w:rsidP="0020713C">
      <w:pPr>
        <w:pStyle w:val="ParaLevel1"/>
        <w:numPr>
          <w:ilvl w:val="0"/>
          <w:numId w:val="0"/>
        </w:numPr>
        <w:rPr>
          <w:b/>
          <w:bCs/>
        </w:rPr>
      </w:pPr>
      <w:bookmarkStart w:id="7" w:name="para15"/>
      <w:bookmarkEnd w:id="6"/>
      <w:r w:rsidRPr="00AC2479">
        <w:rPr>
          <w:b/>
          <w:bCs/>
        </w:rPr>
        <w:t>The Capacity Fee formula</w:t>
      </w:r>
    </w:p>
    <w:p w14:paraId="247E5AB4" w14:textId="291D3C34" w:rsidR="001308A6" w:rsidRDefault="00B80C92" w:rsidP="0020713C">
      <w:pPr>
        <w:pStyle w:val="ParaLevel1"/>
      </w:pPr>
      <w:r>
        <w:t>T</w:t>
      </w:r>
      <w:r w:rsidR="00B8105A">
        <w:t xml:space="preserve">he contractual formula for calculating </w:t>
      </w:r>
      <w:r w:rsidR="007F6AF1">
        <w:t>the</w:t>
      </w:r>
      <w:r w:rsidR="00B8105A">
        <w:t xml:space="preserve"> Capacity Fee</w:t>
      </w:r>
      <w:r w:rsidR="00F4267D">
        <w:t xml:space="preserve"> </w:t>
      </w:r>
      <w:r w:rsidR="007F6AF1">
        <w:t xml:space="preserve">payable by </w:t>
      </w:r>
      <w:r w:rsidR="00D513A5">
        <w:t xml:space="preserve">TGTL </w:t>
      </w:r>
      <w:r w:rsidR="00F4267D">
        <w:t>was c</w:t>
      </w:r>
      <w:r w:rsidR="00B8105A">
        <w:t xml:space="preserve">ontained in clause 7.10 of the </w:t>
      </w:r>
      <w:r w:rsidR="00D513A5">
        <w:t>Agreement</w:t>
      </w:r>
      <w:r w:rsidR="00056482">
        <w:t xml:space="preserve"> and wa</w:t>
      </w:r>
      <w:r w:rsidR="00B8105A">
        <w:t>s as follows:</w:t>
      </w:r>
    </w:p>
    <w:bookmarkEnd w:id="7"/>
    <w:p w14:paraId="4CE9C0DC" w14:textId="22642809" w:rsidR="00F336D0" w:rsidRPr="001308A6" w:rsidRDefault="00BB5817" w:rsidP="0020713C">
      <w:pPr>
        <w:pStyle w:val="ParaLevel1"/>
        <w:numPr>
          <w:ilvl w:val="0"/>
          <w:numId w:val="0"/>
        </w:numPr>
        <w:ind w:left="720"/>
      </w:pPr>
      <w:r>
        <w:rPr>
          <w:b/>
          <w:bCs/>
        </w:rPr>
        <w:t xml:space="preserve">CF = (CRR/CC) (OE + </w:t>
      </w:r>
      <w:proofErr w:type="spellStart"/>
      <w:r>
        <w:rPr>
          <w:b/>
          <w:bCs/>
        </w:rPr>
        <w:t>EOE</w:t>
      </w:r>
      <w:proofErr w:type="spellEnd"/>
      <w:r>
        <w:rPr>
          <w:b/>
          <w:bCs/>
        </w:rPr>
        <w:t xml:space="preserve"> + CE) </w:t>
      </w:r>
      <w:r w:rsidR="00B8105A" w:rsidRPr="00824A84">
        <w:rPr>
          <w:b/>
          <w:bCs/>
        </w:rPr>
        <w:t>1.15</w:t>
      </w:r>
    </w:p>
    <w:p w14:paraId="79C1785D" w14:textId="77777777" w:rsidR="00832983" w:rsidRDefault="00B8105A" w:rsidP="0020713C">
      <w:pPr>
        <w:pStyle w:val="ParaLevel1"/>
      </w:pPr>
      <w:r>
        <w:t>The</w:t>
      </w:r>
      <w:r w:rsidR="00461FCE">
        <w:t xml:space="preserve">se </w:t>
      </w:r>
      <w:r>
        <w:t xml:space="preserve">abbreviations </w:t>
      </w:r>
      <w:r w:rsidR="00F55425">
        <w:t>we</w:t>
      </w:r>
      <w:r>
        <w:t>re defined by clause 7.10:</w:t>
      </w:r>
    </w:p>
    <w:p w14:paraId="4D9F1FD6" w14:textId="7BDECEBE" w:rsidR="005D6DA8" w:rsidRDefault="00B8105A" w:rsidP="0020713C">
      <w:pPr>
        <w:pStyle w:val="ParaLevel1"/>
        <w:numPr>
          <w:ilvl w:val="0"/>
          <w:numId w:val="11"/>
        </w:numPr>
      </w:pPr>
      <w:r w:rsidRPr="00832983">
        <w:rPr>
          <w:b/>
          <w:bCs/>
        </w:rPr>
        <w:t>CF</w:t>
      </w:r>
      <w:r>
        <w:t xml:space="preserve"> </w:t>
      </w:r>
      <w:r w:rsidR="0069413E">
        <w:t>wa</w:t>
      </w:r>
      <w:r>
        <w:t xml:space="preserve">s </w:t>
      </w:r>
      <w:r w:rsidR="00447A3D">
        <w:t>the “</w:t>
      </w:r>
      <w:r>
        <w:t>Capacity Fee payable for the Contract Year in question</w:t>
      </w:r>
      <w:r w:rsidR="00447A3D">
        <w:t>”</w:t>
      </w:r>
      <w:r w:rsidR="000A4B22">
        <w:t>.</w:t>
      </w:r>
      <w:r>
        <w:t xml:space="preserve"> (</w:t>
      </w:r>
      <w:r w:rsidR="000B042C">
        <w:t>A “</w:t>
      </w:r>
      <w:r>
        <w:t>Contract Year</w:t>
      </w:r>
      <w:r w:rsidR="005F1AE2">
        <w:t>” r</w:t>
      </w:r>
      <w:r w:rsidR="00256A1F">
        <w:t>an</w:t>
      </w:r>
      <w:r w:rsidR="005F1AE2">
        <w:t xml:space="preserve"> from </w:t>
      </w:r>
      <w:r>
        <w:t xml:space="preserve">6 a.m. on 1st October </w:t>
      </w:r>
      <w:r w:rsidR="00922986">
        <w:t>to 6 am on 1</w:t>
      </w:r>
      <w:r w:rsidR="00922986" w:rsidRPr="00922986">
        <w:rPr>
          <w:vertAlign w:val="superscript"/>
        </w:rPr>
        <w:t>st</w:t>
      </w:r>
      <w:r w:rsidR="00922986">
        <w:t xml:space="preserve"> October of </w:t>
      </w:r>
      <w:r>
        <w:t>the following calendar year)</w:t>
      </w:r>
      <w:r w:rsidR="005D6DA8">
        <w:t>.</w:t>
      </w:r>
    </w:p>
    <w:p w14:paraId="191373B0" w14:textId="608E4B82" w:rsidR="00714305" w:rsidRDefault="00B8105A" w:rsidP="0020713C">
      <w:pPr>
        <w:pStyle w:val="ParaLevel1"/>
        <w:numPr>
          <w:ilvl w:val="0"/>
          <w:numId w:val="11"/>
        </w:numPr>
      </w:pPr>
      <w:r w:rsidRPr="005D6DA8">
        <w:rPr>
          <w:b/>
          <w:bCs/>
        </w:rPr>
        <w:t>CRR</w:t>
      </w:r>
      <w:r>
        <w:t xml:space="preserve"> </w:t>
      </w:r>
      <w:r w:rsidR="005D6DA8">
        <w:t>wa</w:t>
      </w:r>
      <w:r>
        <w:t>s the amount of gas reserved by TGTL</w:t>
      </w:r>
      <w:r w:rsidR="00953817">
        <w:t xml:space="preserve">, </w:t>
      </w:r>
      <w:r>
        <w:t xml:space="preserve">defined as </w:t>
      </w:r>
      <w:r w:rsidR="00953817">
        <w:t>“</w:t>
      </w:r>
      <w:r>
        <w:t>an amount equal to the sum of the Capacity Reservation Rates (expressed in Cubic Metres per Day) applicable on each Day of the Contract Year in question</w:t>
      </w:r>
      <w:r w:rsidR="00DF1671">
        <w:t xml:space="preserve"> …</w:t>
      </w:r>
      <w:r w:rsidR="001E6EE9">
        <w:t>”</w:t>
      </w:r>
      <w:r>
        <w:t xml:space="preserve">. The CRR was </w:t>
      </w:r>
      <w:r w:rsidR="00566229">
        <w:t xml:space="preserve">stated to be </w:t>
      </w:r>
      <w:r>
        <w:t>8,334,900 Cubic Metres per Day</w:t>
      </w:r>
      <w:r w:rsidR="00EF032D">
        <w:t xml:space="preserve">. TGTL was </w:t>
      </w:r>
      <w:r w:rsidR="00EF032D">
        <w:lastRenderedPageBreak/>
        <w:t>entitled to reduce the CRR</w:t>
      </w:r>
      <w:r w:rsidR="0053590E">
        <w:t xml:space="preserve"> on giving </w:t>
      </w:r>
      <w:r w:rsidR="004952A9">
        <w:t>two years</w:t>
      </w:r>
      <w:r w:rsidR="00BB5817">
        <w:t>’</w:t>
      </w:r>
      <w:r w:rsidR="004952A9">
        <w:t xml:space="preserve"> prior notice</w:t>
      </w:r>
      <w:r w:rsidR="00D53291">
        <w:t xml:space="preserve">, but </w:t>
      </w:r>
      <w:r w:rsidR="00437FCA">
        <w:t xml:space="preserve">only with effect from </w:t>
      </w:r>
      <w:r w:rsidR="00CD4E01">
        <w:t>1</w:t>
      </w:r>
      <w:r w:rsidR="00CD4E01" w:rsidRPr="00CD4E01">
        <w:rPr>
          <w:vertAlign w:val="superscript"/>
        </w:rPr>
        <w:t>st</w:t>
      </w:r>
      <w:r w:rsidR="00CD4E01">
        <w:t xml:space="preserve"> </w:t>
      </w:r>
      <w:r w:rsidR="00BB5817">
        <w:t>October 2008</w:t>
      </w:r>
      <w:r w:rsidR="00CD4E01">
        <w:t>.</w:t>
      </w:r>
      <w:r w:rsidR="0060550C">
        <w:t xml:space="preserve"> Any reduction could not be reversed. In the event</w:t>
      </w:r>
      <w:r w:rsidR="00AF0F5E">
        <w:t xml:space="preserve"> the CRR w</w:t>
      </w:r>
      <w:r w:rsidR="00D53291">
        <w:t xml:space="preserve">as </w:t>
      </w:r>
      <w:r w:rsidR="00AF0F5E">
        <w:t>reduc</w:t>
      </w:r>
      <w:r w:rsidR="00F719C5">
        <w:t>e</w:t>
      </w:r>
      <w:r>
        <w:t xml:space="preserve">d </w:t>
      </w:r>
      <w:r w:rsidR="00D53291">
        <w:t xml:space="preserve">for </w:t>
      </w:r>
      <w:r>
        <w:t>the 2017-18 Contract Year</w:t>
      </w:r>
      <w:r w:rsidR="00D53291">
        <w:t xml:space="preserve"> </w:t>
      </w:r>
      <w:r w:rsidR="00676456">
        <w:t xml:space="preserve">to </w:t>
      </w:r>
      <w:r>
        <w:t xml:space="preserve">6,515,000 </w:t>
      </w:r>
      <w:r w:rsidR="00720C20">
        <w:t>c</w:t>
      </w:r>
      <w:r>
        <w:t xml:space="preserve">ubic </w:t>
      </w:r>
      <w:r w:rsidR="00720C20">
        <w:t>m</w:t>
      </w:r>
      <w:r>
        <w:t>etres per Day.</w:t>
      </w:r>
    </w:p>
    <w:p w14:paraId="6494E900" w14:textId="1D230A14" w:rsidR="005C78E8" w:rsidRDefault="00B8105A" w:rsidP="0020713C">
      <w:pPr>
        <w:pStyle w:val="ParaLevel1"/>
        <w:numPr>
          <w:ilvl w:val="0"/>
          <w:numId w:val="11"/>
        </w:numPr>
      </w:pPr>
      <w:r w:rsidRPr="00714305">
        <w:rPr>
          <w:b/>
          <w:bCs/>
        </w:rPr>
        <w:t>CC</w:t>
      </w:r>
      <w:r>
        <w:t xml:space="preserve"> </w:t>
      </w:r>
      <w:r w:rsidR="00714305">
        <w:t>w</w:t>
      </w:r>
      <w:r>
        <w:t xml:space="preserve">as </w:t>
      </w:r>
      <w:r w:rsidR="00714305">
        <w:t>“</w:t>
      </w:r>
      <w:r>
        <w:t>an amount equal to the sum of the CATS Capacities (expressed in Cubic Metres per Day) applicable on each Day of the Contract Year in question</w:t>
      </w:r>
      <w:r w:rsidR="00F47FC0">
        <w:t>”</w:t>
      </w:r>
      <w:r>
        <w:t xml:space="preserve">. </w:t>
      </w:r>
      <w:r w:rsidR="00356841">
        <w:t>The term “CATS Capacity”</w:t>
      </w:r>
      <w:r w:rsidR="007B0232">
        <w:t xml:space="preserve"> was defined as</w:t>
      </w:r>
      <w:r w:rsidR="00D435AA">
        <w:t xml:space="preserve"> “the summation of the Capacity Reservation Rate</w:t>
      </w:r>
      <w:r w:rsidR="00D9063B">
        <w:t xml:space="preserve"> and the aggregate maximum rates of delivery of Non-Capacity Gas</w:t>
      </w:r>
      <w:r w:rsidR="003113CE">
        <w:t xml:space="preserve"> notified by the CATS Operator</w:t>
      </w:r>
      <w:r w:rsidR="00E23446">
        <w:t xml:space="preserve"> pursuant to</w:t>
      </w:r>
      <w:r w:rsidR="00B62C0E">
        <w:t xml:space="preserve"> Clause 4.</w:t>
      </w:r>
      <w:r w:rsidR="009478B0">
        <w:t>6</w:t>
      </w:r>
      <w:r w:rsidR="002D1C8B">
        <w:t>(a)(vii), su</w:t>
      </w:r>
      <w:r w:rsidR="00B62C0E">
        <w:t xml:space="preserve">bject </w:t>
      </w:r>
      <w:r w:rsidR="002D1C8B">
        <w:t xml:space="preserve">to </w:t>
      </w:r>
      <w:r w:rsidR="00B62C0E">
        <w:t>any changes notified pursuant to Clause</w:t>
      </w:r>
      <w:r w:rsidR="002D1C8B">
        <w:t xml:space="preserve"> </w:t>
      </w:r>
      <w:r w:rsidR="00834DCC">
        <w:t>4.6</w:t>
      </w:r>
      <w:r w:rsidR="00B62C0E">
        <w:t>(</w:t>
      </w:r>
      <w:r w:rsidR="00834DCC">
        <w:t>b</w:t>
      </w:r>
      <w:r w:rsidR="00B62C0E">
        <w:t>)(i)</w:t>
      </w:r>
      <w:r w:rsidR="00E62E8F">
        <w:t>”</w:t>
      </w:r>
      <w:r w:rsidR="00834DCC">
        <w:t>.</w:t>
      </w:r>
      <w:r w:rsidR="00F23F9B">
        <w:t xml:space="preserve"> Thus, for the purpose of this part of the formula,</w:t>
      </w:r>
      <w:r w:rsidR="00485079">
        <w:t xml:space="preserve"> it is necessary to</w:t>
      </w:r>
      <w:r w:rsidR="00496E03">
        <w:t xml:space="preserve"> consider what it is that </w:t>
      </w:r>
      <w:r w:rsidR="007C2922">
        <w:t>wa</w:t>
      </w:r>
      <w:r w:rsidR="00496E03">
        <w:t>s required to be notified</w:t>
      </w:r>
      <w:r w:rsidR="009C28F8">
        <w:t xml:space="preserve"> pursuant to clause</w:t>
      </w:r>
      <w:r w:rsidR="00437998">
        <w:t xml:space="preserve"> 4.6</w:t>
      </w:r>
      <w:r w:rsidR="00A16C29">
        <w:t>(a)(vii)</w:t>
      </w:r>
      <w:r w:rsidR="00B86387">
        <w:t xml:space="preserve"> and what changes ha</w:t>
      </w:r>
      <w:r w:rsidR="007C2922">
        <w:t>d</w:t>
      </w:r>
      <w:r w:rsidR="00B86387">
        <w:t xml:space="preserve"> been notified pursuant to clause 4.6(b)(i)</w:t>
      </w:r>
      <w:r w:rsidR="009478B0">
        <w:t>.</w:t>
      </w:r>
    </w:p>
    <w:p w14:paraId="69D94659" w14:textId="3A3EC950" w:rsidR="0090452D" w:rsidRDefault="00B8105A" w:rsidP="0020713C">
      <w:pPr>
        <w:pStyle w:val="ParaLevel1"/>
        <w:numPr>
          <w:ilvl w:val="0"/>
          <w:numId w:val="11"/>
        </w:numPr>
      </w:pPr>
      <w:r w:rsidRPr="005C78E8">
        <w:rPr>
          <w:b/>
          <w:bCs/>
        </w:rPr>
        <w:t>OE</w:t>
      </w:r>
      <w:r>
        <w:t xml:space="preserve"> </w:t>
      </w:r>
      <w:r w:rsidR="005C78E8">
        <w:t>wa</w:t>
      </w:r>
      <w:r>
        <w:t xml:space="preserve">s </w:t>
      </w:r>
      <w:r w:rsidR="005C78E8">
        <w:t>“</w:t>
      </w:r>
      <w:r>
        <w:t>reasonable Operating Expenditures (expressed in Pounds) incurred by the CATS Parties in connection with the CATS Transportation Facilities in the Contract Year in question</w:t>
      </w:r>
      <w:r w:rsidR="005C78E8">
        <w:t>”</w:t>
      </w:r>
      <w:r>
        <w:t xml:space="preserve">. </w:t>
      </w:r>
      <w:r w:rsidR="00BB5817">
        <w:t>“</w:t>
      </w:r>
      <w:r>
        <w:t>Operating Expenditure</w:t>
      </w:r>
      <w:r w:rsidR="00BB5817">
        <w:t>”</w:t>
      </w:r>
      <w:r>
        <w:t xml:space="preserve"> </w:t>
      </w:r>
      <w:r w:rsidR="000A7122">
        <w:t>wa</w:t>
      </w:r>
      <w:r>
        <w:t xml:space="preserve">s defined </w:t>
      </w:r>
      <w:r w:rsidR="00087592">
        <w:t xml:space="preserve">as </w:t>
      </w:r>
      <w:r w:rsidR="00BA3479">
        <w:t>“</w:t>
      </w:r>
      <w:r>
        <w:t>all direct costs borne or paid by the CATS Parties to maintain and operate the CATS Transportation Facilities</w:t>
      </w:r>
      <w:r w:rsidR="00BA3479">
        <w:t>”</w:t>
      </w:r>
      <w:r>
        <w:t>.</w:t>
      </w:r>
    </w:p>
    <w:p w14:paraId="3FA48A65" w14:textId="2C33F997" w:rsidR="005A2706" w:rsidRDefault="00B8105A" w:rsidP="0020713C">
      <w:pPr>
        <w:pStyle w:val="ParaLevel1"/>
        <w:numPr>
          <w:ilvl w:val="0"/>
          <w:numId w:val="11"/>
        </w:numPr>
      </w:pPr>
      <w:r w:rsidRPr="0090452D">
        <w:rPr>
          <w:b/>
          <w:bCs/>
        </w:rPr>
        <w:t>EOE</w:t>
      </w:r>
      <w:r>
        <w:t xml:space="preserve"> </w:t>
      </w:r>
      <w:r w:rsidR="0090452D">
        <w:t>w</w:t>
      </w:r>
      <w:r>
        <w:t xml:space="preserve">as </w:t>
      </w:r>
      <w:r w:rsidR="0090452D">
        <w:t>“</w:t>
      </w:r>
      <w:r>
        <w:t>reasonable Extraordinary Operating Expenditures (expressed in Pounds) incurred by the CATS Parties in connection with the CATS Transportation Facilities in the Contract Year in question</w:t>
      </w:r>
      <w:r w:rsidR="005D3394">
        <w:t>”</w:t>
      </w:r>
      <w:r>
        <w:t xml:space="preserve">. </w:t>
      </w:r>
      <w:bookmarkStart w:id="8" w:name="_Hlk36655602"/>
      <w:r w:rsidR="005D3394">
        <w:t>“</w:t>
      </w:r>
      <w:r>
        <w:t>Extraordinary Operating Expenditures</w:t>
      </w:r>
      <w:r w:rsidR="005D3394">
        <w:t>” we</w:t>
      </w:r>
      <w:r>
        <w:t xml:space="preserve">re defined as </w:t>
      </w:r>
      <w:r w:rsidR="005D3394">
        <w:t>“</w:t>
      </w:r>
      <w:r>
        <w:t>expenditures of a non-capital non-recurring nature with respect to the operation of the CATS Transportation Facilities</w:t>
      </w:r>
      <w:r w:rsidR="005D3394">
        <w:t>”</w:t>
      </w:r>
      <w:r>
        <w:t xml:space="preserve">, not including (so far as is relevant) </w:t>
      </w:r>
      <w:r w:rsidR="005D3394">
        <w:t>“</w:t>
      </w:r>
      <w:r>
        <w:t xml:space="preserve">any costs or </w:t>
      </w:r>
      <w:r>
        <w:lastRenderedPageBreak/>
        <w:t>expenditures that may arise in respect of matters occurring prior to the date when the Capacity Fee …</w:t>
      </w:r>
      <w:r w:rsidR="00516DAC">
        <w:t xml:space="preserve"> </w:t>
      </w:r>
      <w:r>
        <w:t>becomes effective</w:t>
      </w:r>
      <w:r w:rsidR="005A2706">
        <w:t>”</w:t>
      </w:r>
      <w:r>
        <w:t>.</w:t>
      </w:r>
    </w:p>
    <w:bookmarkEnd w:id="8"/>
    <w:p w14:paraId="70315237" w14:textId="77777777" w:rsidR="00B74B98" w:rsidRDefault="00B8105A" w:rsidP="0020713C">
      <w:pPr>
        <w:pStyle w:val="ParaLevel1"/>
        <w:numPr>
          <w:ilvl w:val="0"/>
          <w:numId w:val="11"/>
        </w:numPr>
      </w:pPr>
      <w:r w:rsidRPr="005A2706">
        <w:rPr>
          <w:b/>
          <w:bCs/>
        </w:rPr>
        <w:t>CE</w:t>
      </w:r>
      <w:r>
        <w:t xml:space="preserve"> </w:t>
      </w:r>
      <w:r w:rsidR="009270FC">
        <w:t>w</w:t>
      </w:r>
      <w:r>
        <w:t xml:space="preserve">as </w:t>
      </w:r>
      <w:r w:rsidR="009270FC">
        <w:t>“</w:t>
      </w:r>
      <w:r>
        <w:t>Capital Expenditures (expressed in Pounds) amortised over their useful life reasonably and necessarily incurred by the CATS Parties after 6 o'clock a.m. on 1</w:t>
      </w:r>
      <w:r w:rsidRPr="005A2706">
        <w:rPr>
          <w:vertAlign w:val="superscript"/>
        </w:rPr>
        <w:t>st</w:t>
      </w:r>
      <w:r>
        <w:t xml:space="preserve"> October 2013 to operate the CATS Transportation Facilities</w:t>
      </w:r>
      <w:r w:rsidR="0032419B">
        <w:t>”</w:t>
      </w:r>
      <w:r>
        <w:t xml:space="preserve">. </w:t>
      </w:r>
      <w:r w:rsidR="0032419B">
        <w:t>“</w:t>
      </w:r>
      <w:r>
        <w:t>Capital Expenditures</w:t>
      </w:r>
      <w:r w:rsidR="0032419B">
        <w:t>”</w:t>
      </w:r>
      <w:r>
        <w:t xml:space="preserve"> </w:t>
      </w:r>
      <w:r w:rsidR="008A3161">
        <w:t>we</w:t>
      </w:r>
      <w:r>
        <w:t xml:space="preserve">re defined as </w:t>
      </w:r>
      <w:r w:rsidR="008A3161">
        <w:t>“</w:t>
      </w:r>
      <w:r>
        <w:t>all costs and expenditures of a capital nature for the design, purchase, construction, installation, repair or replacement of property, materials, plant and equipment, provided that Capital Expenditures shall not include any Abandonment Costs attributable to such property, materials, plant and equipment</w:t>
      </w:r>
      <w:r w:rsidR="00E150F9">
        <w:t>”</w:t>
      </w:r>
      <w:r>
        <w:t xml:space="preserve">. </w:t>
      </w:r>
    </w:p>
    <w:p w14:paraId="406273F8" w14:textId="7CE820FD" w:rsidR="00B8105A" w:rsidRDefault="00286095" w:rsidP="0020713C">
      <w:pPr>
        <w:pStyle w:val="ParaLevel1"/>
        <w:numPr>
          <w:ilvl w:val="0"/>
          <w:numId w:val="11"/>
        </w:numPr>
      </w:pPr>
      <w:r>
        <w:t>The term</w:t>
      </w:r>
      <w:r w:rsidR="00A577B3">
        <w:t xml:space="preserve"> </w:t>
      </w:r>
      <w:r w:rsidR="00415E7C">
        <w:t>“</w:t>
      </w:r>
      <w:r w:rsidR="00B8105A">
        <w:t>CATS Transportation Facilities</w:t>
      </w:r>
      <w:r w:rsidR="00415E7C">
        <w:t>”</w:t>
      </w:r>
      <w:r w:rsidR="00B8105A">
        <w:t xml:space="preserve"> (</w:t>
      </w:r>
      <w:r w:rsidR="00840FDE">
        <w:t>“</w:t>
      </w:r>
      <w:r w:rsidR="00B8105A">
        <w:t>CTF</w:t>
      </w:r>
      <w:r w:rsidR="00840FDE">
        <w:t>”</w:t>
      </w:r>
      <w:r w:rsidR="00B8105A">
        <w:t xml:space="preserve">) </w:t>
      </w:r>
      <w:r w:rsidR="00A577B3">
        <w:t>wa</w:t>
      </w:r>
      <w:r w:rsidR="00B8105A">
        <w:t xml:space="preserve">s defined </w:t>
      </w:r>
      <w:r w:rsidR="00C00B7C">
        <w:t xml:space="preserve">as </w:t>
      </w:r>
      <w:r w:rsidR="00A577B3">
        <w:t>“</w:t>
      </w:r>
      <w:r w:rsidR="00B8105A">
        <w:t>the facilities to be constructed, owned and operated by the CATS Parties, as described in Schedule I</w:t>
      </w:r>
      <w:r w:rsidR="00D105DB">
        <w:t>”</w:t>
      </w:r>
      <w:r w:rsidR="00B8105A">
        <w:t xml:space="preserve">. </w:t>
      </w:r>
    </w:p>
    <w:p w14:paraId="2A2456D8" w14:textId="4BB96DAB" w:rsidR="00B8105A" w:rsidRDefault="00AA5C3B" w:rsidP="0020713C">
      <w:pPr>
        <w:pStyle w:val="ParaLevel1"/>
      </w:pPr>
      <w:r>
        <w:t>T</w:t>
      </w:r>
      <w:r w:rsidR="00B8105A">
        <w:t xml:space="preserve">he first </w:t>
      </w:r>
      <w:r w:rsidR="00FF46C5">
        <w:t>par</w:t>
      </w:r>
      <w:r w:rsidR="00B8105A">
        <w:t xml:space="preserve">t of the Capacity Fee formula, </w:t>
      </w:r>
      <w:r w:rsidR="00B8105A" w:rsidRPr="006A21C8">
        <w:rPr>
          <w:b/>
          <w:bCs/>
        </w:rPr>
        <w:t>CRR/CC</w:t>
      </w:r>
      <w:r w:rsidR="00B8105A">
        <w:t xml:space="preserve">, </w:t>
      </w:r>
      <w:r w:rsidR="006F2192">
        <w:t>wa</w:t>
      </w:r>
      <w:r w:rsidR="00B8105A">
        <w:t xml:space="preserve">s a quotient with TGTL's reserved gas as the numerator and the total </w:t>
      </w:r>
      <w:r w:rsidR="00B22A9E">
        <w:t xml:space="preserve">CATS Capacities </w:t>
      </w:r>
      <w:r w:rsidR="0000361A">
        <w:t xml:space="preserve">(including </w:t>
      </w:r>
      <w:r w:rsidR="007E5841">
        <w:t xml:space="preserve">TGTL’s reserved gas) </w:t>
      </w:r>
      <w:r w:rsidR="00B8105A">
        <w:t xml:space="preserve">as the denominator. The second </w:t>
      </w:r>
      <w:r w:rsidR="00BF026C">
        <w:t>par</w:t>
      </w:r>
      <w:r w:rsidR="00B8105A">
        <w:t xml:space="preserve">t of the formula, </w:t>
      </w:r>
      <w:r w:rsidR="00B8105A" w:rsidRPr="003D63F2">
        <w:rPr>
          <w:b/>
          <w:bCs/>
        </w:rPr>
        <w:t>(OE + EOE + CE)</w:t>
      </w:r>
      <w:r w:rsidR="00B8105A">
        <w:t xml:space="preserve">, </w:t>
      </w:r>
      <w:r w:rsidR="00825C2F">
        <w:t>wa</w:t>
      </w:r>
      <w:r w:rsidR="00B8105A">
        <w:t xml:space="preserve">s the sum of the expenses incurred on the CTF. The first and second </w:t>
      </w:r>
      <w:r w:rsidR="00BF026C">
        <w:t>par</w:t>
      </w:r>
      <w:r w:rsidR="00B8105A">
        <w:t>ts, when multiplied together (</w:t>
      </w:r>
      <w:r w:rsidR="00B8105A" w:rsidRPr="002E4436">
        <w:rPr>
          <w:b/>
          <w:bCs/>
        </w:rPr>
        <w:t>(CRR/CC) (OE + EOE + CE)</w:t>
      </w:r>
      <w:r w:rsidR="00B8105A">
        <w:t>)</w:t>
      </w:r>
      <w:r w:rsidR="00117C4B">
        <w:t xml:space="preserve">, </w:t>
      </w:r>
      <w:r w:rsidR="006F57E4">
        <w:t>provide</w:t>
      </w:r>
      <w:r w:rsidR="00825C2F">
        <w:t>d</w:t>
      </w:r>
      <w:r w:rsidR="006F57E4">
        <w:t xml:space="preserve"> for the </w:t>
      </w:r>
      <w:r w:rsidR="000C2D28">
        <w:t xml:space="preserve">operating and capital expenses of </w:t>
      </w:r>
      <w:r w:rsidR="00D109A1">
        <w:t xml:space="preserve">maintaining </w:t>
      </w:r>
      <w:r w:rsidR="00117C4B">
        <w:t>an</w:t>
      </w:r>
      <w:r w:rsidR="0085130D">
        <w:t xml:space="preserve">d operating the CTF to be shared </w:t>
      </w:r>
      <w:r w:rsidR="00355761">
        <w:t>between TGTL and the CATS Parties,</w:t>
      </w:r>
      <w:r w:rsidR="002B2F9F">
        <w:t xml:space="preserve"> with</w:t>
      </w:r>
      <w:r w:rsidR="00BB5817">
        <w:t xml:space="preserve"> </w:t>
      </w:r>
      <w:proofErr w:type="spellStart"/>
      <w:r w:rsidR="00BB5817">
        <w:t>TGTL</w:t>
      </w:r>
      <w:r w:rsidR="00982B86">
        <w:t>’s</w:t>
      </w:r>
      <w:proofErr w:type="spellEnd"/>
      <w:r w:rsidR="00982B86">
        <w:t xml:space="preserve"> share</w:t>
      </w:r>
      <w:r w:rsidR="00A37DD1">
        <w:t xml:space="preserve"> being that </w:t>
      </w:r>
      <w:r w:rsidR="00B8105A">
        <w:t>proportion</w:t>
      </w:r>
      <w:r w:rsidR="00A37DD1">
        <w:t xml:space="preserve"> of the </w:t>
      </w:r>
      <w:r w:rsidR="00CB0564">
        <w:t xml:space="preserve">total </w:t>
      </w:r>
      <w:r w:rsidR="00A37DD1">
        <w:t>expenditure</w:t>
      </w:r>
      <w:r w:rsidR="00921218">
        <w:t xml:space="preserve"> which the share </w:t>
      </w:r>
      <w:r w:rsidR="00B8105A">
        <w:t>of</w:t>
      </w:r>
      <w:r w:rsidR="00921218">
        <w:t xml:space="preserve"> pipeline </w:t>
      </w:r>
      <w:r w:rsidR="00B8105A">
        <w:t>capacity reserved for TGTL</w:t>
      </w:r>
      <w:r w:rsidR="00921218">
        <w:t xml:space="preserve"> bore to the total</w:t>
      </w:r>
      <w:r w:rsidR="00C51888">
        <w:t xml:space="preserve"> CATS Capacities figure.</w:t>
      </w:r>
      <w:r w:rsidR="007C0873">
        <w:t xml:space="preserve"> </w:t>
      </w:r>
      <w:r w:rsidR="00B8105A">
        <w:t xml:space="preserve">The third </w:t>
      </w:r>
      <w:r w:rsidR="00CE3294">
        <w:lastRenderedPageBreak/>
        <w:t xml:space="preserve">and final </w:t>
      </w:r>
      <w:r w:rsidR="00B8105A">
        <w:t>part of the formula g</w:t>
      </w:r>
      <w:r w:rsidR="00F43A46">
        <w:t>a</w:t>
      </w:r>
      <w:r w:rsidR="00B8105A">
        <w:t>ve the CATS Parties a 15% uplift on th</w:t>
      </w:r>
      <w:r w:rsidR="005609C0">
        <w:t>e</w:t>
      </w:r>
      <w:r w:rsidR="00B8105A">
        <w:t xml:space="preserve"> sum</w:t>
      </w:r>
      <w:r w:rsidR="00354405">
        <w:t xml:space="preserve"> arrived at by multiplying the first two parts</w:t>
      </w:r>
      <w:r w:rsidR="00B8105A">
        <w:t>.</w:t>
      </w:r>
    </w:p>
    <w:p w14:paraId="2F3805D2" w14:textId="091F9A93" w:rsidR="008C6A6C" w:rsidRDefault="00A730C7" w:rsidP="0020713C">
      <w:pPr>
        <w:pStyle w:val="ParaLevel1"/>
      </w:pPr>
      <w:r>
        <w:t>Undoubtedly, therefore,</w:t>
      </w:r>
      <w:r w:rsidR="00FB5441">
        <w:t xml:space="preserve"> the formula provided</w:t>
      </w:r>
      <w:r w:rsidR="00A830EE">
        <w:t xml:space="preserve"> for a </w:t>
      </w:r>
      <w:r w:rsidR="00A009C8">
        <w:t>cost</w:t>
      </w:r>
      <w:r w:rsidR="00A830EE">
        <w:t xml:space="preserve"> sharing arrangement</w:t>
      </w:r>
      <w:r w:rsidR="00CE7162">
        <w:t>, albeit with an element of profit for the CATS Parties</w:t>
      </w:r>
      <w:r w:rsidR="00A830EE">
        <w:t>. The issue</w:t>
      </w:r>
      <w:r w:rsidR="00AC78DB">
        <w:t xml:space="preserve"> is how those costs were intended to be shared.</w:t>
      </w:r>
    </w:p>
    <w:p w14:paraId="10172FE4" w14:textId="03AFD34A" w:rsidR="00D53184" w:rsidRPr="00687DC9" w:rsidRDefault="00687DC9" w:rsidP="0020713C">
      <w:pPr>
        <w:pStyle w:val="ParaLevel1"/>
        <w:numPr>
          <w:ilvl w:val="0"/>
          <w:numId w:val="0"/>
        </w:numPr>
        <w:rPr>
          <w:b/>
          <w:bCs/>
        </w:rPr>
      </w:pPr>
      <w:r w:rsidRPr="00687DC9">
        <w:rPr>
          <w:b/>
          <w:bCs/>
        </w:rPr>
        <w:t>Clause 4.6</w:t>
      </w:r>
    </w:p>
    <w:p w14:paraId="1AA109BB" w14:textId="17BE1A7B" w:rsidR="00F13ECC" w:rsidRDefault="00E3558A" w:rsidP="0020713C">
      <w:pPr>
        <w:pStyle w:val="ParaLevel1"/>
      </w:pPr>
      <w:r>
        <w:t>This</w:t>
      </w:r>
      <w:r w:rsidR="00B60B94">
        <w:t xml:space="preserve"> appeal is concerned with </w:t>
      </w:r>
      <w:r w:rsidR="001F4EBA">
        <w:t xml:space="preserve">the </w:t>
      </w:r>
      <w:r w:rsidR="001F4EBA" w:rsidRPr="00AE2A07">
        <w:rPr>
          <w:b/>
          <w:bCs/>
        </w:rPr>
        <w:t>CC</w:t>
      </w:r>
      <w:r w:rsidR="001F4EBA">
        <w:t xml:space="preserve"> element of the formula</w:t>
      </w:r>
      <w:r w:rsidR="00F13ECC">
        <w:t>.</w:t>
      </w:r>
      <w:r w:rsidR="00F13ECC" w:rsidRPr="00F13ECC">
        <w:t xml:space="preserve"> </w:t>
      </w:r>
      <w:r w:rsidR="00F13ECC">
        <w:t xml:space="preserve">As already indicated, for this purpose it is necessary to consider what it is that </w:t>
      </w:r>
      <w:r w:rsidR="00FA468A">
        <w:t>had</w:t>
      </w:r>
      <w:r w:rsidR="00F13ECC">
        <w:t xml:space="preserve"> to be notified pursuant to clause 4.6(a)(vii) and what change</w:t>
      </w:r>
      <w:r w:rsidR="003F26D3">
        <w:t>s</w:t>
      </w:r>
      <w:r w:rsidR="00F13ECC">
        <w:t xml:space="preserve"> ha</w:t>
      </w:r>
      <w:r w:rsidR="003F26D3">
        <w:t>d</w:t>
      </w:r>
      <w:r w:rsidR="00F13ECC">
        <w:t xml:space="preserve"> been notified pursuant to clause 4.6(b)(i).</w:t>
      </w:r>
    </w:p>
    <w:p w14:paraId="59945E48" w14:textId="2D9F0759" w:rsidR="00B8105A" w:rsidRDefault="00131188" w:rsidP="0020713C">
      <w:pPr>
        <w:pStyle w:val="ParaLevel1"/>
      </w:pPr>
      <w:r>
        <w:t>Clause 4.6</w:t>
      </w:r>
      <w:r w:rsidR="000722D1">
        <w:t>(a)</w:t>
      </w:r>
      <w:r w:rsidR="003C64F2">
        <w:t xml:space="preserve"> </w:t>
      </w:r>
      <w:r w:rsidR="00AE1C38">
        <w:t>provided as follows:</w:t>
      </w:r>
    </w:p>
    <w:p w14:paraId="5B077465" w14:textId="413C91D8" w:rsidR="0011449C" w:rsidRDefault="00866118" w:rsidP="0020713C">
      <w:pPr>
        <w:pStyle w:val="Quote"/>
      </w:pPr>
      <w:r>
        <w:t>“</w:t>
      </w:r>
      <w:r w:rsidR="00EF74E1">
        <w:t>In</w:t>
      </w:r>
      <w:r w:rsidR="00953FD5">
        <w:t xml:space="preserve"> the event </w:t>
      </w:r>
      <w:r w:rsidR="00F737BB">
        <w:t>that</w:t>
      </w:r>
      <w:r w:rsidR="00E15ADE">
        <w:t xml:space="preserve"> </w:t>
      </w:r>
      <w:r w:rsidR="00953FD5">
        <w:t>the CATS</w:t>
      </w:r>
      <w:r w:rsidR="00DC05A8">
        <w:t xml:space="preserve"> parties have contracted </w:t>
      </w:r>
      <w:r w:rsidR="00E15ADE">
        <w:t xml:space="preserve">the </w:t>
      </w:r>
      <w:r w:rsidR="00DC05A8">
        <w:t xml:space="preserve">use of the CATS </w:t>
      </w:r>
      <w:r w:rsidR="00E15ADE">
        <w:t>T</w:t>
      </w:r>
      <w:r w:rsidR="00DC05A8">
        <w:t>ransportation Facilities for</w:t>
      </w:r>
      <w:r w:rsidR="003E5E12">
        <w:t xml:space="preserve"> Non-Capacity Gas, the CATS</w:t>
      </w:r>
      <w:r w:rsidR="000F0B0A">
        <w:t xml:space="preserve"> </w:t>
      </w:r>
      <w:r w:rsidR="00767999">
        <w:t>O</w:t>
      </w:r>
      <w:r w:rsidR="000F0B0A">
        <w:t>perator shall promptly, subject to the provisions of clause 24.4,</w:t>
      </w:r>
      <w:r w:rsidR="003D5D3C">
        <w:t xml:space="preserve"> give [TGTL]</w:t>
      </w:r>
      <w:r w:rsidR="00E15ADE">
        <w:t xml:space="preserve"> </w:t>
      </w:r>
      <w:r w:rsidR="00767999">
        <w:t xml:space="preserve">a </w:t>
      </w:r>
      <w:r w:rsidR="00E15ADE">
        <w:t>notice containing the following information:</w:t>
      </w:r>
      <w:r w:rsidR="00F67B1F">
        <w:t xml:space="preserve"> </w:t>
      </w:r>
    </w:p>
    <w:p w14:paraId="7E952C51" w14:textId="77777777" w:rsidR="00034FA2" w:rsidRDefault="0011449C" w:rsidP="0020713C">
      <w:pPr>
        <w:pStyle w:val="Quote"/>
      </w:pPr>
      <w:r>
        <w:t>(i) the field</w:t>
      </w:r>
      <w:r w:rsidR="00040C66">
        <w:t xml:space="preserve"> </w:t>
      </w:r>
      <w:r w:rsidR="00067548">
        <w:t>from</w:t>
      </w:r>
      <w:r w:rsidR="00040C66">
        <w:t xml:space="preserve"> which such</w:t>
      </w:r>
      <w:r w:rsidR="00041D3B">
        <w:t xml:space="preserve"> Non-Capacity Gas</w:t>
      </w:r>
      <w:r w:rsidR="0057058A">
        <w:t xml:space="preserve"> shall be produced and the facilities from which such</w:t>
      </w:r>
      <w:r w:rsidR="00D21842">
        <w:t xml:space="preserve"> </w:t>
      </w:r>
      <w:r w:rsidR="00F877F6">
        <w:t xml:space="preserve"> Non-Capacity Gas</w:t>
      </w:r>
      <w:r w:rsidR="00705801">
        <w:t xml:space="preserve"> will be metered and delivered to the CATS </w:t>
      </w:r>
      <w:r w:rsidR="006E007F">
        <w:t>Transportation Facilities;</w:t>
      </w:r>
      <w:r w:rsidR="00034FA2">
        <w:t xml:space="preserve"> </w:t>
      </w:r>
    </w:p>
    <w:p w14:paraId="34093813" w14:textId="60B8EF3E" w:rsidR="003A1FAD" w:rsidRDefault="00034FA2" w:rsidP="0020713C">
      <w:pPr>
        <w:pStyle w:val="Quote"/>
      </w:pPr>
      <w:r>
        <w:t>(ii) the</w:t>
      </w:r>
      <w:r w:rsidR="00EC1CE4">
        <w:t xml:space="preserve"> proposed point of delivery of such Non-Capacity Gas</w:t>
      </w:r>
      <w:r w:rsidR="00C06CF4">
        <w:t xml:space="preserve"> </w:t>
      </w:r>
      <w:r w:rsidR="00187780">
        <w:t>in</w:t>
      </w:r>
      <w:r w:rsidR="00C06CF4">
        <w:t xml:space="preserve">to the CATS </w:t>
      </w:r>
      <w:r w:rsidR="00187780">
        <w:t>T</w:t>
      </w:r>
      <w:r w:rsidR="00C06CF4">
        <w:t xml:space="preserve">ransportation </w:t>
      </w:r>
      <w:r w:rsidR="00187780">
        <w:t>F</w:t>
      </w:r>
      <w:r w:rsidR="00C06CF4">
        <w:t>acilities</w:t>
      </w:r>
      <w:r w:rsidR="003A1FAD">
        <w:t>;</w:t>
      </w:r>
      <w:r w:rsidR="00F30843">
        <w:t xml:space="preserve"> </w:t>
      </w:r>
    </w:p>
    <w:p w14:paraId="0B69C58B" w14:textId="77777777" w:rsidR="008360DB" w:rsidRDefault="00187780" w:rsidP="0020713C">
      <w:pPr>
        <w:pStyle w:val="Quote"/>
      </w:pPr>
      <w:r>
        <w:t>(iii) the</w:t>
      </w:r>
      <w:r w:rsidR="00F30843">
        <w:t xml:space="preserve"> proposed point</w:t>
      </w:r>
      <w:r w:rsidR="0019169F" w:rsidRPr="0019169F">
        <w:t xml:space="preserve"> </w:t>
      </w:r>
      <w:r w:rsidR="003A1FAD">
        <w:t>a</w:t>
      </w:r>
      <w:r w:rsidR="0019169F">
        <w:t>t which such Non-Capacity Gas</w:t>
      </w:r>
      <w:r w:rsidR="00BB4B2C">
        <w:t xml:space="preserve"> is to be re-delivered from the CATS Transportation Facilities;</w:t>
      </w:r>
      <w:r w:rsidR="00627FC7">
        <w:t xml:space="preserve"> </w:t>
      </w:r>
    </w:p>
    <w:p w14:paraId="08C5FFEB" w14:textId="77777777" w:rsidR="003577A2" w:rsidRDefault="00627FC7" w:rsidP="0020713C">
      <w:pPr>
        <w:pStyle w:val="Quote"/>
      </w:pPr>
      <w:r>
        <w:t>(iv) the date</w:t>
      </w:r>
      <w:r w:rsidR="005613F3">
        <w:t xml:space="preserve"> on which the transportation of such Non-Capacity Gas is proposed to commence;</w:t>
      </w:r>
      <w:r w:rsidR="008360DB">
        <w:t xml:space="preserve"> </w:t>
      </w:r>
    </w:p>
    <w:p w14:paraId="229AD660" w14:textId="77777777" w:rsidR="000972D3" w:rsidRDefault="008360DB" w:rsidP="0020713C">
      <w:pPr>
        <w:pStyle w:val="Quote"/>
      </w:pPr>
      <w:r>
        <w:t>(v) the estimated date</w:t>
      </w:r>
      <w:r w:rsidR="008B4F34">
        <w:t xml:space="preserve"> on which the transportation of such Non-Capacity </w:t>
      </w:r>
      <w:r w:rsidR="003577A2">
        <w:t>Gas</w:t>
      </w:r>
      <w:r w:rsidR="00625DA9">
        <w:t xml:space="preserve"> is proposed to terminate;</w:t>
      </w:r>
      <w:r w:rsidR="004636BA">
        <w:t xml:space="preserve"> </w:t>
      </w:r>
    </w:p>
    <w:p w14:paraId="7E02287C" w14:textId="77777777" w:rsidR="00BF2717" w:rsidRDefault="004636BA" w:rsidP="0020713C">
      <w:pPr>
        <w:pStyle w:val="Quote"/>
      </w:pPr>
      <w:r>
        <w:t>(vi) the</w:t>
      </w:r>
      <w:r w:rsidR="00AA3E05">
        <w:t xml:space="preserve"> specification in a format to be agreed of such Non-Capacity Gas</w:t>
      </w:r>
      <w:r w:rsidR="00905746">
        <w:t xml:space="preserve"> at the point referred to in paragraph (ii) </w:t>
      </w:r>
      <w:r w:rsidR="000D3C7E">
        <w:t xml:space="preserve">above </w:t>
      </w:r>
      <w:r w:rsidR="000D3C7E">
        <w:lastRenderedPageBreak/>
        <w:t>t</w:t>
      </w:r>
      <w:r w:rsidR="00AB282A">
        <w:t>oge</w:t>
      </w:r>
      <w:r w:rsidR="000D3C7E">
        <w:t>ther with a bon</w:t>
      </w:r>
      <w:r w:rsidR="00AB282A">
        <w:t>a</w:t>
      </w:r>
      <w:r w:rsidR="000D3C7E">
        <w:t xml:space="preserve"> fide estimate of the composition of such</w:t>
      </w:r>
      <w:r w:rsidR="006E03E9">
        <w:t xml:space="preserve"> Non-Capacity Gas</w:t>
      </w:r>
      <w:r w:rsidR="000972D3">
        <w:t xml:space="preserve"> </w:t>
      </w:r>
      <w:r w:rsidR="00BA4180">
        <w:t>du</w:t>
      </w:r>
      <w:r w:rsidR="000972D3">
        <w:t>ring the proposed period of transportation of such Non-Capacity Gas;</w:t>
      </w:r>
      <w:r w:rsidR="007E0175">
        <w:t xml:space="preserve"> </w:t>
      </w:r>
    </w:p>
    <w:p w14:paraId="0232313E" w14:textId="19EBB790" w:rsidR="00BF2717" w:rsidRDefault="007E0175" w:rsidP="0020713C">
      <w:pPr>
        <w:pStyle w:val="Quote"/>
      </w:pPr>
      <w:r>
        <w:t>(vii) the</w:t>
      </w:r>
      <w:r w:rsidR="00D119B8">
        <w:t xml:space="preserve"> maximum rate of delivery of Non-Capacity Gas</w:t>
      </w:r>
      <w:r w:rsidR="00CD577F">
        <w:t xml:space="preserve"> </w:t>
      </w:r>
      <w:r w:rsidR="00500B30">
        <w:t xml:space="preserve">at </w:t>
      </w:r>
      <w:r w:rsidR="00CD577F">
        <w:t>such point</w:t>
      </w:r>
      <w:r w:rsidR="00BF2717">
        <w:t xml:space="preserve"> during the proposed period of transportation; and </w:t>
      </w:r>
    </w:p>
    <w:p w14:paraId="40C9F87C" w14:textId="41224C7B" w:rsidR="00866118" w:rsidRDefault="00BF2717" w:rsidP="0020713C">
      <w:pPr>
        <w:pStyle w:val="Quote"/>
      </w:pPr>
      <w:r>
        <w:t>(viii) the bona fide but non-binding</w:t>
      </w:r>
      <w:r w:rsidR="003F590D">
        <w:t xml:space="preserve"> estimate of the aggregate quantity and composition of Non-Capacity Gas</w:t>
      </w:r>
      <w:r w:rsidR="00454DA1">
        <w:t xml:space="preserve"> (including Non-Capacity Gas</w:t>
      </w:r>
      <w:r w:rsidR="00814132">
        <w:t xml:space="preserve"> under the contract the subject of the notice under this </w:t>
      </w:r>
      <w:r w:rsidR="003E45E8">
        <w:t>Clause 4.6(a)</w:t>
      </w:r>
      <w:r w:rsidR="00C44FDB">
        <w:t>) to be delivered to the CATS</w:t>
      </w:r>
      <w:r w:rsidR="00B30905">
        <w:t xml:space="preserve"> Transportation Facilit</w:t>
      </w:r>
      <w:r w:rsidR="00D22DC8">
        <w:t>ies for each Month</w:t>
      </w:r>
      <w:r w:rsidR="00C569EB">
        <w:t xml:space="preserve"> of the current</w:t>
      </w:r>
      <w:r w:rsidR="00BB5817">
        <w:t xml:space="preserve"> and</w:t>
      </w:r>
      <w:r w:rsidR="00C569EB">
        <w:t xml:space="preserve"> each of the next</w:t>
      </w:r>
      <w:r w:rsidR="0000211F">
        <w:t xml:space="preserve"> 5 Contract Years</w:t>
      </w:r>
      <w:r w:rsidR="00A65DA9">
        <w:t xml:space="preserve"> and</w:t>
      </w:r>
      <w:r w:rsidR="00B5570D">
        <w:t xml:space="preserve"> for each Quarter</w:t>
      </w:r>
      <w:r w:rsidR="0074403A">
        <w:t xml:space="preserve"> during the remaining</w:t>
      </w:r>
      <w:r w:rsidR="00A65DA9">
        <w:t xml:space="preserve"> term</w:t>
      </w:r>
      <w:r w:rsidR="0074403A">
        <w:t xml:space="preserve"> of this Agreement.</w:t>
      </w:r>
      <w:r w:rsidR="003F16AB">
        <w:t>”</w:t>
      </w:r>
    </w:p>
    <w:p w14:paraId="4E3BDE40" w14:textId="7252FD32" w:rsidR="0022426E" w:rsidRDefault="003F16AB" w:rsidP="0020713C">
      <w:pPr>
        <w:pStyle w:val="ParaLevel1"/>
      </w:pPr>
      <w:r>
        <w:t>As</w:t>
      </w:r>
      <w:r w:rsidR="00F02BD9">
        <w:t xml:space="preserve"> originally agreed</w:t>
      </w:r>
      <w:r w:rsidR="00C37631">
        <w:t xml:space="preserve"> in </w:t>
      </w:r>
      <w:r w:rsidR="003D40B2">
        <w:t>1990, clause 4.6(b) provided:</w:t>
      </w:r>
    </w:p>
    <w:p w14:paraId="3CAB3B7D" w14:textId="77777777" w:rsidR="00FE5E37" w:rsidRDefault="00EF3890" w:rsidP="0020713C">
      <w:pPr>
        <w:pStyle w:val="Quote"/>
      </w:pPr>
      <w:r>
        <w:t>“</w:t>
      </w:r>
      <w:r w:rsidR="00BC1369">
        <w:t xml:space="preserve">No less frequently than Quarterly, the CATS Operator shall, subject to the provisions of Clause 24.4, give </w:t>
      </w:r>
      <w:r w:rsidR="005012BA">
        <w:t>[TGTL]</w:t>
      </w:r>
      <w:r w:rsidR="00BC1369">
        <w:t xml:space="preserve"> a notice containing the following information:</w:t>
      </w:r>
      <w:r w:rsidR="00924807">
        <w:t xml:space="preserve"> </w:t>
      </w:r>
    </w:p>
    <w:p w14:paraId="4D8E0F23" w14:textId="77777777" w:rsidR="00006748" w:rsidRDefault="00BC1369" w:rsidP="0020713C">
      <w:pPr>
        <w:pStyle w:val="Quote"/>
      </w:pPr>
      <w:r>
        <w:t>(i) any changes in the information previously provided pursuant to Clause 4.6(a); and</w:t>
      </w:r>
    </w:p>
    <w:p w14:paraId="6AD73DE7" w14:textId="18FDA4A0" w:rsidR="00BC1369" w:rsidRDefault="00BC1369" w:rsidP="0020713C">
      <w:pPr>
        <w:pStyle w:val="Quote"/>
      </w:pPr>
      <w:r>
        <w:t>(ii) the CATS Capacity for the ensuing Contract Year.</w:t>
      </w:r>
      <w:r w:rsidR="00F96304">
        <w:t>”</w:t>
      </w:r>
    </w:p>
    <w:p w14:paraId="55A14F29" w14:textId="1BAE8538" w:rsidR="005F4DCB" w:rsidRDefault="00F26386" w:rsidP="0020713C">
      <w:pPr>
        <w:pStyle w:val="ParaLevel1"/>
      </w:pPr>
      <w:r>
        <w:t>This clause</w:t>
      </w:r>
      <w:r w:rsidR="004F4602">
        <w:t xml:space="preserve"> was amended by Agreement No. 2 </w:t>
      </w:r>
      <w:r w:rsidR="00AC4B26">
        <w:t xml:space="preserve">dated </w:t>
      </w:r>
      <w:r w:rsidR="004019A4">
        <w:t>14</w:t>
      </w:r>
      <w:r w:rsidR="004019A4" w:rsidRPr="00262174">
        <w:rPr>
          <w:vertAlign w:val="superscript"/>
        </w:rPr>
        <w:t>th</w:t>
      </w:r>
      <w:r w:rsidR="004019A4">
        <w:t xml:space="preserve"> September</w:t>
      </w:r>
      <w:r w:rsidR="004F4602">
        <w:t xml:space="preserve"> 1998</w:t>
      </w:r>
      <w:r w:rsidR="003E2B35">
        <w:t xml:space="preserve"> between </w:t>
      </w:r>
      <w:r w:rsidR="00E22C2B">
        <w:t>TGTL and the predecessors of the CATS Parties</w:t>
      </w:r>
      <w:r w:rsidR="00D24B48">
        <w:t xml:space="preserve"> by deleting the words “No</w:t>
      </w:r>
      <w:r w:rsidR="005B02AF">
        <w:t xml:space="preserve"> less frequently than Quarterly”</w:t>
      </w:r>
      <w:r w:rsidR="00801E26">
        <w:t xml:space="preserve"> and replacing them with “From time to time</w:t>
      </w:r>
      <w:r w:rsidR="003B5021">
        <w:t xml:space="preserve"> upon receipt of a request from [</w:t>
      </w:r>
      <w:proofErr w:type="spellStart"/>
      <w:r w:rsidR="003B5021">
        <w:t>TGTL</w:t>
      </w:r>
      <w:proofErr w:type="spellEnd"/>
      <w:r w:rsidR="003B5021">
        <w:t>]</w:t>
      </w:r>
      <w:r w:rsidR="00823DBD">
        <w:t>, which request</w:t>
      </w:r>
      <w:r w:rsidR="00BB5817">
        <w:t>s</w:t>
      </w:r>
      <w:r w:rsidR="00823DBD">
        <w:t xml:space="preserve"> may be made on </w:t>
      </w:r>
      <w:r w:rsidR="00265616">
        <w:t xml:space="preserve">no </w:t>
      </w:r>
      <w:r w:rsidR="00823DBD">
        <w:t>more than one occasion in each Quarter</w:t>
      </w:r>
      <w:r w:rsidR="00BC776B">
        <w:t>”.</w:t>
      </w:r>
    </w:p>
    <w:p w14:paraId="6726C07E" w14:textId="711BE35B" w:rsidR="00265616" w:rsidRDefault="00265616" w:rsidP="0020713C">
      <w:pPr>
        <w:pStyle w:val="ParaLevel1"/>
      </w:pPr>
      <w:r>
        <w:t>Clause 4.6(c) provided:</w:t>
      </w:r>
    </w:p>
    <w:p w14:paraId="5E6ECA0A" w14:textId="5A14F301" w:rsidR="00BC1369" w:rsidRDefault="00265616" w:rsidP="0020713C">
      <w:pPr>
        <w:pStyle w:val="Quote"/>
      </w:pPr>
      <w:r>
        <w:t>“</w:t>
      </w:r>
      <w:r w:rsidR="00BC1369">
        <w:t>The foregoing information is provided for operational and planning purposes only and, so long as the information has been provided in good faith, the CATS Parties and the CATS Operator shall not be liable for the accuracy of any such information, nor shall any such information vary the respective rights and obligations of the Parties under this Agreement.</w:t>
      </w:r>
      <w:r w:rsidR="00DE3971">
        <w:t>”</w:t>
      </w:r>
    </w:p>
    <w:p w14:paraId="612F70E4" w14:textId="48EBA56B" w:rsidR="00F7312C" w:rsidRPr="00F7312C" w:rsidRDefault="003F4298" w:rsidP="0020713C">
      <w:pPr>
        <w:pStyle w:val="ParaLevel1"/>
        <w:numPr>
          <w:ilvl w:val="0"/>
          <w:numId w:val="0"/>
        </w:numPr>
        <w:ind w:left="720" w:hanging="720"/>
        <w:rPr>
          <w:b/>
          <w:bCs/>
        </w:rPr>
      </w:pPr>
      <w:r>
        <w:rPr>
          <w:b/>
          <w:bCs/>
        </w:rPr>
        <w:t xml:space="preserve">The </w:t>
      </w:r>
      <w:r w:rsidR="002E1780">
        <w:rPr>
          <w:b/>
          <w:bCs/>
        </w:rPr>
        <w:t>Allocation Principles</w:t>
      </w:r>
    </w:p>
    <w:p w14:paraId="770EE848" w14:textId="3CBDD6D6" w:rsidR="007F12E7" w:rsidRDefault="00F7312C" w:rsidP="0020713C">
      <w:pPr>
        <w:pStyle w:val="ParaLevel1"/>
      </w:pPr>
      <w:r>
        <w:lastRenderedPageBreak/>
        <w:t xml:space="preserve">The </w:t>
      </w:r>
      <w:r w:rsidR="00BB4DE3">
        <w:t>Agreement</w:t>
      </w:r>
      <w:r w:rsidR="003278B3">
        <w:t xml:space="preserve"> as originally entered into </w:t>
      </w:r>
      <w:r w:rsidR="00A30920">
        <w:t xml:space="preserve">in 1990 </w:t>
      </w:r>
      <w:r w:rsidR="00025AAB">
        <w:t>included</w:t>
      </w:r>
      <w:bookmarkStart w:id="9" w:name="para134"/>
      <w:r w:rsidR="00025AAB">
        <w:t xml:space="preserve"> </w:t>
      </w:r>
      <w:r w:rsidR="00BC1369">
        <w:t xml:space="preserve">Schedule XIII </w:t>
      </w:r>
      <w:r w:rsidR="00025AAB">
        <w:t xml:space="preserve">which </w:t>
      </w:r>
      <w:r w:rsidR="00BC1369">
        <w:t>contained</w:t>
      </w:r>
      <w:r w:rsidR="00025AAB">
        <w:t xml:space="preserve"> various </w:t>
      </w:r>
      <w:r w:rsidR="00C15D2C">
        <w:t>“</w:t>
      </w:r>
      <w:r w:rsidR="00292757">
        <w:t>Allocation Principles”</w:t>
      </w:r>
      <w:r w:rsidR="009008D6">
        <w:t>.</w:t>
      </w:r>
      <w:r w:rsidR="00171BAC">
        <w:t xml:space="preserve"> These were to apply until such time as a</w:t>
      </w:r>
      <w:r w:rsidR="00F12BF4">
        <w:t xml:space="preserve"> formal</w:t>
      </w:r>
      <w:r w:rsidR="008A07AA">
        <w:t xml:space="preserve"> Allocation Agreement was concluded</w:t>
      </w:r>
      <w:r w:rsidR="00886480">
        <w:t xml:space="preserve"> between all</w:t>
      </w:r>
      <w:r w:rsidR="000D4779">
        <w:t xml:space="preserve"> users of the pipeline</w:t>
      </w:r>
      <w:r w:rsidR="00841079">
        <w:t>.</w:t>
      </w:r>
      <w:r w:rsidR="009C2E9A">
        <w:t xml:space="preserve"> This</w:t>
      </w:r>
      <w:r w:rsidR="000C6E71">
        <w:t xml:space="preserve"> </w:t>
      </w:r>
      <w:r w:rsidR="00190CFE">
        <w:t xml:space="preserve">was eventually </w:t>
      </w:r>
      <w:r w:rsidR="000C6E71">
        <w:t>conclude</w:t>
      </w:r>
      <w:r w:rsidR="00D9743A">
        <w:t xml:space="preserve">d </w:t>
      </w:r>
      <w:r w:rsidR="00190CFE">
        <w:t>in 1998</w:t>
      </w:r>
      <w:r w:rsidR="00F56913">
        <w:t xml:space="preserve"> </w:t>
      </w:r>
      <w:r w:rsidR="00D9743A">
        <w:t xml:space="preserve">in the </w:t>
      </w:r>
      <w:r w:rsidR="00F56913">
        <w:t>form of the TAA</w:t>
      </w:r>
      <w:r w:rsidR="000D4779">
        <w:t>.</w:t>
      </w:r>
      <w:r w:rsidR="00D9743A">
        <w:t xml:space="preserve"> </w:t>
      </w:r>
      <w:r w:rsidR="00DC716D">
        <w:t xml:space="preserve">As already noted, allocation was necessary </w:t>
      </w:r>
      <w:r w:rsidR="001E28F8">
        <w:t xml:space="preserve">because the gas entered the pipeline with varying quality and composition at a number of entry points </w:t>
      </w:r>
      <w:r w:rsidR="000912F7">
        <w:t>from different fields</w:t>
      </w:r>
      <w:r w:rsidR="00A863D5">
        <w:t xml:space="preserve"> </w:t>
      </w:r>
      <w:r w:rsidR="001E28F8">
        <w:t xml:space="preserve">and was necessarily </w:t>
      </w:r>
      <w:r w:rsidR="00D8719F">
        <w:t>com</w:t>
      </w:r>
      <w:r w:rsidR="001E28F8">
        <w:t>mingled within the pipeline.</w:t>
      </w:r>
      <w:r w:rsidR="007A763B">
        <w:t xml:space="preserve"> Thus a shipper</w:t>
      </w:r>
      <w:r w:rsidR="008236CF">
        <w:t xml:space="preserve"> could not get back at redelivery</w:t>
      </w:r>
      <w:r w:rsidR="00055290">
        <w:t xml:space="preserve"> </w:t>
      </w:r>
      <w:r w:rsidR="00563785">
        <w:t xml:space="preserve">the </w:t>
      </w:r>
      <w:r w:rsidR="00055290">
        <w:t>sa</w:t>
      </w:r>
      <w:r w:rsidR="00563785">
        <w:t>me ga</w:t>
      </w:r>
      <w:r w:rsidR="00055290">
        <w:t>s or even gas of the same quality and composition</w:t>
      </w:r>
      <w:r w:rsidR="00563785">
        <w:t xml:space="preserve"> as it had delivered into the pipeline.</w:t>
      </w:r>
      <w:r w:rsidR="00E80507">
        <w:t xml:space="preserve"> A mechanism</w:t>
      </w:r>
      <w:r w:rsidR="003F5227">
        <w:t xml:space="preserve"> was therefore needed to determine what each shipper would get back.</w:t>
      </w:r>
      <w:r w:rsidR="001E28F8">
        <w:t xml:space="preserve"> </w:t>
      </w:r>
    </w:p>
    <w:p w14:paraId="2F0FE1BC" w14:textId="5F5C2403" w:rsidR="003E580E" w:rsidRDefault="007F12E7" w:rsidP="0020713C">
      <w:pPr>
        <w:pStyle w:val="ParaLevel1"/>
      </w:pPr>
      <w:r>
        <w:t xml:space="preserve">Schedule XIII </w:t>
      </w:r>
      <w:r w:rsidR="00ED18A9">
        <w:t>obliged t</w:t>
      </w:r>
      <w:r w:rsidR="00FA2D89">
        <w:t xml:space="preserve">he CATS </w:t>
      </w:r>
      <w:r w:rsidR="003E27DA">
        <w:t xml:space="preserve">Operator to </w:t>
      </w:r>
      <w:r w:rsidR="00980F52">
        <w:t>operate the</w:t>
      </w:r>
      <w:r w:rsidR="00C33B3E">
        <w:t xml:space="preserve"> allocation procedures “</w:t>
      </w:r>
      <w:r w:rsidR="00245A14">
        <w:t>on</w:t>
      </w:r>
      <w:r w:rsidR="00D57181">
        <w:t xml:space="preserve"> a basis that is demonstrably fair and equitable to all CATS Fields” (i.e. to all </w:t>
      </w:r>
      <w:r w:rsidR="00AF70EA">
        <w:t>shippers using the pipeline)</w:t>
      </w:r>
      <w:r w:rsidR="00D57181">
        <w:t xml:space="preserve">. </w:t>
      </w:r>
      <w:r w:rsidR="00506E8D">
        <w:t>Demonstrably fair arrangements were essential</w:t>
      </w:r>
      <w:r w:rsidR="0087726E">
        <w:t xml:space="preserve"> for at least t</w:t>
      </w:r>
      <w:r w:rsidR="00EF151E">
        <w:t>wo</w:t>
      </w:r>
      <w:r w:rsidR="0087726E">
        <w:t xml:space="preserve"> reasons: first,</w:t>
      </w:r>
      <w:r w:rsidR="00265957">
        <w:t xml:space="preserve"> because each </w:t>
      </w:r>
      <w:r w:rsidR="00A65B9B">
        <w:t>field</w:t>
      </w:r>
      <w:r w:rsidR="00506E8D">
        <w:t xml:space="preserve"> </w:t>
      </w:r>
      <w:r w:rsidR="00A65B9B">
        <w:t>was required to contri</w:t>
      </w:r>
      <w:r w:rsidR="005E3B69">
        <w:t>bu</w:t>
      </w:r>
      <w:r w:rsidR="00A65B9B">
        <w:t xml:space="preserve">te </w:t>
      </w:r>
      <w:r w:rsidR="00C5015D">
        <w:t>towards the “Static Volume” of gas in the pipeline,</w:t>
      </w:r>
      <w:r w:rsidR="00142227">
        <w:t xml:space="preserve"> that is to say the minimum volume of gas which was</w:t>
      </w:r>
      <w:r w:rsidR="00454F26">
        <w:t xml:space="preserve"> necessary to</w:t>
      </w:r>
      <w:r w:rsidR="00F22AE1">
        <w:t xml:space="preserve"> maintain the pipeline at the desired operating pressure</w:t>
      </w:r>
      <w:r w:rsidR="00A042E7">
        <w:t>,</w:t>
      </w:r>
      <w:r w:rsidR="00DD72F2">
        <w:t xml:space="preserve"> in circumstances where</w:t>
      </w:r>
      <w:r w:rsidR="00031CCE">
        <w:t xml:space="preserve"> the composition of such gas varied from field to field</w:t>
      </w:r>
      <w:r w:rsidR="00F26C6F">
        <w:t xml:space="preserve"> so that a simple</w:t>
      </w:r>
      <w:r w:rsidR="00B04973">
        <w:t xml:space="preserve"> quantitative comparison</w:t>
      </w:r>
      <w:r w:rsidR="00055D5D">
        <w:t xml:space="preserve"> would be inappropriate</w:t>
      </w:r>
      <w:r w:rsidR="00A65B9B">
        <w:t xml:space="preserve">; </w:t>
      </w:r>
      <w:r w:rsidR="00F453E4">
        <w:t xml:space="preserve">and </w:t>
      </w:r>
      <w:r w:rsidR="00A65B9B">
        <w:t>second,</w:t>
      </w:r>
      <w:r w:rsidR="005E3B69">
        <w:t xml:space="preserve"> </w:t>
      </w:r>
      <w:r w:rsidR="00506E8D">
        <w:t>to ensure, for example,</w:t>
      </w:r>
      <w:r w:rsidR="00977C2A">
        <w:t xml:space="preserve"> that </w:t>
      </w:r>
      <w:r w:rsidR="00BA0436">
        <w:t xml:space="preserve">a </w:t>
      </w:r>
      <w:r w:rsidR="00977C2A">
        <w:t>shipper delivering</w:t>
      </w:r>
      <w:r w:rsidR="006647D1">
        <w:t xml:space="preserve"> gas of higher quality</w:t>
      </w:r>
      <w:r w:rsidR="00D47267">
        <w:t xml:space="preserve"> into the pipeline</w:t>
      </w:r>
      <w:r w:rsidR="00023FEE">
        <w:t xml:space="preserve"> which was then </w:t>
      </w:r>
      <w:r w:rsidR="004B6BF6">
        <w:t>com</w:t>
      </w:r>
      <w:r w:rsidR="00023FEE">
        <w:t>mingled with gas of lower quality</w:t>
      </w:r>
      <w:r w:rsidR="00361B48">
        <w:t xml:space="preserve"> would obtain back</w:t>
      </w:r>
      <w:r w:rsidR="00DB6DEE">
        <w:t xml:space="preserve"> on redelivery</w:t>
      </w:r>
      <w:r w:rsidR="006504E1">
        <w:t xml:space="preserve"> an appropriate proportion of the co</w:t>
      </w:r>
      <w:r w:rsidR="00612A4F">
        <w:t>m</w:t>
      </w:r>
      <w:r w:rsidR="006504E1">
        <w:t>mingled gas</w:t>
      </w:r>
      <w:r w:rsidR="002F680D">
        <w:t>.</w:t>
      </w:r>
      <w:r w:rsidR="007B12D3">
        <w:t xml:space="preserve"> It was </w:t>
      </w:r>
      <w:r w:rsidR="00F453E4">
        <w:t>therefore</w:t>
      </w:r>
      <w:r w:rsidR="007B12D3">
        <w:t xml:space="preserve"> important</w:t>
      </w:r>
      <w:r w:rsidR="000129F2">
        <w:t xml:space="preserve"> that a shipper (such as</w:t>
      </w:r>
      <w:r w:rsidR="00D34189">
        <w:t xml:space="preserve"> TGTL)</w:t>
      </w:r>
      <w:r w:rsidR="00BB6915">
        <w:t xml:space="preserve"> </w:t>
      </w:r>
      <w:r w:rsidR="003241AC">
        <w:t>should k</w:t>
      </w:r>
      <w:r w:rsidR="00BB6915">
        <w:t>no</w:t>
      </w:r>
      <w:r w:rsidR="003241AC">
        <w:t>w</w:t>
      </w:r>
      <w:r w:rsidR="00797D15">
        <w:t xml:space="preserve"> such matters as the quantity and composition</w:t>
      </w:r>
      <w:r w:rsidR="0083134D">
        <w:t xml:space="preserve"> of gas to be delivered into the pipeline by other shippers </w:t>
      </w:r>
      <w:r w:rsidR="00FD3B1F">
        <w:t xml:space="preserve">during any relevant period </w:t>
      </w:r>
      <w:r w:rsidR="0083134D">
        <w:t xml:space="preserve">so that it could </w:t>
      </w:r>
      <w:r w:rsidR="00E23476">
        <w:t>calculate</w:t>
      </w:r>
      <w:r w:rsidR="00EF26BF">
        <w:t xml:space="preserve"> by reference to the a</w:t>
      </w:r>
      <w:r w:rsidR="004A085E">
        <w:t>llocation</w:t>
      </w:r>
      <w:r w:rsidR="00EF26BF">
        <w:t xml:space="preserve"> principles </w:t>
      </w:r>
      <w:r w:rsidR="00B1497A">
        <w:t xml:space="preserve">what </w:t>
      </w:r>
      <w:r w:rsidR="00053BA7">
        <w:t xml:space="preserve">quantity and </w:t>
      </w:r>
      <w:r w:rsidR="00053BA7">
        <w:lastRenderedPageBreak/>
        <w:t xml:space="preserve">composition of gas </w:t>
      </w:r>
      <w:r w:rsidR="00B1497A">
        <w:t xml:space="preserve">would be </w:t>
      </w:r>
      <w:r w:rsidR="00784DA7">
        <w:t>r</w:t>
      </w:r>
      <w:r w:rsidR="00B1497A">
        <w:t>et</w:t>
      </w:r>
      <w:r w:rsidR="00784DA7">
        <w:t xml:space="preserve">urned </w:t>
      </w:r>
      <w:r w:rsidR="00B1497A">
        <w:t>t</w:t>
      </w:r>
      <w:r w:rsidR="00784DA7">
        <w:t xml:space="preserve">o </w:t>
      </w:r>
      <w:r w:rsidR="00B1497A">
        <w:t>i</w:t>
      </w:r>
      <w:r w:rsidR="00784DA7">
        <w:t>t at the redelivery point</w:t>
      </w:r>
      <w:r w:rsidR="006504E1">
        <w:t>.</w:t>
      </w:r>
      <w:r w:rsidR="00216EA0">
        <w:t xml:space="preserve"> </w:t>
      </w:r>
      <w:r w:rsidR="00973FC3">
        <w:t>Consequently t</w:t>
      </w:r>
      <w:r w:rsidR="00216EA0">
        <w:t>he allocation principles</w:t>
      </w:r>
      <w:r w:rsidR="00C04E0F">
        <w:t>, whether</w:t>
      </w:r>
      <w:r w:rsidR="003E766B">
        <w:t xml:space="preserve"> contained in Schedule</w:t>
      </w:r>
      <w:r w:rsidR="00973FC3">
        <w:t xml:space="preserve"> </w:t>
      </w:r>
      <w:r w:rsidR="003E766B">
        <w:t>XIII to the A</w:t>
      </w:r>
      <w:r w:rsidR="00720C20">
        <w:t>greement</w:t>
      </w:r>
      <w:r w:rsidR="003E766B">
        <w:t xml:space="preserve"> or (from 1998) the TAA</w:t>
      </w:r>
      <w:r w:rsidR="00720C20">
        <w:t>,</w:t>
      </w:r>
      <w:r w:rsidR="003E766B">
        <w:t xml:space="preserve"> </w:t>
      </w:r>
      <w:r w:rsidR="00973FC3">
        <w:t>were</w:t>
      </w:r>
      <w:r w:rsidR="00D54593">
        <w:t xml:space="preserve"> fundamental</w:t>
      </w:r>
      <w:r w:rsidR="007B0F9E">
        <w:t xml:space="preserve"> to the operation of the pipeline from the outset.</w:t>
      </w:r>
      <w:r w:rsidR="00973FC3">
        <w:t xml:space="preserve"> </w:t>
      </w:r>
    </w:p>
    <w:p w14:paraId="1B0BF8A0" w14:textId="6C147827" w:rsidR="00F47FC5" w:rsidRDefault="00635D60" w:rsidP="0020713C">
      <w:pPr>
        <w:pStyle w:val="ParaLevel1"/>
      </w:pPr>
      <w:r>
        <w:t>The way in which</w:t>
      </w:r>
      <w:r w:rsidR="00123217">
        <w:t xml:space="preserve"> </w:t>
      </w:r>
      <w:r w:rsidR="00A14B0C">
        <w:t>Schedule</w:t>
      </w:r>
      <w:r w:rsidR="00181CC7">
        <w:t xml:space="preserve"> </w:t>
      </w:r>
      <w:r w:rsidR="003F3415">
        <w:t xml:space="preserve">XIII </w:t>
      </w:r>
      <w:r w:rsidR="00123217">
        <w:t xml:space="preserve">sought to achieve these objectives </w:t>
      </w:r>
      <w:r w:rsidR="004E5BC0">
        <w:t>was through a series of formulae</w:t>
      </w:r>
      <w:r w:rsidR="00F321B1">
        <w:t xml:space="preserve"> which </w:t>
      </w:r>
      <w:r w:rsidR="008D0B83">
        <w:t xml:space="preserve">used the Capacity Reservation Rate </w:t>
      </w:r>
      <w:r w:rsidR="008E62A9">
        <w:t>(i.e.</w:t>
      </w:r>
      <w:r w:rsidR="001E6409">
        <w:t xml:space="preserve"> the capacity</w:t>
      </w:r>
      <w:r w:rsidR="00350120">
        <w:t xml:space="preserve"> </w:t>
      </w:r>
      <w:r w:rsidR="001E6409">
        <w:t xml:space="preserve">reserved </w:t>
      </w:r>
      <w:r w:rsidR="00350120">
        <w:t>by TGTL</w:t>
      </w:r>
      <w:r w:rsidR="00A50C7E">
        <w:t>)</w:t>
      </w:r>
      <w:r w:rsidR="00350120">
        <w:t xml:space="preserve"> </w:t>
      </w:r>
      <w:r w:rsidR="00696146">
        <w:t>plus</w:t>
      </w:r>
      <w:r w:rsidR="00350120">
        <w:t xml:space="preserve"> (for third party shippers) the concept of “Booked Capacity”. This was </w:t>
      </w:r>
      <w:r w:rsidR="00BC1369">
        <w:t>defin</w:t>
      </w:r>
      <w:r w:rsidR="00350120">
        <w:t xml:space="preserve">ed </w:t>
      </w:r>
      <w:r w:rsidR="00BC1369">
        <w:t xml:space="preserve">as </w:t>
      </w:r>
      <w:r w:rsidR="00F47FC5">
        <w:t>follows:</w:t>
      </w:r>
    </w:p>
    <w:p w14:paraId="1F3C1FDA" w14:textId="27BEBE55" w:rsidR="0083201E" w:rsidRDefault="0057105F" w:rsidP="0020713C">
      <w:pPr>
        <w:pStyle w:val="Quote"/>
      </w:pPr>
      <w:r>
        <w:t>“</w:t>
      </w:r>
      <w:r w:rsidR="00F64BBA">
        <w:t>‘</w:t>
      </w:r>
      <w:r>
        <w:t xml:space="preserve">Booked </w:t>
      </w:r>
      <w:r w:rsidR="00F64BBA">
        <w:t>Capacity</w:t>
      </w:r>
      <w:r w:rsidR="00075305">
        <w:t xml:space="preserve">’ </w:t>
      </w:r>
      <w:r w:rsidR="00BC1369">
        <w:t>mean</w:t>
      </w:r>
      <w:r w:rsidR="00075305">
        <w:t xml:space="preserve">s </w:t>
      </w:r>
      <w:r w:rsidR="00BC1369">
        <w:t>for a Producing Designated Field the Notified Rate for that field and for a Non-Designated Field the maximum rate of delivery of Non-Capacity Gas notified by the CATS Operator pursuant to Clause 4.6(a)(vii) of the Agreement</w:t>
      </w:r>
      <w:r w:rsidR="002C3A67">
        <w:t>”</w:t>
      </w:r>
      <w:r w:rsidR="00BC1369">
        <w:t>.</w:t>
      </w:r>
    </w:p>
    <w:p w14:paraId="6E8FBA1D" w14:textId="41DE885F" w:rsidR="002A2AF9" w:rsidRDefault="007D5B88" w:rsidP="0020713C">
      <w:pPr>
        <w:pStyle w:val="ParaLevel1"/>
      </w:pPr>
      <w:bookmarkStart w:id="10" w:name="para135"/>
      <w:bookmarkEnd w:id="9"/>
      <w:r>
        <w:t>A “Producing Designated Field” was</w:t>
      </w:r>
      <w:r w:rsidR="00DB65B7">
        <w:t xml:space="preserve"> a field </w:t>
      </w:r>
      <w:r w:rsidR="001958E1">
        <w:t xml:space="preserve">from which TGTL was shipping gas, </w:t>
      </w:r>
      <w:r w:rsidR="00A11B62">
        <w:t>wh</w:t>
      </w:r>
      <w:r w:rsidR="00D373BC">
        <w:t>il</w:t>
      </w:r>
      <w:r w:rsidR="00A11B62">
        <w:t>e</w:t>
      </w:r>
      <w:r w:rsidR="004A4A80">
        <w:t xml:space="preserve"> a “Non-Designated Field”</w:t>
      </w:r>
      <w:r w:rsidR="00B537D5">
        <w:t xml:space="preserve"> was a field from which</w:t>
      </w:r>
      <w:r w:rsidR="009F5656">
        <w:t xml:space="preserve"> </w:t>
      </w:r>
      <w:r w:rsidR="00D8753A">
        <w:t xml:space="preserve">a </w:t>
      </w:r>
      <w:r w:rsidR="009F5656">
        <w:t>third-party shipper w</w:t>
      </w:r>
      <w:r w:rsidR="00D8753A">
        <w:t>as</w:t>
      </w:r>
      <w:r w:rsidR="009F5656">
        <w:t xml:space="preserve"> shipping gas. </w:t>
      </w:r>
      <w:r w:rsidR="009E3228">
        <w:t>T</w:t>
      </w:r>
      <w:r w:rsidR="0093261F">
        <w:t xml:space="preserve">he “Notified Rate” </w:t>
      </w:r>
      <w:r w:rsidR="00A47EAD">
        <w:t xml:space="preserve">(applicable to TGTL fields) </w:t>
      </w:r>
      <w:r w:rsidR="00F716BD">
        <w:t>was defined as “</w:t>
      </w:r>
      <w:r w:rsidR="00C507B8">
        <w:t xml:space="preserve">the maximum rate of delivery </w:t>
      </w:r>
      <w:r w:rsidR="00156A9A">
        <w:t>(which … shall</w:t>
      </w:r>
      <w:r w:rsidR="005B0672">
        <w:t xml:space="preserve"> not exceed the </w:t>
      </w:r>
      <w:r w:rsidR="00D12E9A">
        <w:t>C</w:t>
      </w:r>
      <w:r w:rsidR="005B0672">
        <w:t>apacity Re</w:t>
      </w:r>
      <w:r w:rsidR="00AE04D6">
        <w:t>servat</w:t>
      </w:r>
      <w:r w:rsidR="005B0672">
        <w:t xml:space="preserve">ion </w:t>
      </w:r>
      <w:r w:rsidR="00897567">
        <w:t>R</w:t>
      </w:r>
      <w:r w:rsidR="005B0672">
        <w:t xml:space="preserve">ate) </w:t>
      </w:r>
      <w:r w:rsidR="0014616A">
        <w:t>of such Capacity Gas a</w:t>
      </w:r>
      <w:r w:rsidR="00897567">
        <w:t>t</w:t>
      </w:r>
      <w:r w:rsidR="0014616A">
        <w:t xml:space="preserve"> the proposed Entry Point during the proposed period of Transportation S</w:t>
      </w:r>
      <w:r w:rsidR="00C31AF5">
        <w:t>ervice</w:t>
      </w:r>
      <w:r w:rsidR="00460F95">
        <w:t>”</w:t>
      </w:r>
      <w:r w:rsidR="0014616A">
        <w:t>.</w:t>
      </w:r>
      <w:r w:rsidR="00AA24A6">
        <w:t xml:space="preserve"> </w:t>
      </w:r>
      <w:r w:rsidR="0041003B">
        <w:t>In essence</w:t>
      </w:r>
      <w:r w:rsidR="00AF5016">
        <w:t>,</w:t>
      </w:r>
      <w:r w:rsidR="00DA6AD9">
        <w:t xml:space="preserve"> having reserved</w:t>
      </w:r>
      <w:r w:rsidR="00313DF3">
        <w:t xml:space="preserve"> the right to ship gas up to the maximum</w:t>
      </w:r>
      <w:r w:rsidR="002874F6">
        <w:t xml:space="preserve"> rate reserved (</w:t>
      </w:r>
      <w:r w:rsidR="00FA6C72">
        <w:t>i.e. the Capacity Reservation Rate), TGTL</w:t>
      </w:r>
      <w:r w:rsidR="00200DFB">
        <w:t xml:space="preserve"> was required to</w:t>
      </w:r>
      <w:r w:rsidR="00D10B06">
        <w:t xml:space="preserve"> notify the CATS Parties</w:t>
      </w:r>
      <w:r w:rsidR="00BA16AB">
        <w:t xml:space="preserve"> how </w:t>
      </w:r>
      <w:r w:rsidR="00645D9D">
        <w:t>much of the capacity which it had reserved</w:t>
      </w:r>
      <w:r w:rsidR="006C6F64">
        <w:t xml:space="preserve"> </w:t>
      </w:r>
      <w:r w:rsidR="00BA16AB">
        <w:t>it intended to use</w:t>
      </w:r>
      <w:r w:rsidR="00462BB8">
        <w:t xml:space="preserve"> to ship from any particular field</w:t>
      </w:r>
      <w:r w:rsidR="00645D9D">
        <w:t>.</w:t>
      </w:r>
      <w:r w:rsidR="002874F6">
        <w:t xml:space="preserve"> </w:t>
      </w:r>
    </w:p>
    <w:p w14:paraId="0B188B4E" w14:textId="6C380B99" w:rsidR="00DC7879" w:rsidRDefault="00C35375" w:rsidP="0020713C">
      <w:pPr>
        <w:pStyle w:val="ParaLevel1"/>
      </w:pPr>
      <w:r>
        <w:t>Thus the “Booked Capacity”</w:t>
      </w:r>
      <w:r w:rsidR="009C76C2">
        <w:t xml:space="preserve"> consisted of </w:t>
      </w:r>
      <w:r w:rsidR="008368F8">
        <w:t xml:space="preserve">the total of </w:t>
      </w:r>
      <w:r w:rsidR="006C6F64">
        <w:t xml:space="preserve">two elements, namely </w:t>
      </w:r>
      <w:r w:rsidR="00C33AAE">
        <w:t>(</w:t>
      </w:r>
      <w:r w:rsidR="00162B41">
        <w:t>a</w:t>
      </w:r>
      <w:r w:rsidR="00C33AAE">
        <w:t xml:space="preserve">) </w:t>
      </w:r>
      <w:r w:rsidR="008C426D">
        <w:t xml:space="preserve">the maximum </w:t>
      </w:r>
      <w:r w:rsidR="00BE4143">
        <w:t xml:space="preserve">rate </w:t>
      </w:r>
      <w:r w:rsidR="000C31CF">
        <w:t xml:space="preserve">of delivery </w:t>
      </w:r>
      <w:r w:rsidR="00E52F31">
        <w:t xml:space="preserve">of </w:t>
      </w:r>
      <w:r w:rsidR="009C76C2">
        <w:t>gas</w:t>
      </w:r>
      <w:r w:rsidR="00927250">
        <w:t xml:space="preserve"> </w:t>
      </w:r>
      <w:r w:rsidR="00C33AAE">
        <w:t xml:space="preserve">to be </w:t>
      </w:r>
      <w:r w:rsidR="00927250">
        <w:t>sh</w:t>
      </w:r>
      <w:r w:rsidR="00C33AAE">
        <w:t xml:space="preserve">ipped </w:t>
      </w:r>
      <w:r w:rsidR="00047946">
        <w:t xml:space="preserve">from a field </w:t>
      </w:r>
      <w:r w:rsidR="00927250">
        <w:t>by</w:t>
      </w:r>
      <w:r w:rsidR="008368F8">
        <w:t xml:space="preserve"> TGTL </w:t>
      </w:r>
      <w:r w:rsidR="002B439C">
        <w:t xml:space="preserve">during a relevant period </w:t>
      </w:r>
      <w:r w:rsidR="008368F8">
        <w:t xml:space="preserve">pursuant to the </w:t>
      </w:r>
      <w:r w:rsidR="002B439C">
        <w:t>Agreement</w:t>
      </w:r>
      <w:r w:rsidR="00A13B3E">
        <w:t>,</w:t>
      </w:r>
      <w:r w:rsidR="002B439C">
        <w:t xml:space="preserve"> </w:t>
      </w:r>
      <w:r w:rsidR="008368F8">
        <w:t>and</w:t>
      </w:r>
      <w:r w:rsidR="00B544BE">
        <w:t xml:space="preserve"> (</w:t>
      </w:r>
      <w:r w:rsidR="002B439C">
        <w:t>b</w:t>
      </w:r>
      <w:r w:rsidR="00B544BE">
        <w:t xml:space="preserve">) the maximum rate of </w:t>
      </w:r>
      <w:r w:rsidR="00B544BE">
        <w:lastRenderedPageBreak/>
        <w:t xml:space="preserve">delivery of </w:t>
      </w:r>
      <w:r w:rsidR="00E336FE">
        <w:t xml:space="preserve">Non-Capacity </w:t>
      </w:r>
      <w:r w:rsidR="00FB5621">
        <w:t>Gas</w:t>
      </w:r>
      <w:r w:rsidR="00A21F1D">
        <w:t xml:space="preserve"> which had been notified pursuant to a clause 4.6(a)(vii) notice. </w:t>
      </w:r>
      <w:r w:rsidR="00453E87">
        <w:t>It is sufficient</w:t>
      </w:r>
      <w:r w:rsidR="00B32B7B">
        <w:t xml:space="preserve"> to take one example of the</w:t>
      </w:r>
      <w:r w:rsidR="00F53266">
        <w:t xml:space="preserve"> form</w:t>
      </w:r>
      <w:r w:rsidR="00A25AD8">
        <w:t>ulae</w:t>
      </w:r>
      <w:r w:rsidR="00F53266">
        <w:t xml:space="preserve"> in which these concepts were deployed, namely the </w:t>
      </w:r>
      <w:r w:rsidR="009424E3">
        <w:t>formula for calculating</w:t>
      </w:r>
      <w:r w:rsidR="005563D8">
        <w:t xml:space="preserve"> each</w:t>
      </w:r>
      <w:r w:rsidR="00100B3C">
        <w:t xml:space="preserve"> field’s contribution to the Static Volume.</w:t>
      </w:r>
      <w:r w:rsidR="000951F2">
        <w:t xml:space="preserve"> This was contained in Section </w:t>
      </w:r>
      <w:r w:rsidR="00FA034B">
        <w:t>IX.2 of Schedule XIII as follows:</w:t>
      </w:r>
    </w:p>
    <w:p w14:paraId="060F2614" w14:textId="77777777" w:rsidR="003C74DA" w:rsidRDefault="00FA034B" w:rsidP="0020713C">
      <w:pPr>
        <w:pStyle w:val="Quote"/>
      </w:pPr>
      <w:r>
        <w:t>“</w:t>
      </w:r>
      <w:r w:rsidR="00A6112F">
        <w:t>The</w:t>
      </w:r>
      <w:r w:rsidR="0089645A">
        <w:t xml:space="preserve"> contribution to the Static Volume for each CATS Field</w:t>
      </w:r>
      <w:r w:rsidR="00A62A4D">
        <w:t xml:space="preserve"> will be as follows:</w:t>
      </w:r>
      <w:r w:rsidR="003C74DA">
        <w:t xml:space="preserve"> </w:t>
      </w:r>
    </w:p>
    <w:p w14:paraId="0BEAB10F" w14:textId="6047DA40" w:rsidR="00B75BB0" w:rsidRDefault="003C74DA" w:rsidP="0020713C">
      <w:pPr>
        <w:pStyle w:val="Quote"/>
      </w:pPr>
      <w:r>
        <w:t>(a) where the</w:t>
      </w:r>
      <w:r w:rsidR="00734289">
        <w:t xml:space="preserve"> </w:t>
      </w:r>
      <w:r w:rsidR="0077543A">
        <w:t>to</w:t>
      </w:r>
      <w:r w:rsidR="00734289">
        <w:t xml:space="preserve">tal of the Notified </w:t>
      </w:r>
      <w:r w:rsidR="0077543A">
        <w:t>R</w:t>
      </w:r>
      <w:r w:rsidR="00734289">
        <w:t>ate</w:t>
      </w:r>
      <w:r w:rsidR="0077543A">
        <w:t>s</w:t>
      </w:r>
      <w:r w:rsidR="00734289">
        <w:t xml:space="preserve"> </w:t>
      </w:r>
      <w:r w:rsidR="0077543A">
        <w:t>f</w:t>
      </w:r>
      <w:r w:rsidR="00734289">
        <w:t xml:space="preserve">or all </w:t>
      </w:r>
      <w:r w:rsidR="0025796F">
        <w:t>P</w:t>
      </w:r>
      <w:r w:rsidR="00734289">
        <w:t xml:space="preserve">roducing Designated </w:t>
      </w:r>
      <w:r w:rsidR="0025796F">
        <w:t>F</w:t>
      </w:r>
      <w:r w:rsidR="00734289">
        <w:t>ield</w:t>
      </w:r>
      <w:r w:rsidR="0025796F">
        <w:t>s</w:t>
      </w:r>
      <w:r w:rsidR="00842C30">
        <w:t xml:space="preserve"> does not exceed the Capacity Reservation Rate, the product of (i)</w:t>
      </w:r>
      <w:r w:rsidR="00BE5A10">
        <w:t xml:space="preserve"> a fr</w:t>
      </w:r>
      <w:r w:rsidR="00B5376E">
        <w:t>act</w:t>
      </w:r>
      <w:r w:rsidR="00BE5A10">
        <w:t>i</w:t>
      </w:r>
      <w:r w:rsidR="00B5376E">
        <w:t>o</w:t>
      </w:r>
      <w:r w:rsidR="00BE5A10">
        <w:t>n, the numerator of which is that CATS Field’s</w:t>
      </w:r>
      <w:r w:rsidR="00D86CC6">
        <w:t xml:space="preserve"> </w:t>
      </w:r>
      <w:r w:rsidR="00BB5817">
        <w:t>Booked C</w:t>
      </w:r>
      <w:r w:rsidR="00D86CC6">
        <w:t xml:space="preserve">apacity </w:t>
      </w:r>
      <w:r w:rsidR="00297B54">
        <w:t>and</w:t>
      </w:r>
      <w:r w:rsidR="00D86CC6">
        <w:t xml:space="preserve"> the denominator of which is the total of the Booked Capacities for all CATS Fields</w:t>
      </w:r>
      <w:r w:rsidR="0077543A">
        <w:t>, time</w:t>
      </w:r>
      <w:r w:rsidR="00B75BB0">
        <w:t>s</w:t>
      </w:r>
      <w:r w:rsidR="00A65DA9">
        <w:t xml:space="preserve"> (ii) Static V</w:t>
      </w:r>
      <w:r w:rsidR="0077543A">
        <w:t>olume</w:t>
      </w:r>
      <w:r w:rsidR="00B75BB0">
        <w:t xml:space="preserve">; </w:t>
      </w:r>
    </w:p>
    <w:p w14:paraId="0EB7F794" w14:textId="4A40A9ED" w:rsidR="00FA034B" w:rsidRDefault="00B75BB0" w:rsidP="0020713C">
      <w:pPr>
        <w:pStyle w:val="Quote"/>
      </w:pPr>
      <w:r>
        <w:t>(b) where the</w:t>
      </w:r>
      <w:r w:rsidR="00527AD8">
        <w:t xml:space="preserve"> </w:t>
      </w:r>
      <w:r w:rsidR="007D0ADD">
        <w:t xml:space="preserve">total </w:t>
      </w:r>
      <w:r w:rsidR="00527AD8">
        <w:t>of the Notified</w:t>
      </w:r>
      <w:r w:rsidR="007D0ADD">
        <w:t xml:space="preserve"> Rates for all </w:t>
      </w:r>
      <w:r w:rsidR="001B1D73">
        <w:t>P</w:t>
      </w:r>
      <w:r w:rsidR="007D0ADD">
        <w:t>roducing Designated Fields exceeds the Capacity Reservation Rate, for each Producing Designated Field</w:t>
      </w:r>
      <w:r w:rsidR="00ED5996">
        <w:t>:</w:t>
      </w:r>
    </w:p>
    <w:p w14:paraId="701220C1" w14:textId="3FB7E31F" w:rsidR="00D42D15" w:rsidRDefault="00D6168A" w:rsidP="0020713C">
      <w:pPr>
        <w:pStyle w:val="Quote"/>
      </w:pPr>
      <w:r>
        <w:t>(</w:t>
      </w:r>
      <w:r w:rsidR="00983755">
        <w:t>CRR /</w:t>
      </w:r>
      <w:r w:rsidR="003F510F">
        <w:t xml:space="preserve"> </w:t>
      </w:r>
      <w:r w:rsidR="00377ECD">
        <w:t>CRR + Total Booked Capacity for all Non-Designated Fields</w:t>
      </w:r>
      <w:r>
        <w:t>)</w:t>
      </w:r>
      <w:r w:rsidR="000D1E11">
        <w:t xml:space="preserve"> *</w:t>
      </w:r>
      <w:r>
        <w:t xml:space="preserve"> (</w:t>
      </w:r>
      <w:r w:rsidR="00FA367B">
        <w:t xml:space="preserve">Producing </w:t>
      </w:r>
      <w:r w:rsidR="00E43E65">
        <w:t xml:space="preserve">Designated </w:t>
      </w:r>
      <w:r w:rsidR="00FA367B">
        <w:t>Field’s Notified Rate</w:t>
      </w:r>
      <w:r w:rsidR="000C309C">
        <w:t xml:space="preserve"> </w:t>
      </w:r>
      <w:r w:rsidR="007F5DBF">
        <w:t>/</w:t>
      </w:r>
      <w:r w:rsidR="000C309C">
        <w:t xml:space="preserve"> </w:t>
      </w:r>
      <w:r w:rsidR="007F5DBF">
        <w:t xml:space="preserve">Total Notified </w:t>
      </w:r>
      <w:r w:rsidR="00E64619">
        <w:t xml:space="preserve">Rate for all Producing Designated Fields) </w:t>
      </w:r>
      <w:r w:rsidR="000E757C">
        <w:t xml:space="preserve">* </w:t>
      </w:r>
      <w:r w:rsidR="00E64619">
        <w:t>(the Static Volume)</w:t>
      </w:r>
      <w:r w:rsidR="000E757C">
        <w:t>”</w:t>
      </w:r>
    </w:p>
    <w:p w14:paraId="77ADC4A5" w14:textId="06F7EB7F" w:rsidR="00CB1E5B" w:rsidRDefault="00766D8A" w:rsidP="0020713C">
      <w:pPr>
        <w:pStyle w:val="ParaLevel1"/>
      </w:pPr>
      <w:r>
        <w:t>Other formulae made similar use of the concept of “Booked Capacity”.</w:t>
      </w:r>
    </w:p>
    <w:p w14:paraId="61AD4B5E" w14:textId="6D4A5074" w:rsidR="00A62A4D" w:rsidRDefault="00C635F3" w:rsidP="0020713C">
      <w:pPr>
        <w:pStyle w:val="ParaLevel1"/>
      </w:pPr>
      <w:r>
        <w:t xml:space="preserve">In the case of </w:t>
      </w:r>
      <w:r w:rsidR="00D83360">
        <w:t>shipments by</w:t>
      </w:r>
      <w:r w:rsidR="00D80858" w:rsidRPr="00D80858">
        <w:t xml:space="preserve"> </w:t>
      </w:r>
      <w:r w:rsidR="00D80858">
        <w:t>third party shippers from Non-Desi</w:t>
      </w:r>
      <w:r w:rsidR="00D83360">
        <w:t>gnated Fields</w:t>
      </w:r>
      <w:r w:rsidR="00920B33">
        <w:t>,</w:t>
      </w:r>
      <w:r w:rsidR="004418CB">
        <w:t xml:space="preserve"> th</w:t>
      </w:r>
      <w:r w:rsidR="00766D8A">
        <w:t>is</w:t>
      </w:r>
      <w:r w:rsidR="004418CB">
        <w:t xml:space="preserve"> concept </w:t>
      </w:r>
      <w:r w:rsidR="003D3C28">
        <w:t xml:space="preserve">(as the name </w:t>
      </w:r>
      <w:r w:rsidR="00365A35">
        <w:t xml:space="preserve">suggests and the context makes clear) </w:t>
      </w:r>
      <w:r w:rsidR="00A363B0">
        <w:t xml:space="preserve">can only be </w:t>
      </w:r>
      <w:r w:rsidR="00595231">
        <w:t xml:space="preserve">a reference to the </w:t>
      </w:r>
      <w:r w:rsidR="00372F7E">
        <w:t xml:space="preserve">capacity actually reserved </w:t>
      </w:r>
      <w:r w:rsidR="00A363B0">
        <w:t xml:space="preserve">(or booked) </w:t>
      </w:r>
      <w:r w:rsidR="00372F7E">
        <w:t>from time to time</w:t>
      </w:r>
      <w:r w:rsidR="008C16E4">
        <w:t>,</w:t>
      </w:r>
      <w:r w:rsidR="00522611" w:rsidRPr="00522611">
        <w:t xml:space="preserve"> </w:t>
      </w:r>
      <w:r w:rsidR="001D213A">
        <w:t>yet it is defined as “</w:t>
      </w:r>
      <w:r w:rsidR="00522611">
        <w:t>the maximum rate of delivery of Non-Capacity Gas notified by the CATS Operator pursuant to Clause 4.6(a)(vii)</w:t>
      </w:r>
      <w:r w:rsidR="00AF7511">
        <w:t>”.</w:t>
      </w:r>
    </w:p>
    <w:p w14:paraId="56FD671A" w14:textId="0A73653A" w:rsidR="00A67A34" w:rsidRPr="00A62A4D" w:rsidRDefault="00A67A34" w:rsidP="0020713C">
      <w:pPr>
        <w:pStyle w:val="ParaLevel1"/>
      </w:pPr>
      <w:r>
        <w:t>Evidently the denominator “CRR + Total Booked Capacity for all Non-Designated Fields”</w:t>
      </w:r>
      <w:r w:rsidR="001203EB">
        <w:t xml:space="preserve"> was intended to play</w:t>
      </w:r>
      <w:r w:rsidR="00B738E5">
        <w:t xml:space="preserve"> </w:t>
      </w:r>
      <w:r w:rsidR="00C17B27">
        <w:t xml:space="preserve">essentially the same role </w:t>
      </w:r>
      <w:r w:rsidR="00B738E5">
        <w:t>in the calculation of the Static Volume</w:t>
      </w:r>
      <w:r w:rsidR="00EF3AB5">
        <w:t xml:space="preserve"> as</w:t>
      </w:r>
      <w:r w:rsidR="003413B8">
        <w:t xml:space="preserve"> played by the concept of “CATS Capacities”</w:t>
      </w:r>
      <w:r w:rsidR="008C3CAB">
        <w:t xml:space="preserve"> </w:t>
      </w:r>
      <w:r w:rsidR="008C3CAB">
        <w:lastRenderedPageBreak/>
        <w:t xml:space="preserve">in </w:t>
      </w:r>
      <w:r w:rsidR="004D763F">
        <w:t xml:space="preserve">the </w:t>
      </w:r>
      <w:r w:rsidR="008C3CAB">
        <w:t>calculation of the Capacity Fee payable by TGTL</w:t>
      </w:r>
      <w:r w:rsidR="00AD4DB1">
        <w:t xml:space="preserve"> in the later years of the A</w:t>
      </w:r>
      <w:r w:rsidR="001740F2">
        <w:t>greement</w:t>
      </w:r>
      <w:r w:rsidR="00AD4DB1">
        <w:t>.</w:t>
      </w:r>
    </w:p>
    <w:p w14:paraId="2754573C" w14:textId="150A0DFC" w:rsidR="00FA034B" w:rsidRPr="009617A4" w:rsidRDefault="009617A4" w:rsidP="0020713C">
      <w:pPr>
        <w:pStyle w:val="ParaLevel1"/>
        <w:numPr>
          <w:ilvl w:val="0"/>
          <w:numId w:val="0"/>
        </w:numPr>
        <w:rPr>
          <w:b/>
          <w:bCs/>
        </w:rPr>
      </w:pPr>
      <w:r w:rsidRPr="009617A4">
        <w:rPr>
          <w:b/>
          <w:bCs/>
        </w:rPr>
        <w:t>The TAA</w:t>
      </w:r>
    </w:p>
    <w:p w14:paraId="3485EC69" w14:textId="120BA3FA" w:rsidR="00BC1369" w:rsidRDefault="00BC1369" w:rsidP="0020713C">
      <w:pPr>
        <w:pStyle w:val="ParaLevel1"/>
      </w:pPr>
      <w:r>
        <w:t xml:space="preserve">In 1998 the provisions of Schedule XIII of the CRTA were deleted and were replaced by the Allocation Provisions of the TAA. Under the TAA, </w:t>
      </w:r>
      <w:r w:rsidR="00E12F3A">
        <w:t xml:space="preserve">the concept of </w:t>
      </w:r>
      <w:r w:rsidR="00DB43C9">
        <w:t>“</w:t>
      </w:r>
      <w:r>
        <w:t>Booked Capacity</w:t>
      </w:r>
      <w:r w:rsidR="00DB43C9">
        <w:t>”</w:t>
      </w:r>
      <w:r>
        <w:t xml:space="preserve"> was </w:t>
      </w:r>
      <w:r w:rsidR="00E12F3A">
        <w:t xml:space="preserve">retained but it was </w:t>
      </w:r>
      <w:r>
        <w:t xml:space="preserve">defined </w:t>
      </w:r>
      <w:r w:rsidR="00E12F3A">
        <w:t xml:space="preserve">differently </w:t>
      </w:r>
      <w:r>
        <w:t xml:space="preserve">as follows: </w:t>
      </w:r>
      <w:bookmarkEnd w:id="10"/>
    </w:p>
    <w:p w14:paraId="10CB42A0" w14:textId="152CDEC3" w:rsidR="00BC1369" w:rsidRDefault="002A7064" w:rsidP="0020713C">
      <w:pPr>
        <w:pStyle w:val="Quote"/>
      </w:pPr>
      <w:r>
        <w:t>“</w:t>
      </w:r>
      <w:r w:rsidR="00BC1369">
        <w:t>...</w:t>
      </w:r>
      <w:r>
        <w:t xml:space="preserve"> W</w:t>
      </w:r>
      <w:r w:rsidR="00BC1369">
        <w:t>ith respect to a CATS Field Meter(s) the number of Cubic Metres per Day for such CATS Field Meter(s) in the line marked 'Booked Capacity' in table 1 of Schedule VII, as shall be updated from time to time in accordance with clause 10.8, being the aggregate of all the Firm Shipper Capacities reserved under the applicable Transportation Agreements by the Shippers at such CATS Field Meter(s)…</w:t>
      </w:r>
      <w:r w:rsidR="001E5A8F">
        <w:t>”</w:t>
      </w:r>
    </w:p>
    <w:p w14:paraId="41055675" w14:textId="65956B9B" w:rsidR="003535B7" w:rsidRDefault="00BC1369" w:rsidP="0020713C">
      <w:pPr>
        <w:pStyle w:val="ParaLevel1"/>
      </w:pPr>
      <w:bookmarkStart w:id="11" w:name="para136"/>
      <w:r>
        <w:t xml:space="preserve">The TAA defined </w:t>
      </w:r>
      <w:r w:rsidR="008858B9">
        <w:t>“</w:t>
      </w:r>
      <w:r>
        <w:t>Firm Shipper Capacity</w:t>
      </w:r>
      <w:r w:rsidR="008858B9">
        <w:t>”</w:t>
      </w:r>
      <w:r>
        <w:t xml:space="preserve"> as (</w:t>
      </w:r>
      <w:r w:rsidR="00E92EC7">
        <w:t>1</w:t>
      </w:r>
      <w:r>
        <w:t>) the Daily Reserved Capacity Rate (</w:t>
      </w:r>
      <w:r w:rsidR="0015582E">
        <w:t>“</w:t>
      </w:r>
      <w:r>
        <w:t>DRCR</w:t>
      </w:r>
      <w:r w:rsidR="0015582E">
        <w:t>”</w:t>
      </w:r>
      <w:r>
        <w:t xml:space="preserve">) for all transportation agreements other than the </w:t>
      </w:r>
      <w:r w:rsidR="004342B3">
        <w:t>Agreement</w:t>
      </w:r>
      <w:r>
        <w:t>, and (</w:t>
      </w:r>
      <w:r w:rsidR="002A09A5">
        <w:t>2</w:t>
      </w:r>
      <w:r>
        <w:t xml:space="preserve">) the CRR for the </w:t>
      </w:r>
      <w:r w:rsidR="00B90B29">
        <w:t>Agreement</w:t>
      </w:r>
      <w:r>
        <w:t xml:space="preserve">. The concept of </w:t>
      </w:r>
      <w:r w:rsidR="006E41A3">
        <w:t>“</w:t>
      </w:r>
      <w:r>
        <w:t>Firm Shipper Capacities</w:t>
      </w:r>
      <w:r w:rsidR="006E41A3">
        <w:t>”</w:t>
      </w:r>
      <w:r>
        <w:t xml:space="preserve"> was used, under the TAA, to determine each shipper's contribution to the calculation of </w:t>
      </w:r>
      <w:r w:rsidR="00AE5281">
        <w:t>“</w:t>
      </w:r>
      <w:r>
        <w:t>Static Volume</w:t>
      </w:r>
      <w:r w:rsidR="00AE5281">
        <w:t>”</w:t>
      </w:r>
      <w:r w:rsidR="00592314">
        <w:t>.</w:t>
      </w:r>
      <w:r>
        <w:t xml:space="preserve"> </w:t>
      </w:r>
      <w:bookmarkStart w:id="12" w:name="para137"/>
      <w:bookmarkEnd w:id="11"/>
    </w:p>
    <w:p w14:paraId="79869937" w14:textId="337B3928" w:rsidR="009169F8" w:rsidRDefault="009169F8" w:rsidP="0020713C">
      <w:pPr>
        <w:pStyle w:val="ParaLevel1"/>
        <w:numPr>
          <w:ilvl w:val="0"/>
          <w:numId w:val="0"/>
        </w:numPr>
        <w:ind w:left="720" w:hanging="720"/>
      </w:pPr>
      <w:r w:rsidRPr="00F7312C">
        <w:rPr>
          <w:b/>
          <w:bCs/>
        </w:rPr>
        <w:t xml:space="preserve">The </w:t>
      </w:r>
      <w:r w:rsidR="00BB5817">
        <w:rPr>
          <w:b/>
          <w:bCs/>
        </w:rPr>
        <w:t>Transportation &amp; Processing Agreements</w:t>
      </w:r>
    </w:p>
    <w:p w14:paraId="3BB0BD74" w14:textId="26166535" w:rsidR="009169F8" w:rsidRDefault="009169F8" w:rsidP="0020713C">
      <w:pPr>
        <w:pStyle w:val="ParaLevel1"/>
      </w:pPr>
      <w:r>
        <w:t>A</w:t>
      </w:r>
      <w:r w:rsidR="00241F64">
        <w:t>s foreshadowed in the A</w:t>
      </w:r>
      <w:r w:rsidR="00F11375">
        <w:t>greement</w:t>
      </w:r>
      <w:r w:rsidR="00241F64">
        <w:t xml:space="preserve">, </w:t>
      </w:r>
      <w:proofErr w:type="gramStart"/>
      <w:r w:rsidR="00241F64">
        <w:t>a</w:t>
      </w:r>
      <w:r>
        <w:t xml:space="preserve"> number of</w:t>
      </w:r>
      <w:proofErr w:type="gramEnd"/>
      <w:r>
        <w:t xml:space="preserve"> T</w:t>
      </w:r>
      <w:r w:rsidR="00E86443">
        <w:t xml:space="preserve">ransportation &amp; Processing </w:t>
      </w:r>
      <w:r>
        <w:t xml:space="preserve">Agreements </w:t>
      </w:r>
      <w:r w:rsidR="00E86443">
        <w:t xml:space="preserve">with third party shippers </w:t>
      </w:r>
      <w:r>
        <w:t>(“TPAs”) were concluded by the CATS Parties.</w:t>
      </w:r>
      <w:r w:rsidR="00B148C3">
        <w:t xml:space="preserve"> These also provided for a “</w:t>
      </w:r>
      <w:r w:rsidR="00620308">
        <w:t>D</w:t>
      </w:r>
      <w:r w:rsidR="00B148C3">
        <w:t>aily Reserved Capacity Rate</w:t>
      </w:r>
      <w:r w:rsidR="00620308">
        <w:t>”</w:t>
      </w:r>
      <w:r w:rsidR="001B2B87">
        <w:t xml:space="preserve"> which was defined </w:t>
      </w:r>
      <w:r w:rsidR="00E87B25">
        <w:t xml:space="preserve">(in all but two cases) </w:t>
      </w:r>
      <w:r w:rsidR="001B2B87">
        <w:t>as</w:t>
      </w:r>
      <w:r w:rsidR="00887E5D">
        <w:t>:</w:t>
      </w:r>
    </w:p>
    <w:p w14:paraId="6763D4D7" w14:textId="4DAB459F" w:rsidR="00887E5D" w:rsidRDefault="00887E5D" w:rsidP="0020713C">
      <w:pPr>
        <w:pStyle w:val="Quote"/>
      </w:pPr>
      <w:r>
        <w:t>“the</w:t>
      </w:r>
      <w:r w:rsidR="008442C5">
        <w:t xml:space="preserve"> maximum rate (expressed in </w:t>
      </w:r>
      <w:r w:rsidR="00A36693">
        <w:t>C</w:t>
      </w:r>
      <w:r w:rsidR="008442C5">
        <w:t>ubic Metres) of [name of field]</w:t>
      </w:r>
      <w:r w:rsidR="0007272B">
        <w:t xml:space="preserve"> </w:t>
      </w:r>
      <w:r w:rsidR="00291C0D">
        <w:t>G</w:t>
      </w:r>
      <w:r w:rsidR="0007272B">
        <w:t xml:space="preserve">as </w:t>
      </w:r>
      <w:r w:rsidR="00230477">
        <w:t xml:space="preserve">per </w:t>
      </w:r>
      <w:r w:rsidR="00D73CF1">
        <w:t>D</w:t>
      </w:r>
      <w:r w:rsidR="00230477">
        <w:t>a</w:t>
      </w:r>
      <w:r w:rsidR="0007272B">
        <w:t xml:space="preserve">y </w:t>
      </w:r>
      <w:r w:rsidR="00D73CF1">
        <w:t xml:space="preserve">as </w:t>
      </w:r>
      <w:r w:rsidR="0007272B">
        <w:t>varied from time to time in accordance with these Heads of Agreement … at</w:t>
      </w:r>
      <w:r w:rsidR="00B0053F">
        <w:t xml:space="preserve"> which the [third pa</w:t>
      </w:r>
      <w:r w:rsidR="00D73CF1">
        <w:t>r</w:t>
      </w:r>
      <w:r w:rsidR="00B0053F">
        <w:t>ty shipper]</w:t>
      </w:r>
      <w:r w:rsidR="00291C0D">
        <w:t xml:space="preserve"> w</w:t>
      </w:r>
      <w:r w:rsidR="003003A5">
        <w:t>ishes</w:t>
      </w:r>
      <w:r w:rsidR="00291C0D">
        <w:t xml:space="preserve"> to reserve capacity in the CTF.”</w:t>
      </w:r>
    </w:p>
    <w:p w14:paraId="0660E954" w14:textId="5DA560D2" w:rsidR="009169F8" w:rsidRDefault="007E1751" w:rsidP="0020713C">
      <w:pPr>
        <w:pStyle w:val="ParaLevel1"/>
      </w:pPr>
      <w:r>
        <w:lastRenderedPageBreak/>
        <w:t>Thus</w:t>
      </w:r>
      <w:r w:rsidR="00072E27">
        <w:t xml:space="preserve"> the D</w:t>
      </w:r>
      <w:r w:rsidR="00D94DFF">
        <w:t>R</w:t>
      </w:r>
      <w:r w:rsidR="00072E27">
        <w:t>CR</w:t>
      </w:r>
      <w:r w:rsidR="00D94DFF">
        <w:t xml:space="preserve"> was </w:t>
      </w:r>
      <w:r>
        <w:t xml:space="preserve">referred to </w:t>
      </w:r>
      <w:r w:rsidR="00D94DFF">
        <w:t xml:space="preserve">in these agreements </w:t>
      </w:r>
      <w:r>
        <w:t>as a “maximum rate”</w:t>
      </w:r>
      <w:r w:rsidR="00E20798">
        <w:t xml:space="preserve">, </w:t>
      </w:r>
      <w:r w:rsidR="00E36C6E">
        <w:t xml:space="preserve">but that maximum </w:t>
      </w:r>
      <w:r w:rsidR="00D323A7">
        <w:t>could be</w:t>
      </w:r>
      <w:r w:rsidR="00814948">
        <w:t xml:space="preserve"> varied</w:t>
      </w:r>
      <w:r w:rsidR="00D323A7">
        <w:t>, and thus reduced,</w:t>
      </w:r>
      <w:r w:rsidR="00814948">
        <w:t xml:space="preserve"> from time to time</w:t>
      </w:r>
      <w:r w:rsidR="00D323A7">
        <w:t>.</w:t>
      </w:r>
    </w:p>
    <w:p w14:paraId="334ABFFA" w14:textId="0C8EA56B" w:rsidR="00074DE4" w:rsidRDefault="00A24BC5" w:rsidP="0020713C">
      <w:pPr>
        <w:pStyle w:val="ParaLevel1"/>
      </w:pPr>
      <w:r>
        <w:t>In the two cases where the provision was different,</w:t>
      </w:r>
      <w:r w:rsidR="006C54A5">
        <w:t xml:space="preserve"> the DRCR</w:t>
      </w:r>
      <w:r w:rsidR="00312627">
        <w:t xml:space="preserve"> was the rate at which the shipper had the right to deliver gas to the </w:t>
      </w:r>
      <w:r w:rsidR="00645806">
        <w:t>pipeline</w:t>
      </w:r>
      <w:r w:rsidR="00312627">
        <w:t>.</w:t>
      </w:r>
    </w:p>
    <w:p w14:paraId="47AA9CD8" w14:textId="1A294A50" w:rsidR="009169F8" w:rsidRDefault="001F462F" w:rsidP="0020713C">
      <w:pPr>
        <w:pStyle w:val="ParaLevel1"/>
      </w:pPr>
      <w:r>
        <w:t>It was common ground that</w:t>
      </w:r>
      <w:r w:rsidR="00FA2AC7">
        <w:t xml:space="preserve"> the CATS Parties</w:t>
      </w:r>
      <w:r w:rsidR="00171458">
        <w:t xml:space="preserve"> gave a notice under clause 4.6(a)</w:t>
      </w:r>
      <w:r w:rsidR="00600400">
        <w:t xml:space="preserve"> for each TPA</w:t>
      </w:r>
      <w:r w:rsidR="008F502C">
        <w:t xml:space="preserve"> which they concluded, although </w:t>
      </w:r>
      <w:r w:rsidR="00CB327D">
        <w:t xml:space="preserve">due to the passage of time </w:t>
      </w:r>
      <w:r w:rsidR="008F502C">
        <w:t xml:space="preserve">not all </w:t>
      </w:r>
      <w:r w:rsidR="00D5151F">
        <w:t xml:space="preserve">these </w:t>
      </w:r>
      <w:r w:rsidR="008F502C">
        <w:t xml:space="preserve">notices could be located </w:t>
      </w:r>
      <w:r w:rsidR="00910A57">
        <w:t>for the trial</w:t>
      </w:r>
      <w:r w:rsidR="008F502C">
        <w:t>.</w:t>
      </w:r>
      <w:r w:rsidR="00F468E6">
        <w:t xml:space="preserve"> </w:t>
      </w:r>
      <w:r w:rsidR="00677EC6">
        <w:t xml:space="preserve">The TPAs </w:t>
      </w:r>
      <w:r w:rsidR="007C0892">
        <w:t xml:space="preserve">related to 16 fields, </w:t>
      </w:r>
      <w:r w:rsidR="00665239">
        <w:t xml:space="preserve">but only six notices had been located. </w:t>
      </w:r>
      <w:r w:rsidR="00F468E6">
        <w:t xml:space="preserve">The six notices which were </w:t>
      </w:r>
      <w:r w:rsidR="00665239">
        <w:t xml:space="preserve">in </w:t>
      </w:r>
      <w:r w:rsidR="00C42091">
        <w:t>evidence</w:t>
      </w:r>
      <w:r w:rsidR="00CE5EBE">
        <w:t xml:space="preserve"> were given on dates between</w:t>
      </w:r>
      <w:r w:rsidR="00BF5B8B">
        <w:t xml:space="preserve"> </w:t>
      </w:r>
      <w:r w:rsidR="00076A83">
        <w:t>18</w:t>
      </w:r>
      <w:r w:rsidR="00BF5B8B" w:rsidRPr="00BF5B8B">
        <w:rPr>
          <w:vertAlign w:val="superscript"/>
        </w:rPr>
        <w:t>th</w:t>
      </w:r>
      <w:r w:rsidR="00A65DA9">
        <w:t xml:space="preserve"> February</w:t>
      </w:r>
      <w:r w:rsidR="00BF5B8B">
        <w:t xml:space="preserve"> 1998</w:t>
      </w:r>
      <w:r w:rsidR="00C5715B">
        <w:t xml:space="preserve"> and</w:t>
      </w:r>
      <w:r w:rsidR="008C4C85">
        <w:t xml:space="preserve"> 2</w:t>
      </w:r>
      <w:r w:rsidR="00E37395">
        <w:t>8</w:t>
      </w:r>
      <w:r w:rsidR="008C4C85" w:rsidRPr="008C4C85">
        <w:rPr>
          <w:vertAlign w:val="superscript"/>
        </w:rPr>
        <w:t>th</w:t>
      </w:r>
      <w:r w:rsidR="008C4C85">
        <w:t xml:space="preserve"> Ma</w:t>
      </w:r>
      <w:r w:rsidR="00E37395">
        <w:t>y</w:t>
      </w:r>
      <w:r w:rsidR="008C4C85">
        <w:t xml:space="preserve"> 20</w:t>
      </w:r>
      <w:r w:rsidR="00BC743A">
        <w:t>1</w:t>
      </w:r>
      <w:r w:rsidR="00E37395">
        <w:t>5</w:t>
      </w:r>
      <w:r w:rsidR="00C5715B">
        <w:t>.</w:t>
      </w:r>
      <w:r w:rsidR="00C949F1">
        <w:t xml:space="preserve"> In some </w:t>
      </w:r>
      <w:r w:rsidR="00E95582">
        <w:t xml:space="preserve">but not all </w:t>
      </w:r>
      <w:r w:rsidR="00C949F1">
        <w:t>cases they covered</w:t>
      </w:r>
      <w:r w:rsidR="004100C2">
        <w:t xml:space="preserve"> the whole of the remaining period</w:t>
      </w:r>
      <w:r w:rsidR="008C4237">
        <w:t xml:space="preserve"> of the </w:t>
      </w:r>
      <w:r w:rsidR="0041176C">
        <w:t>Agreement</w:t>
      </w:r>
      <w:r w:rsidR="00E95582">
        <w:t>.</w:t>
      </w:r>
      <w:r w:rsidR="00D536D1">
        <w:t xml:space="preserve"> </w:t>
      </w:r>
      <w:r w:rsidR="00733796">
        <w:t>In e</w:t>
      </w:r>
      <w:r w:rsidR="00D536D1">
        <w:t>ach case they stated the</w:t>
      </w:r>
      <w:r w:rsidR="00A61716">
        <w:t xml:space="preserve"> maximum rate to be delivered during the</w:t>
      </w:r>
      <w:r w:rsidR="00443DBF">
        <w:t xml:space="preserve"> period of transportation covered by the TPA in question.</w:t>
      </w:r>
      <w:r w:rsidR="004D0B35">
        <w:t xml:space="preserve"> In </w:t>
      </w:r>
      <w:r w:rsidR="006C22DE">
        <w:t>most</w:t>
      </w:r>
      <w:r w:rsidR="004D0B35">
        <w:t xml:space="preserve"> but not all cases this maximum rate correspond</w:t>
      </w:r>
      <w:r w:rsidR="00170081">
        <w:t>ed</w:t>
      </w:r>
      <w:r w:rsidR="004D0B35">
        <w:t xml:space="preserve"> to the</w:t>
      </w:r>
      <w:r w:rsidR="00361873">
        <w:t xml:space="preserve"> initial</w:t>
      </w:r>
      <w:r w:rsidR="00791555">
        <w:t xml:space="preserve"> DRCR.</w:t>
      </w:r>
    </w:p>
    <w:p w14:paraId="65F987AF" w14:textId="3E2AA6C6" w:rsidR="00376909" w:rsidRDefault="00702C92" w:rsidP="0020713C">
      <w:pPr>
        <w:pStyle w:val="ParaLevel1"/>
      </w:pPr>
      <w:r>
        <w:rPr>
          <w:rFonts w:hAnsi="Symbol"/>
        </w:rPr>
        <w:t xml:space="preserve">The combined totals of the maximum figures in the </w:t>
      </w:r>
      <w:r w:rsidR="001D5E54">
        <w:rPr>
          <w:rFonts w:hAnsi="Symbol"/>
        </w:rPr>
        <w:t>six</w:t>
      </w:r>
      <w:r w:rsidR="00395AE7">
        <w:rPr>
          <w:rFonts w:hAnsi="Symbol"/>
        </w:rPr>
        <w:t xml:space="preserve"> </w:t>
      </w:r>
      <w:proofErr w:type="gramStart"/>
      <w:r>
        <w:rPr>
          <w:rFonts w:hAnsi="Symbol"/>
        </w:rPr>
        <w:t>clause</w:t>
      </w:r>
      <w:proofErr w:type="gramEnd"/>
      <w:r>
        <w:rPr>
          <w:rFonts w:hAnsi="Symbol"/>
        </w:rPr>
        <w:t xml:space="preserve"> </w:t>
      </w:r>
      <w:bookmarkStart w:id="13" w:name="para147"/>
      <w:r>
        <w:t xml:space="preserve">4.6(a) notices in </w:t>
      </w:r>
      <w:r w:rsidR="00395AE7">
        <w:t xml:space="preserve">evidence </w:t>
      </w:r>
      <w:r w:rsidR="00B75E92">
        <w:t xml:space="preserve">together with those </w:t>
      </w:r>
      <w:r w:rsidR="00C2488C">
        <w:t xml:space="preserve">not </w:t>
      </w:r>
      <w:r w:rsidR="007E7532">
        <w:t xml:space="preserve">located but </w:t>
      </w:r>
      <w:r w:rsidR="00B75E92">
        <w:t xml:space="preserve">which </w:t>
      </w:r>
      <w:r w:rsidR="00E15282">
        <w:t>TGTL</w:t>
      </w:r>
      <w:r w:rsidR="00C2488C">
        <w:t xml:space="preserve"> contended must have been </w:t>
      </w:r>
      <w:r w:rsidR="007E7532">
        <w:t>give</w:t>
      </w:r>
      <w:r w:rsidR="00C2488C">
        <w:t>n</w:t>
      </w:r>
      <w:r w:rsidR="007E7532">
        <w:t xml:space="preserve"> </w:t>
      </w:r>
      <w:r w:rsidR="00B457E5">
        <w:t xml:space="preserve">plus </w:t>
      </w:r>
      <w:r>
        <w:t>the CRR (</w:t>
      </w:r>
      <w:r w:rsidR="008E7120">
        <w:t>i.e.</w:t>
      </w:r>
      <w:r>
        <w:t>, the capacity reserved for TGTL)</w:t>
      </w:r>
      <w:r w:rsidR="00781553">
        <w:t xml:space="preserve"> amounted to </w:t>
      </w:r>
      <w:r w:rsidR="003F1126">
        <w:t>some 62 million</w:t>
      </w:r>
      <w:r w:rsidR="00082F7A">
        <w:t xml:space="preserve"> cubic me</w:t>
      </w:r>
      <w:r w:rsidR="00F65E01">
        <w:t>tres per day for the 2013/14 to 201</w:t>
      </w:r>
      <w:r w:rsidR="002A2829">
        <w:t>6/1</w:t>
      </w:r>
      <w:r w:rsidR="00F65E01">
        <w:t>7</w:t>
      </w:r>
      <w:r w:rsidR="002A2829">
        <w:t xml:space="preserve"> </w:t>
      </w:r>
      <w:r w:rsidR="005B287D">
        <w:t>Contract Y</w:t>
      </w:r>
      <w:r w:rsidR="002A2829">
        <w:t>ears</w:t>
      </w:r>
      <w:r w:rsidR="005B287D">
        <w:t xml:space="preserve"> and some 61</w:t>
      </w:r>
      <w:r w:rsidR="005B287D" w:rsidRPr="005B287D">
        <w:t xml:space="preserve"> </w:t>
      </w:r>
      <w:r w:rsidR="005B287D">
        <w:t>million cubic metres per day for the 201</w:t>
      </w:r>
      <w:r w:rsidR="00A65DA9">
        <w:t>7/18 Contract Y</w:t>
      </w:r>
      <w:r w:rsidR="003C29C4">
        <w:t>ear.</w:t>
      </w:r>
      <w:r w:rsidR="007A417C">
        <w:t xml:space="preserve"> </w:t>
      </w:r>
      <w:r w:rsidR="00BE609A">
        <w:t xml:space="preserve">This </w:t>
      </w:r>
      <w:r>
        <w:t>exceeded the capacity of the pipeline, which was 48 million cu</w:t>
      </w:r>
      <w:r w:rsidR="005124F5">
        <w:t>bic</w:t>
      </w:r>
      <w:r>
        <w:t xml:space="preserve"> m</w:t>
      </w:r>
      <w:r w:rsidR="005124F5">
        <w:t xml:space="preserve">etres per </w:t>
      </w:r>
      <w:r>
        <w:t>d</w:t>
      </w:r>
      <w:r w:rsidR="005124F5">
        <w:t>ay</w:t>
      </w:r>
      <w:r>
        <w:t xml:space="preserve">, and </w:t>
      </w:r>
      <w:r w:rsidR="00272D12">
        <w:t xml:space="preserve">far </w:t>
      </w:r>
      <w:r>
        <w:t>exceeded the throughput for the years from 2013 onwards, which was in the range of 14</w:t>
      </w:r>
      <w:r w:rsidR="000C7B2E">
        <w:t xml:space="preserve"> to </w:t>
      </w:r>
      <w:r>
        <w:t>18 million cu</w:t>
      </w:r>
      <w:r w:rsidR="00A95161">
        <w:t>bic</w:t>
      </w:r>
      <w:r>
        <w:t xml:space="preserve"> m</w:t>
      </w:r>
      <w:r w:rsidR="00A95161">
        <w:t xml:space="preserve">etres per </w:t>
      </w:r>
      <w:r>
        <w:t>d</w:t>
      </w:r>
      <w:r w:rsidR="00A95161">
        <w:t>ay</w:t>
      </w:r>
      <w:r>
        <w:t>. In contrast, the DRCRs plus CRR for those years was in the range of approximately 17</w:t>
      </w:r>
      <w:r w:rsidR="000C7B2E">
        <w:t xml:space="preserve"> to </w:t>
      </w:r>
      <w:r>
        <w:t>22 million cu</w:t>
      </w:r>
      <w:r w:rsidR="00155615">
        <w:t>bic</w:t>
      </w:r>
      <w:r>
        <w:t xml:space="preserve"> m</w:t>
      </w:r>
      <w:r w:rsidR="00155615">
        <w:t xml:space="preserve">etres per </w:t>
      </w:r>
      <w:r>
        <w:t>d</w:t>
      </w:r>
      <w:r w:rsidR="00155615">
        <w:t>ay</w:t>
      </w:r>
      <w:r>
        <w:t xml:space="preserve">. </w:t>
      </w:r>
      <w:bookmarkEnd w:id="13"/>
      <w:r w:rsidR="0072748D">
        <w:t>Th</w:t>
      </w:r>
      <w:r w:rsidR="009C68EB">
        <w:t>e</w:t>
      </w:r>
      <w:r w:rsidR="00514B9F">
        <w:t xml:space="preserve"> </w:t>
      </w:r>
      <w:r w:rsidR="0072748D">
        <w:t>relatively low level</w:t>
      </w:r>
      <w:r w:rsidR="00D51FA7">
        <w:t xml:space="preserve"> </w:t>
      </w:r>
      <w:r w:rsidR="00416DC2">
        <w:t xml:space="preserve">of reserved capacity and throughput </w:t>
      </w:r>
      <w:r w:rsidR="007F791C">
        <w:t xml:space="preserve">in these </w:t>
      </w:r>
      <w:r w:rsidR="009A0B7B">
        <w:t xml:space="preserve">later </w:t>
      </w:r>
      <w:r w:rsidR="007F791C">
        <w:t>years</w:t>
      </w:r>
      <w:r w:rsidR="009A0B7B">
        <w:t xml:space="preserve"> reflect</w:t>
      </w:r>
      <w:r w:rsidR="00683B60">
        <w:t>s</w:t>
      </w:r>
      <w:r w:rsidR="00504A74">
        <w:t xml:space="preserve"> the fact</w:t>
      </w:r>
      <w:r w:rsidR="002A6C3B">
        <w:t xml:space="preserve"> that gas fields deplete over time</w:t>
      </w:r>
      <w:r w:rsidR="00626473">
        <w:t xml:space="preserve"> </w:t>
      </w:r>
      <w:r w:rsidR="00626473">
        <w:lastRenderedPageBreak/>
        <w:t>so that it is to be expected</w:t>
      </w:r>
      <w:r w:rsidR="002E679E">
        <w:t xml:space="preserve"> that maximum throughput</w:t>
      </w:r>
      <w:r w:rsidR="002C6ADC">
        <w:t xml:space="preserve"> will occur in the early years of production from the field</w:t>
      </w:r>
      <w:r w:rsidR="00412607">
        <w:t xml:space="preserve"> and will gradually reduce</w:t>
      </w:r>
      <w:r w:rsidR="007F791C">
        <w:t xml:space="preserve"> over the field’s </w:t>
      </w:r>
      <w:r w:rsidR="004B3CD7">
        <w:t>l</w:t>
      </w:r>
      <w:r w:rsidR="007F791C">
        <w:t>ife.</w:t>
      </w:r>
    </w:p>
    <w:bookmarkEnd w:id="12"/>
    <w:p w14:paraId="5DB0BA83" w14:textId="000632DB" w:rsidR="00D920CF" w:rsidRPr="00D920CF" w:rsidRDefault="00D920CF" w:rsidP="0020713C">
      <w:pPr>
        <w:pStyle w:val="ParaLevel1"/>
        <w:numPr>
          <w:ilvl w:val="0"/>
          <w:numId w:val="0"/>
        </w:numPr>
        <w:rPr>
          <w:b/>
          <w:bCs/>
        </w:rPr>
      </w:pPr>
      <w:r w:rsidRPr="00D920CF">
        <w:rPr>
          <w:b/>
          <w:bCs/>
        </w:rPr>
        <w:t>The judgment</w:t>
      </w:r>
    </w:p>
    <w:p w14:paraId="0EB485C7" w14:textId="7F939703" w:rsidR="00B9506E" w:rsidRDefault="00B9506E" w:rsidP="0020713C">
      <w:pPr>
        <w:pStyle w:val="ParaLevel1"/>
      </w:pPr>
      <w:r>
        <w:t xml:space="preserve">The CATS Parties have always contended that CATS Capacity for the Capacity Fee period should be calculated using (for shippers other than TGTL) the sum of the DRCRs for the relevant Contract Year, i.e. the firm capacity booked for each shipper for that Contract Year, which the CATS Parties were obliged to make available </w:t>
      </w:r>
      <w:r w:rsidR="003B2E90">
        <w:t xml:space="preserve">to each shipper </w:t>
      </w:r>
      <w:r>
        <w:t xml:space="preserve">in that Contract Year. This represents </w:t>
      </w:r>
      <w:r w:rsidRPr="00BA1FEB">
        <w:t>an up to date</w:t>
      </w:r>
      <w:r>
        <w:t xml:space="preserve"> figure for booked capacity for each relevant year. The CATS Parties contend</w:t>
      </w:r>
      <w:r w:rsidR="000A3921">
        <w:t>ed</w:t>
      </w:r>
      <w:r>
        <w:t xml:space="preserve"> that that information was provided by TAA Update Schedules, of which at least seven were produced and sent to TGTL in the period 2009 to 2017. </w:t>
      </w:r>
    </w:p>
    <w:p w14:paraId="04730516" w14:textId="3AF49621" w:rsidR="00BC1369" w:rsidRDefault="00103194" w:rsidP="0020713C">
      <w:pPr>
        <w:pStyle w:val="ParaLevel1"/>
      </w:pPr>
      <w:r>
        <w:t>The</w:t>
      </w:r>
      <w:r w:rsidR="006D7EC1">
        <w:t xml:space="preserve"> judge pointed out that </w:t>
      </w:r>
      <w:bookmarkStart w:id="14" w:name="para138"/>
      <w:r w:rsidR="00BC1369">
        <w:t>TGTL's case ha</w:t>
      </w:r>
      <w:r w:rsidR="00857F89">
        <w:t>d</w:t>
      </w:r>
      <w:r w:rsidR="00BC1369">
        <w:t xml:space="preserve"> changed and developed</w:t>
      </w:r>
      <w:r w:rsidR="00857F89">
        <w:t xml:space="preserve"> over the course of the proceedings</w:t>
      </w:r>
      <w:r w:rsidR="00BC1369">
        <w:t xml:space="preserve">. </w:t>
      </w:r>
      <w:bookmarkStart w:id="15" w:name="para141"/>
      <w:bookmarkEnd w:id="14"/>
      <w:r w:rsidR="00BC1369">
        <w:t xml:space="preserve">By the end of the trial, </w:t>
      </w:r>
      <w:r w:rsidR="007F4D93">
        <w:t>however, it</w:t>
      </w:r>
      <w:r w:rsidR="00BC1369">
        <w:t>s case</w:t>
      </w:r>
      <w:r w:rsidR="00010916">
        <w:t xml:space="preserve"> was</w:t>
      </w:r>
      <w:r w:rsidR="0077659C">
        <w:t xml:space="preserve"> that the CATS Parties were required by </w:t>
      </w:r>
      <w:r w:rsidR="00BC1369">
        <w:t xml:space="preserve">clause 4.6(a)(vii) </w:t>
      </w:r>
      <w:r w:rsidR="0008701D">
        <w:t xml:space="preserve">to give a notice </w:t>
      </w:r>
      <w:r w:rsidR="00BC1369">
        <w:t xml:space="preserve">at the outset of </w:t>
      </w:r>
      <w:r w:rsidR="0008701D">
        <w:t>e</w:t>
      </w:r>
      <w:r w:rsidR="00BC1369">
        <w:t>a</w:t>
      </w:r>
      <w:r w:rsidR="0008701D">
        <w:t>ch</w:t>
      </w:r>
      <w:r w:rsidR="00BC1369">
        <w:t xml:space="preserve"> </w:t>
      </w:r>
      <w:r w:rsidR="00CC6845">
        <w:t>TPA</w:t>
      </w:r>
      <w:r w:rsidR="00BC1369">
        <w:t xml:space="preserve"> </w:t>
      </w:r>
      <w:r w:rsidR="0008701D">
        <w:t xml:space="preserve">concluded </w:t>
      </w:r>
      <w:r w:rsidR="00BC1369">
        <w:t xml:space="preserve">with a </w:t>
      </w:r>
      <w:r w:rsidR="00CC6845">
        <w:t xml:space="preserve">third party </w:t>
      </w:r>
      <w:r w:rsidR="00BC1369">
        <w:t xml:space="preserve">shipper </w:t>
      </w:r>
      <w:r w:rsidR="0008701D">
        <w:t>st</w:t>
      </w:r>
      <w:r w:rsidR="00CD359D">
        <w:t xml:space="preserve">ating </w:t>
      </w:r>
      <w:r w:rsidR="00BC1369">
        <w:t xml:space="preserve">the maximum rate at which it was expected that the shipper would deliver gas into the </w:t>
      </w:r>
      <w:r w:rsidR="00902E5B">
        <w:t>pipeline</w:t>
      </w:r>
      <w:r w:rsidR="00BC1369">
        <w:t xml:space="preserve"> at any time during the whole life of that </w:t>
      </w:r>
      <w:r w:rsidR="00474A06">
        <w:t>TPA</w:t>
      </w:r>
      <w:r w:rsidR="00BC1369">
        <w:t xml:space="preserve">. It was a forward-looking maximum, looking at the contract period as a whole. </w:t>
      </w:r>
      <w:r w:rsidR="00EE5F7E">
        <w:t xml:space="preserve">A maximum rate could </w:t>
      </w:r>
      <w:r w:rsidR="00A40416">
        <w:t xml:space="preserve">increase, if the TPA in question was </w:t>
      </w:r>
      <w:r w:rsidR="007A5A03">
        <w:t>amended, but</w:t>
      </w:r>
      <w:r w:rsidR="00920089">
        <w:t xml:space="preserve"> by definition </w:t>
      </w:r>
      <w:r w:rsidR="00BC1369">
        <w:t xml:space="preserve">could </w:t>
      </w:r>
      <w:r w:rsidR="00920089">
        <w:t>not reduce</w:t>
      </w:r>
      <w:r w:rsidR="004A04FF">
        <w:t xml:space="preserve">. </w:t>
      </w:r>
      <w:r w:rsidR="00DE5937">
        <w:t>Absent such a</w:t>
      </w:r>
      <w:r w:rsidR="001D2085">
        <w:t>n increase</w:t>
      </w:r>
      <w:r w:rsidR="00DE5937">
        <w:t xml:space="preserve"> in the maximum </w:t>
      </w:r>
      <w:r w:rsidR="002F60C5">
        <w:t xml:space="preserve">expected </w:t>
      </w:r>
      <w:r w:rsidR="00DE5937">
        <w:t xml:space="preserve">rate, </w:t>
      </w:r>
      <w:r w:rsidR="00BC1369">
        <w:t xml:space="preserve">the CATS Operator could not give a valid notice to amend the </w:t>
      </w:r>
      <w:r w:rsidR="00A65DA9">
        <w:t xml:space="preserve">clause </w:t>
      </w:r>
      <w:r w:rsidR="00BC1369">
        <w:t>4.6(a)(vii) information, e</w:t>
      </w:r>
      <w:r w:rsidR="00A6767B">
        <w:t xml:space="preserve">ither </w:t>
      </w:r>
      <w:r w:rsidR="00BC1369">
        <w:t xml:space="preserve">under </w:t>
      </w:r>
      <w:r w:rsidR="00A6767B">
        <w:t>clause 4.6(b) in its original form or</w:t>
      </w:r>
      <w:r w:rsidR="002F30CC">
        <w:t xml:space="preserve"> under its amended form </w:t>
      </w:r>
      <w:r w:rsidR="00394553">
        <w:t xml:space="preserve">where, in any event, </w:t>
      </w:r>
      <w:r w:rsidR="00FD09E0">
        <w:t xml:space="preserve">a </w:t>
      </w:r>
      <w:r w:rsidR="00BC1369">
        <w:t>clause 4.6(b)</w:t>
      </w:r>
      <w:r w:rsidR="00FD09E0">
        <w:t xml:space="preserve"> notice could only be given </w:t>
      </w:r>
      <w:r w:rsidR="00C24278">
        <w:t xml:space="preserve">in response to a request by </w:t>
      </w:r>
      <w:r w:rsidR="00BC1369">
        <w:t>TGTL</w:t>
      </w:r>
      <w:r w:rsidR="00C24278">
        <w:t>.</w:t>
      </w:r>
      <w:r w:rsidR="00BC1369">
        <w:t xml:space="preserve"> </w:t>
      </w:r>
      <w:bookmarkEnd w:id="15"/>
    </w:p>
    <w:p w14:paraId="1AB58A35" w14:textId="78448F0D" w:rsidR="00A42E65" w:rsidRDefault="002D3670" w:rsidP="0020713C">
      <w:pPr>
        <w:pStyle w:val="ParaLevel1"/>
      </w:pPr>
      <w:r>
        <w:lastRenderedPageBreak/>
        <w:t xml:space="preserve">The </w:t>
      </w:r>
      <w:r w:rsidR="00CB7DBF">
        <w:t xml:space="preserve">judge began his discussion of this issue by posing the </w:t>
      </w:r>
      <w:r>
        <w:t xml:space="preserve">question whether the </w:t>
      </w:r>
      <w:r w:rsidR="0056431F">
        <w:t>CATS Capacit</w:t>
      </w:r>
      <w:r w:rsidR="00440411">
        <w:t xml:space="preserve">ies figures </w:t>
      </w:r>
      <w:r w:rsidR="007D08B4">
        <w:t xml:space="preserve">were intended to be </w:t>
      </w:r>
      <w:r w:rsidR="00DD0F36">
        <w:t>“up to date” or “historical</w:t>
      </w:r>
      <w:r w:rsidR="00E117FD">
        <w:t>”</w:t>
      </w:r>
      <w:r w:rsidR="00D135C2">
        <w:t xml:space="preserve">, with the former </w:t>
      </w:r>
      <w:r w:rsidR="00BB6989">
        <w:t xml:space="preserve">comprising </w:t>
      </w:r>
      <w:r w:rsidR="007B63AA">
        <w:t xml:space="preserve">actual up to date usage of the pipeline during the years in question and the latter </w:t>
      </w:r>
      <w:r w:rsidR="004F7BB1">
        <w:t xml:space="preserve">consisting of </w:t>
      </w:r>
      <w:r w:rsidR="00843B73">
        <w:t xml:space="preserve">quantities which might </w:t>
      </w:r>
      <w:r w:rsidR="00C74F76">
        <w:t xml:space="preserve">only </w:t>
      </w:r>
      <w:r w:rsidR="00843B73">
        <w:t xml:space="preserve">have been shipped many years in the past. </w:t>
      </w:r>
      <w:r w:rsidR="008E6325">
        <w:t xml:space="preserve">To answer that question he </w:t>
      </w:r>
      <w:r w:rsidR="0011036D">
        <w:t xml:space="preserve">considered </w:t>
      </w:r>
      <w:r w:rsidR="008E6325">
        <w:t xml:space="preserve">first </w:t>
      </w:r>
      <w:r w:rsidR="0011036D">
        <w:t>“</w:t>
      </w:r>
      <w:r w:rsidR="00A546C1">
        <w:t>the nature of the Capacity Fee period under the CRTA”</w:t>
      </w:r>
      <w:r w:rsidR="008E6325">
        <w:t xml:space="preserve">, which he </w:t>
      </w:r>
      <w:r w:rsidR="00A33DF3">
        <w:t>described in these terms</w:t>
      </w:r>
      <w:r w:rsidR="004D0D29">
        <w:t>:</w:t>
      </w:r>
    </w:p>
    <w:p w14:paraId="796D5DD4" w14:textId="5D4EE3FE" w:rsidR="00BC1369" w:rsidRDefault="003762F6" w:rsidP="0020713C">
      <w:pPr>
        <w:pStyle w:val="Quote"/>
      </w:pPr>
      <w:r>
        <w:t xml:space="preserve">“149. </w:t>
      </w:r>
      <w:r w:rsidR="00971C90">
        <w:t>… For</w:t>
      </w:r>
      <w:bookmarkStart w:id="16" w:name="para149"/>
      <w:r w:rsidR="00BC1369">
        <w:t xml:space="preserve"> that period, towards the end of the duration of the CRTA, the parties agreed to substitute what may broadly be called a cost share regime for the earlier tariff regime. Under that cost share regime, the current costs (i</w:t>
      </w:r>
      <w:r w:rsidR="00DD63CD">
        <w:t>.</w:t>
      </w:r>
      <w:r w:rsidR="00BC1369">
        <w:t>e</w:t>
      </w:r>
      <w:r w:rsidR="00DD63CD">
        <w:t>.</w:t>
      </w:r>
      <w:r w:rsidR="00BC1369">
        <w:t xml:space="preserve"> those relating to the Contract Years of the Capacity Fee regime) were to be divided up. Under such a cost share regime, it could be expected that those current costs would be divided amongst those actively using the facility during the period in which those costs were incurred and in proportion to their usage of the facility, and not on the basis of what they might have been shipping many years, and in some cases decades, earlier.</w:t>
      </w:r>
      <w:r w:rsidR="002E222D">
        <w:t>”</w:t>
      </w:r>
      <w:r w:rsidR="00BC1369">
        <w:t xml:space="preserve"> </w:t>
      </w:r>
      <w:bookmarkEnd w:id="16"/>
    </w:p>
    <w:p w14:paraId="4449AE35" w14:textId="44D322C8" w:rsidR="00977CCB" w:rsidRDefault="00113DC8" w:rsidP="0020713C">
      <w:pPr>
        <w:pStyle w:val="ParaLevel1"/>
      </w:pPr>
      <w:r>
        <w:t xml:space="preserve">His </w:t>
      </w:r>
      <w:r w:rsidR="007C65E4">
        <w:t xml:space="preserve">starting point, therefore, </w:t>
      </w:r>
      <w:r w:rsidR="00A355C8">
        <w:t>at [150]</w:t>
      </w:r>
      <w:r w:rsidR="00481133">
        <w:t xml:space="preserve">, </w:t>
      </w:r>
      <w:r w:rsidR="007C65E4">
        <w:t xml:space="preserve">was </w:t>
      </w:r>
      <w:r w:rsidR="005B1C82">
        <w:t>that</w:t>
      </w:r>
      <w:bookmarkStart w:id="17" w:name="para150"/>
      <w:r w:rsidR="00666EFF">
        <w:t xml:space="preserve"> “</w:t>
      </w:r>
      <w:r w:rsidR="00BC1369">
        <w:t>one might not have expected to see an arrangement of the sort for which TGTL contends</w:t>
      </w:r>
      <w:r w:rsidR="00A355C8">
        <w:t>”</w:t>
      </w:r>
      <w:r w:rsidR="00BC1369">
        <w:t xml:space="preserve">, </w:t>
      </w:r>
      <w:r w:rsidR="00C241C5">
        <w:t xml:space="preserve">i.e. a </w:t>
      </w:r>
      <w:r w:rsidR="004A5BB9">
        <w:t xml:space="preserve">division based on historic figures, </w:t>
      </w:r>
      <w:r w:rsidR="00E91B94">
        <w:t>bu</w:t>
      </w:r>
      <w:r w:rsidR="00BC1369">
        <w:t xml:space="preserve">t </w:t>
      </w:r>
      <w:r w:rsidR="00E91B94">
        <w:t xml:space="preserve">he recognised that </w:t>
      </w:r>
      <w:r w:rsidR="00BC1369">
        <w:t>i</w:t>
      </w:r>
      <w:r w:rsidR="00E91B94">
        <w:t>t wa</w:t>
      </w:r>
      <w:r w:rsidR="00BC1369">
        <w:t>s necessary to consider carefully whether the parties did in fact make such an arrangement</w:t>
      </w:r>
      <w:r w:rsidR="00832BAF">
        <w:t>.</w:t>
      </w:r>
    </w:p>
    <w:p w14:paraId="05E49000" w14:textId="6D9306F4" w:rsidR="00A03357" w:rsidRDefault="002C069A" w:rsidP="0020713C">
      <w:pPr>
        <w:pStyle w:val="ParaLevel1"/>
      </w:pPr>
      <w:r>
        <w:t xml:space="preserve">The judge identified </w:t>
      </w:r>
      <w:r w:rsidR="00960BD0">
        <w:t>four</w:t>
      </w:r>
      <w:r w:rsidR="001B2E43">
        <w:t xml:space="preserve"> matters which, in his view,</w:t>
      </w:r>
      <w:r w:rsidR="00F0281F">
        <w:t xml:space="preserve"> indicated that </w:t>
      </w:r>
      <w:r w:rsidR="00F22C03">
        <w:t>the “CATS C</w:t>
      </w:r>
      <w:r w:rsidR="00A14F88">
        <w:t>a</w:t>
      </w:r>
      <w:r w:rsidR="00F22C03">
        <w:t>pac</w:t>
      </w:r>
      <w:r w:rsidR="00A14F88">
        <w:t>ities” figures were intended to reflect</w:t>
      </w:r>
      <w:r w:rsidR="003E5523">
        <w:t xml:space="preserve"> contemporary usage of the pipeline</w:t>
      </w:r>
      <w:r w:rsidR="00335861">
        <w:t>.</w:t>
      </w:r>
    </w:p>
    <w:p w14:paraId="25C8DD62" w14:textId="77777777" w:rsidR="00E524E1" w:rsidRDefault="00A03357" w:rsidP="0020713C">
      <w:pPr>
        <w:pStyle w:val="ParaLevel1"/>
      </w:pPr>
      <w:r>
        <w:t>F</w:t>
      </w:r>
      <w:r w:rsidR="00F87724">
        <w:t>irst,</w:t>
      </w:r>
      <w:bookmarkStart w:id="18" w:name="para151"/>
      <w:bookmarkEnd w:id="17"/>
      <w:r w:rsidR="00F157C0">
        <w:t xml:space="preserve"> </w:t>
      </w:r>
      <w:r w:rsidR="00BC1369">
        <w:t>the other element of the fraction involved in the clause 7.10(a) formula, the CRR</w:t>
      </w:r>
      <w:r w:rsidR="00F82F59">
        <w:t>, which wa</w:t>
      </w:r>
      <w:r w:rsidR="00BC1369">
        <w:t xml:space="preserve">s both the numerator and </w:t>
      </w:r>
      <w:r w:rsidR="001B74F5">
        <w:t>a</w:t>
      </w:r>
      <w:r w:rsidR="00BC1369">
        <w:t xml:space="preserve"> part of the sum which constitute</w:t>
      </w:r>
      <w:r w:rsidR="003B3EBB">
        <w:t>d</w:t>
      </w:r>
      <w:r w:rsidR="00BC1369">
        <w:t xml:space="preserve"> the CATS Capacities in the denominator</w:t>
      </w:r>
      <w:r w:rsidR="003B3EBB">
        <w:t xml:space="preserve">, </w:t>
      </w:r>
      <w:r w:rsidR="00335861">
        <w:t>could be revised downwards</w:t>
      </w:r>
      <w:r w:rsidR="00E524E1">
        <w:t>:</w:t>
      </w:r>
      <w:r w:rsidR="00BC1369">
        <w:t xml:space="preserve"> </w:t>
      </w:r>
    </w:p>
    <w:p w14:paraId="185FBD9C" w14:textId="163BD1EF" w:rsidR="00BC1369" w:rsidRDefault="00E524E1" w:rsidP="0020713C">
      <w:pPr>
        <w:pStyle w:val="Quote"/>
      </w:pPr>
      <w:r>
        <w:t>“</w:t>
      </w:r>
      <w:r w:rsidR="00140578">
        <w:t xml:space="preserve">151. … </w:t>
      </w:r>
      <w:r w:rsidR="00BC1369">
        <w:t xml:space="preserve">The CRR was defined in the CRTA as a rate of 8,334,900 cu m/d </w:t>
      </w:r>
      <w:r w:rsidR="008C6E57">
        <w:t>‘</w:t>
      </w:r>
      <w:r w:rsidR="00BC1369">
        <w:t>as the same may be adjusted in accordance with this Agreement</w:t>
      </w:r>
      <w:r w:rsidR="008C6E57">
        <w:t>’</w:t>
      </w:r>
      <w:r w:rsidR="00BC1369">
        <w:t xml:space="preserve">. By clause 21.1 of the CRTA TGTL had </w:t>
      </w:r>
      <w:r w:rsidR="00BC1369">
        <w:lastRenderedPageBreak/>
        <w:t>the right, on not less than two years' notice, to reduce, but not thereafter to increase, the CRR, provided that such reduction should not be effective before 1 October 2008. Under this clause, TGTL thus had the right to reduce the CRR, apparently on multiple occasions. It did, as a matter of fact, exercise that right by reducing the CRR to 6,515,000 cu m/d with effect from 1 October 2017 by a letter dated 28 September 2015. The CRR to be used in the formula was the up to date CRR, as amended pursuant to clause 21.1. I consider that the fact that this aspect of the equation was up to date in this sense, lends support to the idea that the parties intended the other aspect of the fraction, and the other aspect of the denominator, also to be up to date.</w:t>
      </w:r>
      <w:r w:rsidR="005606EF">
        <w:t>”</w:t>
      </w:r>
      <w:r w:rsidR="00BC1369">
        <w:t xml:space="preserve"> </w:t>
      </w:r>
      <w:bookmarkEnd w:id="18"/>
    </w:p>
    <w:p w14:paraId="01199792" w14:textId="44C456ED" w:rsidR="009636F5" w:rsidRDefault="00CD375D" w:rsidP="0020713C">
      <w:pPr>
        <w:pStyle w:val="ParaLevel1"/>
      </w:pPr>
      <w:r w:rsidRPr="00964632">
        <w:rPr>
          <w:rFonts w:hAnsi="Symbol"/>
        </w:rPr>
        <w:t>Second,</w:t>
      </w:r>
      <w:bookmarkStart w:id="19" w:name="para152"/>
      <w:r w:rsidR="00BC1369">
        <w:t xml:space="preserve"> </w:t>
      </w:r>
      <w:r w:rsidR="007B5EF2">
        <w:t xml:space="preserve">“strong </w:t>
      </w:r>
      <w:r w:rsidR="00BC1369">
        <w:t>support</w:t>
      </w:r>
      <w:r>
        <w:t>”</w:t>
      </w:r>
      <w:r w:rsidR="00BC1369">
        <w:t xml:space="preserve"> for </w:t>
      </w:r>
      <w:r w:rsidR="003D6299">
        <w:t xml:space="preserve">holding </w:t>
      </w:r>
      <w:r w:rsidR="00BC1369">
        <w:t xml:space="preserve">that </w:t>
      </w:r>
      <w:r w:rsidR="00C6048E">
        <w:t>“</w:t>
      </w:r>
      <w:r w:rsidR="00BC1369">
        <w:t>CATS Capacities</w:t>
      </w:r>
      <w:r w:rsidR="00C6048E">
        <w:t>”</w:t>
      </w:r>
      <w:r w:rsidR="00BC1369">
        <w:t xml:space="preserve"> </w:t>
      </w:r>
      <w:r w:rsidR="00C6048E">
        <w:t>wa</w:t>
      </w:r>
      <w:r w:rsidR="00BC1369">
        <w:t xml:space="preserve">s intended to be based on up to date usage </w:t>
      </w:r>
      <w:r w:rsidR="004525A1">
        <w:t>wa</w:t>
      </w:r>
      <w:r w:rsidR="00BC1369">
        <w:t xml:space="preserve">s afforded by other provisions within the </w:t>
      </w:r>
      <w:r w:rsidR="00687577">
        <w:t>Agreement</w:t>
      </w:r>
      <w:r w:rsidR="00021F76">
        <w:t xml:space="preserve"> </w:t>
      </w:r>
      <w:r w:rsidR="00BC1369">
        <w:t>which ma</w:t>
      </w:r>
      <w:r w:rsidR="00021F76">
        <w:t>d</w:t>
      </w:r>
      <w:r w:rsidR="00BC1369">
        <w:t>e use of the concept</w:t>
      </w:r>
      <w:r w:rsidR="00D64ACA">
        <w:t xml:space="preserve">, which </w:t>
      </w:r>
      <w:r w:rsidR="00560172">
        <w:t xml:space="preserve">were drafted on the basis that “CATS Capacity” </w:t>
      </w:r>
      <w:r w:rsidR="00CE45D1">
        <w:t xml:space="preserve">referred to </w:t>
      </w:r>
      <w:r w:rsidR="00315517">
        <w:t xml:space="preserve">current </w:t>
      </w:r>
      <w:r w:rsidR="000264F9">
        <w:t>contracted usage</w:t>
      </w:r>
      <w:r w:rsidR="00BC1369">
        <w:t>. Th</w:t>
      </w:r>
      <w:r w:rsidR="006A02AD">
        <w:t xml:space="preserve">e provisions which the judge </w:t>
      </w:r>
      <w:r w:rsidR="00124594">
        <w:t xml:space="preserve">identified in this regard were </w:t>
      </w:r>
      <w:r w:rsidR="00964632">
        <w:t xml:space="preserve">clause </w:t>
      </w:r>
      <w:r w:rsidR="00BC1369">
        <w:t xml:space="preserve">12.1(b)(ii) of the </w:t>
      </w:r>
      <w:proofErr w:type="spellStart"/>
      <w:r w:rsidR="00BC1369">
        <w:t>unamended</w:t>
      </w:r>
      <w:proofErr w:type="spellEnd"/>
      <w:r w:rsidR="00BC1369">
        <w:t xml:space="preserve"> </w:t>
      </w:r>
      <w:r w:rsidR="00BB5817">
        <w:t>A</w:t>
      </w:r>
      <w:r w:rsidR="00BC1369">
        <w:t>greement</w:t>
      </w:r>
      <w:r w:rsidR="006F5BEB">
        <w:t xml:space="preserve"> dealing with </w:t>
      </w:r>
      <w:r w:rsidR="00BC1369">
        <w:t>restriction</w:t>
      </w:r>
      <w:r w:rsidR="006F5BEB">
        <w:t>s</w:t>
      </w:r>
      <w:r w:rsidR="00BC1369">
        <w:t xml:space="preserve"> on throughput leading to a reduction in capacity</w:t>
      </w:r>
      <w:r w:rsidR="00D625D4">
        <w:t xml:space="preserve">, </w:t>
      </w:r>
      <w:r w:rsidR="001E184F">
        <w:t>c</w:t>
      </w:r>
      <w:r w:rsidR="00BC1369">
        <w:t>lause 16.1(</w:t>
      </w:r>
      <w:r w:rsidR="00784E4F">
        <w:t>c</w:t>
      </w:r>
      <w:r w:rsidR="00BC1369">
        <w:t>)(ii)</w:t>
      </w:r>
      <w:r w:rsidR="001E184F">
        <w:t xml:space="preserve"> dealing with substitution, </w:t>
      </w:r>
      <w:r w:rsidR="00D2110C">
        <w:t>and c</w:t>
      </w:r>
      <w:r w:rsidR="00BC1369">
        <w:t>lause 22</w:t>
      </w:r>
      <w:r w:rsidR="00FE4034">
        <w:t xml:space="preserve"> dealing with </w:t>
      </w:r>
      <w:r w:rsidR="00BC1369">
        <w:t>abandonment of the system by the CATS Parties</w:t>
      </w:r>
      <w:r w:rsidR="00A65DA9">
        <w:t>.</w:t>
      </w:r>
    </w:p>
    <w:bookmarkEnd w:id="19"/>
    <w:p w14:paraId="2BF9C28B" w14:textId="6F874EFD" w:rsidR="00BC1369" w:rsidRDefault="00401BCB" w:rsidP="0020713C">
      <w:pPr>
        <w:pStyle w:val="ParaLevel1"/>
      </w:pPr>
      <w:r>
        <w:t>Third,</w:t>
      </w:r>
      <w:r w:rsidR="001D4F21">
        <w:t xml:space="preserve"> the judge considered that</w:t>
      </w:r>
      <w:r w:rsidR="009173E3" w:rsidRPr="009173E3">
        <w:t xml:space="preserve"> </w:t>
      </w:r>
      <w:r w:rsidR="009173E3">
        <w:t>the phrase “applicable on each Day of the Contract Year in question</w:t>
      </w:r>
      <w:r w:rsidR="00321091">
        <w:t>”</w:t>
      </w:r>
      <w:r w:rsidR="009173E3">
        <w:t xml:space="preserve"> in the definitions of </w:t>
      </w:r>
      <w:r w:rsidR="00A17D21">
        <w:t xml:space="preserve">both </w:t>
      </w:r>
      <w:r w:rsidR="00B83642">
        <w:t>C</w:t>
      </w:r>
      <w:r w:rsidR="00720C20">
        <w:t>R</w:t>
      </w:r>
      <w:r w:rsidR="00A17D21">
        <w:t>R and CC</w:t>
      </w:r>
      <w:r w:rsidR="00B83642">
        <w:t xml:space="preserve"> </w:t>
      </w:r>
      <w:r w:rsidR="008E43BA">
        <w:t>in the</w:t>
      </w:r>
      <w:r w:rsidR="009173E3">
        <w:t xml:space="preserve"> formula in clause 7.10</w:t>
      </w:r>
      <w:r w:rsidR="00A709D7">
        <w:t xml:space="preserve"> emphasised that</w:t>
      </w:r>
      <w:r w:rsidR="00AC5900" w:rsidRPr="00AC5900">
        <w:t xml:space="preserve"> </w:t>
      </w:r>
      <w:r w:rsidR="00AC5900">
        <w:t>the rates used would be up to date rates, which m</w:t>
      </w:r>
      <w:r w:rsidR="00A82375">
        <w:t>ight</w:t>
      </w:r>
      <w:r w:rsidR="00AC5900">
        <w:t xml:space="preserve"> vary </w:t>
      </w:r>
      <w:proofErr w:type="gramStart"/>
      <w:r w:rsidR="00AC5900">
        <w:t>during the course of</w:t>
      </w:r>
      <w:proofErr w:type="gramEnd"/>
      <w:r w:rsidR="00AC5900">
        <w:t xml:space="preserve"> the year</w:t>
      </w:r>
      <w:r w:rsidR="00A82375">
        <w:t>.</w:t>
      </w:r>
    </w:p>
    <w:p w14:paraId="542CDA80" w14:textId="35086C18" w:rsidR="00A93927" w:rsidRDefault="00C73554" w:rsidP="0020713C">
      <w:pPr>
        <w:pStyle w:val="ParaLevel1"/>
      </w:pPr>
      <w:r w:rsidRPr="00D83FD2">
        <w:rPr>
          <w:rFonts w:hAnsi="Symbol"/>
        </w:rPr>
        <w:t>F</w:t>
      </w:r>
      <w:r w:rsidR="00351AB4" w:rsidRPr="00D83FD2">
        <w:rPr>
          <w:rFonts w:hAnsi="Symbol"/>
        </w:rPr>
        <w:t xml:space="preserve">inally, </w:t>
      </w:r>
      <w:r w:rsidR="009F52FF" w:rsidRPr="00D83FD2">
        <w:rPr>
          <w:rFonts w:hAnsi="Symbol"/>
        </w:rPr>
        <w:t xml:space="preserve">the judge found </w:t>
      </w:r>
      <w:r w:rsidR="00495568" w:rsidRPr="00D83FD2">
        <w:rPr>
          <w:rFonts w:hAnsi="Symbol"/>
        </w:rPr>
        <w:t>support for the view that</w:t>
      </w:r>
      <w:r w:rsidR="009E4F44">
        <w:rPr>
          <w:rFonts w:hAnsi="Symbol" w:hint="eastAsia"/>
        </w:rPr>
        <w:t>“</w:t>
      </w:r>
      <w:r w:rsidR="00FC1481" w:rsidRPr="00D83FD2">
        <w:rPr>
          <w:rFonts w:hAnsi="Symbol"/>
        </w:rPr>
        <w:t>CATS Capacity</w:t>
      </w:r>
      <w:r w:rsidR="00FC1481" w:rsidRPr="00D83FD2">
        <w:rPr>
          <w:rFonts w:hAnsi="Symbol" w:hint="eastAsia"/>
        </w:rPr>
        <w:t>”</w:t>
      </w:r>
      <w:r w:rsidR="00F702F0" w:rsidRPr="00D83FD2">
        <w:rPr>
          <w:rFonts w:hAnsi="Symbol"/>
        </w:rPr>
        <w:t xml:space="preserve">was intended to be a varying, updated </w:t>
      </w:r>
      <w:r w:rsidR="00F702F0" w:rsidRPr="00D83FD2">
        <w:rPr>
          <w:rFonts w:hAnsi="Symbol" w:hint="eastAsia"/>
        </w:rPr>
        <w:t>figure</w:t>
      </w:r>
      <w:r w:rsidR="00F702F0" w:rsidRPr="00D83FD2">
        <w:rPr>
          <w:rFonts w:hAnsi="Symbol"/>
        </w:rPr>
        <w:t xml:space="preserve"> </w:t>
      </w:r>
      <w:r w:rsidR="00A96161">
        <w:rPr>
          <w:rFonts w:hAnsi="Symbol"/>
        </w:rPr>
        <w:t>from</w:t>
      </w:r>
      <w:r w:rsidR="00F702F0" w:rsidRPr="00D83FD2">
        <w:rPr>
          <w:rFonts w:hAnsi="Symbol"/>
        </w:rPr>
        <w:t xml:space="preserve"> </w:t>
      </w:r>
      <w:bookmarkStart w:id="20" w:name="para154"/>
      <w:r w:rsidR="00BC1369">
        <w:t>the way in which the</w:t>
      </w:r>
      <w:r w:rsidR="00742C2C">
        <w:t xml:space="preserve"> definition of “Booked Capacities” was </w:t>
      </w:r>
      <w:r w:rsidR="004D464F">
        <w:t xml:space="preserve">dealt with </w:t>
      </w:r>
      <w:r w:rsidR="00BC1369">
        <w:t>through the process of amendment</w:t>
      </w:r>
      <w:r w:rsidR="004D464F">
        <w:t xml:space="preserve"> of the CRTA in 1998</w:t>
      </w:r>
      <w:r w:rsidR="00A93927">
        <w:t>:</w:t>
      </w:r>
    </w:p>
    <w:p w14:paraId="4F16F3E5" w14:textId="6E5BB5DF" w:rsidR="00D83FD2" w:rsidRDefault="00975E77" w:rsidP="0020713C">
      <w:pPr>
        <w:pStyle w:val="Quote"/>
      </w:pPr>
      <w:r>
        <w:t xml:space="preserve">“154. </w:t>
      </w:r>
      <w:r w:rsidR="00F25DF4">
        <w:t xml:space="preserve">The above analysis of the CRTA is further supported by the way in which the relevant concepts were expressed through </w:t>
      </w:r>
      <w:r w:rsidR="00F25DF4">
        <w:lastRenderedPageBreak/>
        <w:t>the process of amendment. The phrase 'maximum rates of delivery of Non-Capacity Gas notified by the CATS Operator pursuant to clause 4.6(a)(vii)' was, in the unamended CRTA, adopted as the definition of 'Booked Capacities'. The contractual purpose of the phrase 'Booked Capacities' was in determining matters of allocation, under Schedule XIII. Upon amendment in 1998, Schedule XIII was deleted, the allocation provisions being thereafter found in the TAA, and the term 'Booked Capacity' was defined in the TAA as 'the aggregate of all the Firm Shipper Capacities'. The 'Firm Shipper Capacities' are the DRCRs for each shipper, as set out in Schedule VII to the TAA, as updated from time to time in accordance with clause 10.8 (which included a provision for the amendment of Schedule VII no more frequently than quarterly). Of course, the definitions in Schedule XIII and in the TAA never co-existed, and cannot properly be used to cross-define terms. Nevertheless, it is a reasonable inference, having regard to the whole contractual scheme, that what was being referred to as 'Booked Capacity' was never intended to change, and that that phrase, like 'CATS Capacity' was a varying, updated, figure.</w:t>
      </w:r>
      <w:r w:rsidR="002E06BC">
        <w:t>”</w:t>
      </w:r>
      <w:r w:rsidR="00BC1369">
        <w:t xml:space="preserve"> </w:t>
      </w:r>
      <w:bookmarkEnd w:id="20"/>
    </w:p>
    <w:p w14:paraId="523AF75F" w14:textId="37A8ADE8" w:rsidR="00D83FD2" w:rsidRDefault="00EE7228" w:rsidP="0020713C">
      <w:pPr>
        <w:pStyle w:val="ParaLevel1"/>
      </w:pPr>
      <w:r>
        <w:t>All this led the judge to the conclusion</w:t>
      </w:r>
      <w:r w:rsidR="00E77944">
        <w:t>, at [155], that</w:t>
      </w:r>
      <w:r w:rsidR="005E2634" w:rsidRPr="005E2634">
        <w:t xml:space="preserve"> </w:t>
      </w:r>
      <w:r w:rsidR="005E2634">
        <w:t>“it was not intended, and is not the proper construction of the A</w:t>
      </w:r>
      <w:r w:rsidR="002E1DB2">
        <w:t>greement</w:t>
      </w:r>
      <w:r w:rsidR="005E2634">
        <w:t>, that the figure for CATS Capacities should include historical rates of delivery for Non-Capacity Gas</w:t>
      </w:r>
      <w:r w:rsidR="00D745E4">
        <w:t>”</w:t>
      </w:r>
      <w:r w:rsidR="005E2634">
        <w:t>.</w:t>
      </w:r>
    </w:p>
    <w:p w14:paraId="73F6735F" w14:textId="77777777" w:rsidR="003931BE" w:rsidRDefault="00A125FE" w:rsidP="0020713C">
      <w:pPr>
        <w:pStyle w:val="ParaLevel1"/>
      </w:pPr>
      <w:r>
        <w:t>The judge then turned to TGTL’s</w:t>
      </w:r>
      <w:r w:rsidR="007A4229">
        <w:t xml:space="preserve"> primary submission that</w:t>
      </w:r>
      <w:bookmarkStart w:id="21" w:name="para156"/>
      <w:r w:rsidR="00BC1369">
        <w:t xml:space="preserve"> the terms of the relevant definition and of clause 4.6(a)(vii) of the CRTA</w:t>
      </w:r>
      <w:r w:rsidR="009E6F2A">
        <w:t>, in particular the critical words “</w:t>
      </w:r>
      <w:r w:rsidR="000A1210">
        <w:t>the maximum rate</w:t>
      </w:r>
      <w:r w:rsidR="00A84C7C">
        <w:t xml:space="preserve"> of delivery of Non-Capacity Gas</w:t>
      </w:r>
      <w:r w:rsidR="00576633">
        <w:t xml:space="preserve"> at such point</w:t>
      </w:r>
      <w:r w:rsidR="002E4FD8">
        <w:t xml:space="preserve"> </w:t>
      </w:r>
      <w:r w:rsidR="005B0E8F">
        <w:t>du</w:t>
      </w:r>
      <w:r w:rsidR="002E4FD8">
        <w:t>ring the proposed period of transportation</w:t>
      </w:r>
      <w:r w:rsidR="009E6F2A">
        <w:t>”</w:t>
      </w:r>
      <w:r w:rsidR="002E4FD8">
        <w:t>,</w:t>
      </w:r>
      <w:r w:rsidR="00BC1369">
        <w:t xml:space="preserve"> did not permit </w:t>
      </w:r>
      <w:r w:rsidR="00574591">
        <w:t>the</w:t>
      </w:r>
      <w:r w:rsidR="00BC1369">
        <w:t xml:space="preserve"> construction which </w:t>
      </w:r>
      <w:r w:rsidR="00574591">
        <w:t xml:space="preserve">he had </w:t>
      </w:r>
      <w:r w:rsidR="00BC1369">
        <w:t xml:space="preserve">indicated. </w:t>
      </w:r>
      <w:bookmarkEnd w:id="21"/>
      <w:r w:rsidR="003931BE">
        <w:t>He found this submission unconvincing as a matter of language:</w:t>
      </w:r>
    </w:p>
    <w:p w14:paraId="02B37D11" w14:textId="77777777" w:rsidR="00ED65CB" w:rsidRDefault="00AC4BB3" w:rsidP="0020713C">
      <w:pPr>
        <w:pStyle w:val="Quote"/>
      </w:pPr>
      <w:bookmarkStart w:id="22" w:name="para158"/>
      <w:r>
        <w:t>“</w:t>
      </w:r>
      <w:r w:rsidR="003D7B32">
        <w:t xml:space="preserve">158. </w:t>
      </w:r>
      <w:r w:rsidR="00BC1369">
        <w:t xml:space="preserve">In my judgment the argument is unconvincing. In providing that what should be notified was the 'maximum rate of delivery' during the proposed period of transportation under a newly-entered into TPA, the parties were not seeking to identify a figure which would be the highest at any point during that period, which would then be the figure set in stone for the purposes of the CATS Capacity, absent a variation of the TPA. Instead, I consider that what was being sought was the relevant DRCR figure. In this regard, it is significant that in the TPAs, </w:t>
      </w:r>
      <w:r w:rsidR="00BC1369">
        <w:lastRenderedPageBreak/>
        <w:t xml:space="preserve">the DRCR was regularly referred to as the 'maximum rate' of reserved capacity. While I was not shown any transportation agreement pre-dating the conclusion of the CRTA in 1990, and thus was not shown any definition of a DRCR in terms of a 'maximum rate' which formed part of the background matrix to the contract as initially concluded, this usage was contained in almost all the TPAs, including the very first which dates from January 1991. I considered that it was very probable that in entering into the CRTA the parties had had such a way of referring to a DRCR in mind. In any event this type of definition of DRCRs was used in a number of other TPAs dating from the period between 1991 and 1998, and these can, I consider, be taken into account as part of the background known or taken to be known to the parties, when construing the CRTA as amended in 1998. </w:t>
      </w:r>
      <w:bookmarkStart w:id="23" w:name="para159"/>
      <w:bookmarkEnd w:id="22"/>
    </w:p>
    <w:p w14:paraId="0F92D97E" w14:textId="6A558ACF" w:rsidR="00ED65CB" w:rsidRDefault="00ED65CB" w:rsidP="0020713C">
      <w:pPr>
        <w:pStyle w:val="Quote"/>
      </w:pPr>
      <w:r>
        <w:t xml:space="preserve">159. </w:t>
      </w:r>
      <w:r w:rsidR="00BC1369">
        <w:t>Accordingly, I consider that what clause 4.6(a)(vii) was requiring should be notified was the DRCR figure specified in the TPA.</w:t>
      </w:r>
      <w:r w:rsidR="007F7FCA">
        <w:t xml:space="preserve"> …</w:t>
      </w:r>
      <w:r w:rsidR="00BC1369">
        <w:t xml:space="preserve"> </w:t>
      </w:r>
    </w:p>
    <w:p w14:paraId="7851C275" w14:textId="3956F22E" w:rsidR="00BC1369" w:rsidRDefault="00617FED" w:rsidP="0020713C">
      <w:pPr>
        <w:pStyle w:val="Quote"/>
      </w:pPr>
      <w:bookmarkStart w:id="24" w:name="para160"/>
      <w:bookmarkEnd w:id="23"/>
      <w:r>
        <w:t xml:space="preserve">160. </w:t>
      </w:r>
      <w:r w:rsidR="00BC1369">
        <w:t>Furthermore, and consistently with the above, I consider that it is plain that the parties intended that the figure notified under 4.6(a)(vii) should be kept up to date, and that this was the purpose of the reference to 'subject to any changes notified pursuant to clause 4.6(b)(i)'. Under the unamended CRTA, the information notified under clause 4.6(a) was to be updated no less frequently than quarterly. That would have allowed the updating of the figures for the maximum rate of delivery of Non-Capacity Gas. In this way the up to date DRCR figure would be available for the calculation of CATS Capacity, consistently with the overall intention of the CRTA for this to be an up to date figure, as discussed in the previous section of this judgment.</w:t>
      </w:r>
      <w:r w:rsidR="00966214">
        <w:t>”</w:t>
      </w:r>
      <w:r w:rsidR="00BC1369">
        <w:t xml:space="preserve"> </w:t>
      </w:r>
      <w:bookmarkEnd w:id="24"/>
    </w:p>
    <w:p w14:paraId="2AAC02F9" w14:textId="1473424A" w:rsidR="00BC1369" w:rsidRDefault="005505C3" w:rsidP="0020713C">
      <w:pPr>
        <w:pStyle w:val="ParaLevel1"/>
      </w:pPr>
      <w:r>
        <w:t xml:space="preserve">Having </w:t>
      </w:r>
      <w:r w:rsidR="00E94930">
        <w:t xml:space="preserve">rejected </w:t>
      </w:r>
      <w:r>
        <w:t>TGTL’s</w:t>
      </w:r>
      <w:r w:rsidR="007C6323">
        <w:t xml:space="preserve"> primary case, the judge</w:t>
      </w:r>
      <w:r w:rsidR="00E94930">
        <w:t xml:space="preserve"> dealt with its fallback position that</w:t>
      </w:r>
      <w:bookmarkStart w:id="25" w:name="para163"/>
      <w:r w:rsidR="00B8399F">
        <w:t xml:space="preserve"> </w:t>
      </w:r>
      <w:r w:rsidR="00BC1369">
        <w:t xml:space="preserve">even if the information required under clause 4.6(a)(vii) was the DRCR, </w:t>
      </w:r>
      <w:r w:rsidR="00C46006">
        <w:t xml:space="preserve">the figure notified </w:t>
      </w:r>
      <w:r w:rsidR="00BC1369">
        <w:t xml:space="preserve">could </w:t>
      </w:r>
      <w:r w:rsidR="00C46006">
        <w:t xml:space="preserve">only </w:t>
      </w:r>
      <w:r w:rsidR="00BC1369">
        <w:t>be amended if there was a request for such an amendment from TGTL</w:t>
      </w:r>
      <w:r w:rsidR="00C46006">
        <w:t xml:space="preserve">, </w:t>
      </w:r>
      <w:r w:rsidR="002A19E1">
        <w:t>which there had not been</w:t>
      </w:r>
      <w:r w:rsidR="00BC1369">
        <w:t>. This</w:t>
      </w:r>
      <w:r w:rsidR="00B57C36">
        <w:t xml:space="preserve"> </w:t>
      </w:r>
      <w:r w:rsidR="00BC1369">
        <w:t>was s</w:t>
      </w:r>
      <w:r w:rsidR="00B57C36">
        <w:t>ai</w:t>
      </w:r>
      <w:r w:rsidR="00BC1369">
        <w:t>d</w:t>
      </w:r>
      <w:r w:rsidR="00B57C36">
        <w:t xml:space="preserve"> to be </w:t>
      </w:r>
      <w:r w:rsidR="00BC1369">
        <w:t xml:space="preserve">the effect of the amendment to clause 4.6(b) in 1998 to provide that notices under that clause were to be provided </w:t>
      </w:r>
      <w:r w:rsidR="00BC3607">
        <w:t>“</w:t>
      </w:r>
      <w:r w:rsidR="00BC1369">
        <w:t xml:space="preserve">from time to time, upon receipt of a request from </w:t>
      </w:r>
      <w:r w:rsidR="00BC3607">
        <w:t>[TGTL]</w:t>
      </w:r>
      <w:r w:rsidR="00552140">
        <w:t>”</w:t>
      </w:r>
      <w:r w:rsidR="00BC1369">
        <w:t xml:space="preserve">. That </w:t>
      </w:r>
      <w:r w:rsidR="00B66B31">
        <w:t xml:space="preserve">was said to </w:t>
      </w:r>
      <w:r w:rsidR="00BC1369">
        <w:t xml:space="preserve">create a condition precedent, namely a request from TGTL. It was further submitted that, in any event, the CATS Parties had not in fact updated the clause 4.6(a) information pursuant to clause 4.6(b). </w:t>
      </w:r>
      <w:bookmarkEnd w:id="25"/>
    </w:p>
    <w:p w14:paraId="216EF511" w14:textId="6DA4FCA1" w:rsidR="00552140" w:rsidRDefault="00ED047F" w:rsidP="0020713C">
      <w:pPr>
        <w:pStyle w:val="ParaLevel1"/>
      </w:pPr>
      <w:r>
        <w:lastRenderedPageBreak/>
        <w:t xml:space="preserve">The </w:t>
      </w:r>
      <w:r w:rsidR="00DF46EE">
        <w:t>judge rejected this alternative case</w:t>
      </w:r>
      <w:r w:rsidR="00A2480F">
        <w:t xml:space="preserve"> both as a matter of construction of the amended clause 4.6(b),</w:t>
      </w:r>
      <w:r w:rsidR="00E72C63">
        <w:t xml:space="preserve"> which he held did not</w:t>
      </w:r>
      <w:r w:rsidR="006C0142">
        <w:t xml:space="preserve"> </w:t>
      </w:r>
      <w:r w:rsidR="00EA4EFC">
        <w:t xml:space="preserve">require the information to be provided in any particular form and </w:t>
      </w:r>
      <w:r w:rsidR="00B52410">
        <w:t xml:space="preserve">did not </w:t>
      </w:r>
      <w:r w:rsidR="006C0142">
        <w:t>mean that a request by</w:t>
      </w:r>
      <w:r w:rsidR="0056629F">
        <w:t xml:space="preserve"> TGTL was a condition precedent to</w:t>
      </w:r>
      <w:r w:rsidR="002F3F5A">
        <w:t xml:space="preserve"> the provision of updated information</w:t>
      </w:r>
      <w:r w:rsidR="00286488">
        <w:t>,</w:t>
      </w:r>
      <w:r w:rsidR="00782519">
        <w:t xml:space="preserve"> and </w:t>
      </w:r>
      <w:r w:rsidR="00B52410">
        <w:t xml:space="preserve">also </w:t>
      </w:r>
      <w:r w:rsidR="00782519">
        <w:t>because,</w:t>
      </w:r>
      <w:r w:rsidR="00BB2707">
        <w:t xml:space="preserve"> as a matter of fact</w:t>
      </w:r>
      <w:r w:rsidR="00ED0BA4">
        <w:t>,</w:t>
      </w:r>
      <w:r w:rsidR="008378F5">
        <w:t xml:space="preserve"> updated in</w:t>
      </w:r>
      <w:r w:rsidR="00DE12E6">
        <w:t>formation</w:t>
      </w:r>
      <w:r w:rsidR="008B53D7">
        <w:t xml:space="preserve"> satisfying the requirements of</w:t>
      </w:r>
      <w:r w:rsidR="008378F5">
        <w:t xml:space="preserve"> clause</w:t>
      </w:r>
      <w:r w:rsidR="00975EEF">
        <w:t xml:space="preserve"> </w:t>
      </w:r>
      <w:r w:rsidR="008B53D7">
        <w:t xml:space="preserve">4.6(b) </w:t>
      </w:r>
      <w:r w:rsidR="00975EEF">
        <w:t>had been provided to TGTL</w:t>
      </w:r>
      <w:r w:rsidR="006B195E">
        <w:t xml:space="preserve"> through various update s</w:t>
      </w:r>
      <w:r w:rsidR="00A150A0">
        <w:t>chedules</w:t>
      </w:r>
      <w:r w:rsidR="000375FE">
        <w:t xml:space="preserve"> served upon it pursuant to the</w:t>
      </w:r>
      <w:r w:rsidR="00EA4EFC">
        <w:t xml:space="preserve"> TAA.</w:t>
      </w:r>
    </w:p>
    <w:p w14:paraId="6D7C8EA4" w14:textId="30FA7FF8" w:rsidR="0013550C" w:rsidRPr="004E3BDC" w:rsidRDefault="0013550C" w:rsidP="0020713C">
      <w:pPr>
        <w:pStyle w:val="ParaLevel1"/>
        <w:numPr>
          <w:ilvl w:val="0"/>
          <w:numId w:val="0"/>
        </w:numPr>
        <w:rPr>
          <w:b/>
          <w:bCs/>
        </w:rPr>
      </w:pPr>
      <w:r w:rsidRPr="004E3BDC">
        <w:rPr>
          <w:b/>
          <w:bCs/>
        </w:rPr>
        <w:t>The parties’ submissions on appeal</w:t>
      </w:r>
    </w:p>
    <w:p w14:paraId="51CBB434" w14:textId="01D23DBE" w:rsidR="002D3B53" w:rsidRDefault="00E96358" w:rsidP="0020713C">
      <w:pPr>
        <w:pStyle w:val="ParaLevel1"/>
      </w:pPr>
      <w:r>
        <w:t>It was common ground bef</w:t>
      </w:r>
      <w:r w:rsidR="002D3B53">
        <w:t>ore us,</w:t>
      </w:r>
      <w:r w:rsidR="00953E69">
        <w:t xml:space="preserve"> as it had been </w:t>
      </w:r>
      <w:r w:rsidR="0099003B">
        <w:t xml:space="preserve">at the </w:t>
      </w:r>
      <w:r w:rsidR="00953E69">
        <w:t>trial,</w:t>
      </w:r>
      <w:r w:rsidR="0005447C">
        <w:t xml:space="preserve"> that the meaning of</w:t>
      </w:r>
      <w:r w:rsidR="002F670A">
        <w:t xml:space="preserve"> clause 4.6(a)</w:t>
      </w:r>
      <w:r w:rsidR="009217BA">
        <w:t xml:space="preserve"> was not affected by the amendments made in 1998</w:t>
      </w:r>
      <w:r w:rsidR="00B31E36">
        <w:t>,</w:t>
      </w:r>
      <w:r w:rsidR="00672574">
        <w:t xml:space="preserve"> </w:t>
      </w:r>
      <w:r w:rsidR="002D22B1">
        <w:t>including the amendment to cl</w:t>
      </w:r>
      <w:r w:rsidR="008F11BC">
        <w:t>a</w:t>
      </w:r>
      <w:r w:rsidR="002D22B1">
        <w:t>use 4.6(b)</w:t>
      </w:r>
      <w:r w:rsidR="008F11BC">
        <w:t xml:space="preserve">, </w:t>
      </w:r>
      <w:r w:rsidR="00C85E17">
        <w:t>and</w:t>
      </w:r>
      <w:r w:rsidR="009A376B">
        <w:t xml:space="preserve"> </w:t>
      </w:r>
      <w:r w:rsidR="00672574">
        <w:t>therefore</w:t>
      </w:r>
      <w:r w:rsidR="00144F2D">
        <w:t xml:space="preserve"> remain</w:t>
      </w:r>
      <w:r w:rsidR="00C85E17">
        <w:t>ed</w:t>
      </w:r>
      <w:r w:rsidR="00144F2D">
        <w:t xml:space="preserve"> the same after those amendments as it had been when the A</w:t>
      </w:r>
      <w:r w:rsidR="007A4A92">
        <w:t>greement</w:t>
      </w:r>
      <w:r w:rsidR="00F9003D">
        <w:t xml:space="preserve"> was concluded in 1990.</w:t>
      </w:r>
    </w:p>
    <w:p w14:paraId="1B751DF5" w14:textId="5FDD8F34" w:rsidR="00AE1C38" w:rsidRDefault="004A6D8C" w:rsidP="0020713C">
      <w:pPr>
        <w:pStyle w:val="ParaLevel1"/>
      </w:pPr>
      <w:r>
        <w:t>For TGTL Mr Bankim Thanki QC</w:t>
      </w:r>
      <w:r w:rsidR="00A15CDB">
        <w:t xml:space="preserve"> focused</w:t>
      </w:r>
      <w:r w:rsidR="00A02FBF">
        <w:t xml:space="preserve"> principally</w:t>
      </w:r>
      <w:r w:rsidR="007C3500">
        <w:t xml:space="preserve"> </w:t>
      </w:r>
      <w:r w:rsidR="00525AB5">
        <w:t xml:space="preserve">on </w:t>
      </w:r>
      <w:r w:rsidR="007C3500">
        <w:t>the language of clause 4</w:t>
      </w:r>
      <w:r w:rsidR="00AC0ABB">
        <w:t>.6(a)</w:t>
      </w:r>
      <w:r w:rsidR="00525AB5">
        <w:t>(vii) and</w:t>
      </w:r>
      <w:r w:rsidR="0068351B">
        <w:t xml:space="preserve"> </w:t>
      </w:r>
      <w:r w:rsidR="00DE530A">
        <w:t xml:space="preserve">in </w:t>
      </w:r>
      <w:r w:rsidR="0068351B">
        <w:t>particular on the</w:t>
      </w:r>
      <w:r w:rsidR="00B538F3">
        <w:t xml:space="preserve"> underlined words in the phrase “the </w:t>
      </w:r>
      <w:r w:rsidR="00B538F3" w:rsidRPr="00905427">
        <w:rPr>
          <w:u w:val="single"/>
        </w:rPr>
        <w:t>maximum rate</w:t>
      </w:r>
      <w:r w:rsidR="00B538F3">
        <w:t xml:space="preserve"> of delivery of</w:t>
      </w:r>
      <w:r w:rsidR="00B67C33">
        <w:t xml:space="preserve"> Non-Capacity Gas</w:t>
      </w:r>
      <w:r w:rsidR="00345284">
        <w:t xml:space="preserve"> </w:t>
      </w:r>
      <w:r w:rsidR="00345284" w:rsidRPr="00905427">
        <w:rPr>
          <w:u w:val="single"/>
        </w:rPr>
        <w:t>during the proposed period of transportation</w:t>
      </w:r>
      <w:r w:rsidR="00345284">
        <w:t>”.</w:t>
      </w:r>
      <w:r w:rsidR="00DE530A">
        <w:t xml:space="preserve"> He </w:t>
      </w:r>
      <w:r w:rsidR="006A7FD0">
        <w:t>submitted that “the proposed period of</w:t>
      </w:r>
      <w:r w:rsidR="00EE2F7C">
        <w:t xml:space="preserve"> transportation”</w:t>
      </w:r>
      <w:r w:rsidR="00660D44">
        <w:t xml:space="preserve"> was, and was only capable of being,</w:t>
      </w:r>
      <w:r w:rsidR="00EF442D">
        <w:t xml:space="preserve"> the period between</w:t>
      </w:r>
      <w:r w:rsidR="00801CF6">
        <w:t xml:space="preserve"> the commencement date to be notified under </w:t>
      </w:r>
      <w:r w:rsidR="00D72945">
        <w:t>paragraph (</w:t>
      </w:r>
      <w:r w:rsidR="00E33A8B">
        <w:t>iv) of the clause</w:t>
      </w:r>
      <w:r w:rsidR="005B7A4E">
        <w:t xml:space="preserve"> </w:t>
      </w:r>
      <w:r w:rsidR="00533D52">
        <w:t xml:space="preserve">and the </w:t>
      </w:r>
      <w:r w:rsidR="005B7A4E">
        <w:t>termination date to be notified under paragraph (</w:t>
      </w:r>
      <w:r w:rsidR="00533D52">
        <w:t>v)</w:t>
      </w:r>
      <w:r w:rsidR="00C516CF">
        <w:t>,</w:t>
      </w:r>
      <w:r w:rsidR="00B61BED">
        <w:t xml:space="preserve"> so that what was required by paragraph (</w:t>
      </w:r>
      <w:r w:rsidR="0093266E">
        <w:t>vii)</w:t>
      </w:r>
      <w:r w:rsidR="008D44E1">
        <w:t xml:space="preserve"> was a </w:t>
      </w:r>
      <w:r w:rsidR="000A6138">
        <w:t>forward</w:t>
      </w:r>
      <w:r w:rsidR="006926B3">
        <w:t xml:space="preserve">-looking </w:t>
      </w:r>
      <w:r w:rsidR="008D44E1">
        <w:t>statement</w:t>
      </w:r>
      <w:r w:rsidR="003A5291">
        <w:t>,</w:t>
      </w:r>
      <w:r w:rsidR="008B1ACE">
        <w:t xml:space="preserve"> made promptly after the conclusion of </w:t>
      </w:r>
      <w:r w:rsidR="00DD7085">
        <w:t>each</w:t>
      </w:r>
      <w:r w:rsidR="008B1ACE">
        <w:t xml:space="preserve"> TPA</w:t>
      </w:r>
      <w:r w:rsidR="00DD7085">
        <w:t>, of the maximum rate</w:t>
      </w:r>
      <w:r w:rsidR="00AE21FF">
        <w:t xml:space="preserve"> of delivery</w:t>
      </w:r>
      <w:r w:rsidR="001E0746">
        <w:t xml:space="preserve"> of gas</w:t>
      </w:r>
      <w:r w:rsidR="00EA46A9">
        <w:t xml:space="preserve"> </w:t>
      </w:r>
      <w:r w:rsidR="00B26315">
        <w:t>during</w:t>
      </w:r>
      <w:r w:rsidR="00AA3C2F">
        <w:t xml:space="preserve"> the whole of the period</w:t>
      </w:r>
      <w:r w:rsidR="006D226C">
        <w:t xml:space="preserve"> covered by the </w:t>
      </w:r>
      <w:r w:rsidR="009D3938">
        <w:t xml:space="preserve">TPA </w:t>
      </w:r>
      <w:r w:rsidR="006D226C">
        <w:t>in question.</w:t>
      </w:r>
    </w:p>
    <w:p w14:paraId="330DB536" w14:textId="25C029E5" w:rsidR="00E2216F" w:rsidRDefault="00E2216F" w:rsidP="0020713C">
      <w:pPr>
        <w:pStyle w:val="ParaLevel1"/>
      </w:pPr>
      <w:r>
        <w:t>Mr Thanki</w:t>
      </w:r>
      <w:r w:rsidR="00B0090F">
        <w:t xml:space="preserve"> identified three</w:t>
      </w:r>
      <w:r w:rsidR="00DF2D85">
        <w:t xml:space="preserve"> principal errors, as he submitted, on the part of the judge.</w:t>
      </w:r>
      <w:r w:rsidR="001F5698">
        <w:t xml:space="preserve"> </w:t>
      </w:r>
      <w:r w:rsidR="00E85FE2">
        <w:t>The first such error was t</w:t>
      </w:r>
      <w:r w:rsidR="00125901">
        <w:t>hat</w:t>
      </w:r>
      <w:r w:rsidR="00E85FE2">
        <w:t xml:space="preserve"> the judge had</w:t>
      </w:r>
      <w:r w:rsidR="00BA0152">
        <w:t xml:space="preserve"> significantly</w:t>
      </w:r>
      <w:r w:rsidR="00E85FE2">
        <w:t xml:space="preserve"> undervalued the </w:t>
      </w:r>
      <w:r w:rsidR="00E85FE2">
        <w:lastRenderedPageBreak/>
        <w:t>language of</w:t>
      </w:r>
      <w:r w:rsidR="007F103C">
        <w:t xml:space="preserve"> </w:t>
      </w:r>
      <w:r w:rsidR="00E85FE2">
        <w:t>clause 4.6(a)(vii)</w:t>
      </w:r>
      <w:r w:rsidR="007F103C">
        <w:t xml:space="preserve"> of the A</w:t>
      </w:r>
      <w:r w:rsidR="00BB11DA">
        <w:t>greement</w:t>
      </w:r>
      <w:r w:rsidR="00851442">
        <w:t xml:space="preserve">, </w:t>
      </w:r>
      <w:r w:rsidR="00805B65">
        <w:t xml:space="preserve">for example </w:t>
      </w:r>
      <w:r w:rsidR="00F94BB1">
        <w:t>by his express rejection</w:t>
      </w:r>
      <w:r w:rsidR="00F310C3">
        <w:t xml:space="preserve"> at [158]</w:t>
      </w:r>
      <w:r w:rsidR="00F66AD8">
        <w:t xml:space="preserve"> of </w:t>
      </w:r>
      <w:r w:rsidR="00B25B8A">
        <w:t>the proposition that</w:t>
      </w:r>
      <w:r w:rsidR="00C36D88">
        <w:t xml:space="preserve"> “the maximum rate of delivery …</w:t>
      </w:r>
      <w:r w:rsidR="00E118C0">
        <w:t xml:space="preserve"> </w:t>
      </w:r>
      <w:r w:rsidR="00F21226">
        <w:t>du</w:t>
      </w:r>
      <w:r w:rsidR="00E118C0">
        <w:t>ring the proposed period of transportation”</w:t>
      </w:r>
      <w:r w:rsidR="00F21226">
        <w:t xml:space="preserve"> </w:t>
      </w:r>
      <w:r w:rsidR="007B4109">
        <w:t>m</w:t>
      </w:r>
      <w:r w:rsidR="00B8209E">
        <w:t>eant the</w:t>
      </w:r>
      <w:r w:rsidR="00D655C3">
        <w:t xml:space="preserve"> “figure</w:t>
      </w:r>
      <w:r w:rsidR="00807A6D">
        <w:t xml:space="preserve"> </w:t>
      </w:r>
      <w:r w:rsidR="00931DE0">
        <w:t xml:space="preserve">which would </w:t>
      </w:r>
      <w:r w:rsidR="00514EA9">
        <w:t xml:space="preserve">be </w:t>
      </w:r>
      <w:r w:rsidR="00931DE0">
        <w:t xml:space="preserve">the highest at any point during that period” </w:t>
      </w:r>
      <w:r w:rsidR="00877202">
        <w:t>wh</w:t>
      </w:r>
      <w:r w:rsidR="002106C2">
        <w:t>en that, said Mr Thanki, was precisely what the words meant.</w:t>
      </w:r>
      <w:r w:rsidR="00715781">
        <w:t xml:space="preserve"> The second such </w:t>
      </w:r>
      <w:r w:rsidR="00BD4C35">
        <w:t xml:space="preserve">error was to </w:t>
      </w:r>
      <w:r w:rsidR="00E30133">
        <w:t>allow</w:t>
      </w:r>
      <w:r w:rsidR="00F506AA">
        <w:t xml:space="preserve"> his view that the Capacity Fee </w:t>
      </w:r>
      <w:r w:rsidR="00C64067">
        <w:t>provided for a cost sharing regime based on usage of the pipeline</w:t>
      </w:r>
      <w:r w:rsidR="006331C9">
        <w:t xml:space="preserve"> to drive his construction of the</w:t>
      </w:r>
      <w:r w:rsidR="00E847AE">
        <w:t xml:space="preserve"> </w:t>
      </w:r>
      <w:r w:rsidR="00BB5817">
        <w:t>A</w:t>
      </w:r>
      <w:r w:rsidR="00892BF5">
        <w:t xml:space="preserve">greement. </w:t>
      </w:r>
      <w:r w:rsidR="001F5698">
        <w:t>The third such error</w:t>
      </w:r>
      <w:r w:rsidR="00091B8F">
        <w:t xml:space="preserve"> was to construe the</w:t>
      </w:r>
      <w:r w:rsidR="00D027DE">
        <w:t xml:space="preserve"> CRTA by reference to the</w:t>
      </w:r>
      <w:r w:rsidR="00B65102">
        <w:t xml:space="preserve"> TPAs</w:t>
      </w:r>
      <w:r w:rsidR="006D131B">
        <w:t>,</w:t>
      </w:r>
      <w:r w:rsidR="006C3830">
        <w:t xml:space="preserve"> with their concept of DRCRs</w:t>
      </w:r>
      <w:r w:rsidR="00ED67EA">
        <w:t xml:space="preserve"> which would </w:t>
      </w:r>
      <w:r w:rsidR="005543FF">
        <w:t>fluctuate from time to time</w:t>
      </w:r>
      <w:r w:rsidR="006C3830">
        <w:t>,</w:t>
      </w:r>
      <w:r w:rsidR="00C85573">
        <w:t xml:space="preserve"> when those TPAs</w:t>
      </w:r>
      <w:r w:rsidR="00E7079E">
        <w:t xml:space="preserve"> were only concluded</w:t>
      </w:r>
      <w:r w:rsidR="000B525E">
        <w:t xml:space="preserve"> some years after the A</w:t>
      </w:r>
      <w:r w:rsidR="001C5015">
        <w:t>greement</w:t>
      </w:r>
      <w:r w:rsidR="00D37BD6">
        <w:t xml:space="preserve"> </w:t>
      </w:r>
      <w:r w:rsidR="00516B7C">
        <w:t>(which contained no mentio</w:t>
      </w:r>
      <w:r w:rsidR="00491B20">
        <w:t>n of DRCRs)</w:t>
      </w:r>
      <w:r w:rsidR="006323D5">
        <w:t xml:space="preserve"> </w:t>
      </w:r>
      <w:r w:rsidR="00D37BD6">
        <w:t xml:space="preserve">and </w:t>
      </w:r>
      <w:r w:rsidR="00F0072B">
        <w:t xml:space="preserve">were </w:t>
      </w:r>
      <w:r w:rsidR="00D37BD6">
        <w:t xml:space="preserve">therefore </w:t>
      </w:r>
      <w:r w:rsidR="00F0072B">
        <w:t>irrelevant to</w:t>
      </w:r>
      <w:r w:rsidR="008E38BD">
        <w:t xml:space="preserve"> its</w:t>
      </w:r>
      <w:r w:rsidR="00131A4C">
        <w:t xml:space="preserve"> </w:t>
      </w:r>
      <w:r w:rsidR="00D37BD6">
        <w:t>co</w:t>
      </w:r>
      <w:r w:rsidR="00131A4C">
        <w:t>nstruction in 1990</w:t>
      </w:r>
      <w:r w:rsidR="008238DA">
        <w:t>;</w:t>
      </w:r>
      <w:r w:rsidR="00990789">
        <w:t xml:space="preserve"> when TGTL </w:t>
      </w:r>
      <w:r w:rsidR="00BC326C">
        <w:t xml:space="preserve">had </w:t>
      </w:r>
      <w:r w:rsidR="00990789">
        <w:t xml:space="preserve">no knowledge of the </w:t>
      </w:r>
      <w:r w:rsidR="00BC326C">
        <w:t xml:space="preserve">terms </w:t>
      </w:r>
      <w:r w:rsidR="00990789">
        <w:t>of those TPAs</w:t>
      </w:r>
      <w:r w:rsidR="00C6441E">
        <w:t xml:space="preserve"> even when they were concluded; and when i</w:t>
      </w:r>
      <w:r w:rsidR="00DD3E81">
        <w:t>n any event</w:t>
      </w:r>
      <w:r w:rsidR="0074686C">
        <w:t xml:space="preserve"> the DRCR</w:t>
      </w:r>
      <w:r w:rsidR="007D07EA">
        <w:t>s</w:t>
      </w:r>
      <w:r w:rsidR="00262D2A">
        <w:t xml:space="preserve"> were not maximum rates for the whole period of </w:t>
      </w:r>
      <w:r w:rsidR="00080A90">
        <w:t>each TPA,</w:t>
      </w:r>
      <w:r w:rsidR="008F21FF">
        <w:t xml:space="preserve"> but were merely current rates </w:t>
      </w:r>
      <w:r w:rsidR="00D5517F">
        <w:t xml:space="preserve">for firm booked capacity </w:t>
      </w:r>
      <w:r w:rsidR="008F21FF">
        <w:t xml:space="preserve">which could be adjusted upwards </w:t>
      </w:r>
      <w:r w:rsidR="00AA5CA9">
        <w:t xml:space="preserve">or downwards from time </w:t>
      </w:r>
      <w:r w:rsidR="008F21FF">
        <w:t>to time.</w:t>
      </w:r>
    </w:p>
    <w:p w14:paraId="07A32F7C" w14:textId="41EF6CA1" w:rsidR="003729EB" w:rsidRDefault="003B3E57" w:rsidP="0020713C">
      <w:pPr>
        <w:pStyle w:val="ParaLevel1"/>
      </w:pPr>
      <w:r>
        <w:t xml:space="preserve">For the CATS Parties </w:t>
      </w:r>
      <w:r w:rsidR="002774FF">
        <w:t>Mr Tim Lord QC supported the judge’s reasoning.</w:t>
      </w:r>
      <w:r w:rsidR="00632658">
        <w:t xml:space="preserve"> </w:t>
      </w:r>
      <w:r w:rsidR="003351B6">
        <w:t>H</w:t>
      </w:r>
      <w:r w:rsidR="00632658">
        <w:t>e</w:t>
      </w:r>
      <w:r w:rsidR="003351B6">
        <w:t xml:space="preserve"> </w:t>
      </w:r>
      <w:r w:rsidR="007627CE">
        <w:t>emphasised that the</w:t>
      </w:r>
      <w:r w:rsidR="009344CC">
        <w:t xml:space="preserve"> A</w:t>
      </w:r>
      <w:r w:rsidR="004D675B">
        <w:t>greement</w:t>
      </w:r>
      <w:r w:rsidR="00A5589D">
        <w:t xml:space="preserve"> should be viewed as a whole</w:t>
      </w:r>
      <w:r w:rsidR="00C8495A">
        <w:t xml:space="preserve"> and that </w:t>
      </w:r>
      <w:r w:rsidR="00A63858">
        <w:t xml:space="preserve">it </w:t>
      </w:r>
      <w:r w:rsidR="006C510C">
        <w:t>was intended to operate</w:t>
      </w:r>
      <w:r w:rsidR="005E4DE6">
        <w:t xml:space="preserve"> for over 20 years</w:t>
      </w:r>
      <w:r w:rsidR="007A2F90">
        <w:t xml:space="preserve"> before the Capacity Fee</w:t>
      </w:r>
      <w:r w:rsidR="00A63858">
        <w:t xml:space="preserve"> formula even became relevant.</w:t>
      </w:r>
      <w:r w:rsidR="00590636">
        <w:t xml:space="preserve"> </w:t>
      </w:r>
      <w:r w:rsidR="00707F9C">
        <w:t>View</w:t>
      </w:r>
      <w:r w:rsidR="00590636">
        <w:t>ing the contract as a whole</w:t>
      </w:r>
      <w:r w:rsidR="007C5878">
        <w:t xml:space="preserve"> it was plain that</w:t>
      </w:r>
      <w:r w:rsidR="00C76EAB">
        <w:t xml:space="preserve"> the language used in clause 4.6(a)(vii)</w:t>
      </w:r>
      <w:r w:rsidR="00364544">
        <w:t xml:space="preserve"> which was incorporated into the definition of</w:t>
      </w:r>
      <w:r w:rsidR="009C5CBC">
        <w:t xml:space="preserve"> “CATS Capacity”</w:t>
      </w:r>
      <w:r w:rsidR="007D12AA">
        <w:t>, as well as the term “</w:t>
      </w:r>
      <w:r w:rsidR="00FA08F2">
        <w:t>CATS Capacity”</w:t>
      </w:r>
      <w:r w:rsidR="00E41852">
        <w:t xml:space="preserve"> </w:t>
      </w:r>
      <w:r w:rsidR="006E1E6C">
        <w:t>it</w:t>
      </w:r>
      <w:r w:rsidR="00E41852">
        <w:t>self,</w:t>
      </w:r>
      <w:r w:rsidR="006E1E6C">
        <w:t xml:space="preserve"> was used </w:t>
      </w:r>
      <w:r w:rsidR="005C7738">
        <w:t xml:space="preserve">elsewhere </w:t>
      </w:r>
      <w:r w:rsidR="006E1E6C">
        <w:t>to</w:t>
      </w:r>
      <w:r w:rsidR="00E53B41">
        <w:t xml:space="preserve"> refer to</w:t>
      </w:r>
      <w:r w:rsidR="00B0588D">
        <w:t xml:space="preserve"> the up to date figure</w:t>
      </w:r>
      <w:r w:rsidR="00C06ABE">
        <w:t xml:space="preserve"> for</w:t>
      </w:r>
      <w:r w:rsidR="00D95A19">
        <w:t xml:space="preserve"> the capacity reserved by</w:t>
      </w:r>
      <w:r w:rsidR="00C72BEB">
        <w:t xml:space="preserve"> a third-party shipper</w:t>
      </w:r>
      <w:r w:rsidR="00591CC5">
        <w:t xml:space="preserve"> and not to</w:t>
      </w:r>
      <w:r w:rsidR="003009C0">
        <w:t xml:space="preserve"> whatever had been the</w:t>
      </w:r>
      <w:r w:rsidR="00CA4BFF">
        <w:t xml:space="preserve"> maximum</w:t>
      </w:r>
      <w:r w:rsidR="00247E6D">
        <w:t xml:space="preserve"> rate applicable</w:t>
      </w:r>
      <w:r w:rsidR="00674CF2">
        <w:t xml:space="preserve"> during the whole period covered by a</w:t>
      </w:r>
      <w:r w:rsidR="00BE72B1">
        <w:t xml:space="preserve"> TPA </w:t>
      </w:r>
      <w:r w:rsidR="001A1ED6">
        <w:t>which,</w:t>
      </w:r>
      <w:r w:rsidR="00AA176B">
        <w:t xml:space="preserve"> </w:t>
      </w:r>
      <w:r w:rsidR="0026392A">
        <w:t>by the time</w:t>
      </w:r>
      <w:r w:rsidR="00027BB7">
        <w:t xml:space="preserve"> it was necessary to calculate the Capacity Fee payable by TGTL,</w:t>
      </w:r>
      <w:r w:rsidR="00D7558F">
        <w:t xml:space="preserve"> was likely to be</w:t>
      </w:r>
      <w:r w:rsidR="00637DC5">
        <w:t xml:space="preserve"> very out of date</w:t>
      </w:r>
      <w:r w:rsidR="00743D0E">
        <w:t>.</w:t>
      </w:r>
      <w:r w:rsidR="00127FB8">
        <w:t xml:space="preserve"> Mr Lord</w:t>
      </w:r>
      <w:r w:rsidR="008C0BF8">
        <w:t xml:space="preserve"> </w:t>
      </w:r>
      <w:r w:rsidR="008C0BF8">
        <w:lastRenderedPageBreak/>
        <w:t>emphasised</w:t>
      </w:r>
      <w:r w:rsidR="00D55807">
        <w:t xml:space="preserve"> that the definition of “CATS Capacit</w:t>
      </w:r>
      <w:r w:rsidR="00C75F9D">
        <w:t xml:space="preserve">y” </w:t>
      </w:r>
      <w:r w:rsidR="00573A63">
        <w:t xml:space="preserve">referred not only to </w:t>
      </w:r>
      <w:r w:rsidR="006D436C">
        <w:t xml:space="preserve">a notice given pursuant to </w:t>
      </w:r>
      <w:r w:rsidR="00573A63">
        <w:t>clause 4.6(a)(</w:t>
      </w:r>
      <w:r w:rsidR="00720C20">
        <w:t>vi</w:t>
      </w:r>
      <w:r w:rsidR="00573A63">
        <w:t>i)</w:t>
      </w:r>
      <w:r w:rsidR="001D7E82">
        <w:t xml:space="preserve">, but was also </w:t>
      </w:r>
      <w:r w:rsidR="00547CDE">
        <w:t xml:space="preserve">expressly </w:t>
      </w:r>
      <w:r w:rsidR="009E0055">
        <w:t>“</w:t>
      </w:r>
      <w:r w:rsidR="00547CDE">
        <w:t xml:space="preserve">subject to </w:t>
      </w:r>
      <w:r w:rsidR="000529CF">
        <w:t xml:space="preserve">any changes notified pursuant to </w:t>
      </w:r>
      <w:r w:rsidR="009E0055">
        <w:t>C</w:t>
      </w:r>
      <w:r w:rsidR="000529CF">
        <w:t>lause 4.6(b)</w:t>
      </w:r>
      <w:r w:rsidR="00FA5CDF">
        <w:t>(i)</w:t>
      </w:r>
      <w:r w:rsidR="001B486D">
        <w:t>”</w:t>
      </w:r>
      <w:r w:rsidR="000529CF">
        <w:t>,</w:t>
      </w:r>
      <w:r w:rsidR="00FA5CDF">
        <w:t xml:space="preserve"> while clause 4.6(b)(ii)</w:t>
      </w:r>
      <w:r w:rsidR="00216D6C">
        <w:t xml:space="preserve"> required regular notification of the CATS Capacity to </w:t>
      </w:r>
      <w:r w:rsidR="00E81241">
        <w:t>TGTL.</w:t>
      </w:r>
      <w:r w:rsidR="00243C13">
        <w:t xml:space="preserve"> All that, said Mr Lord, </w:t>
      </w:r>
      <w:r w:rsidR="002E1CF8">
        <w:t xml:space="preserve">showed that </w:t>
      </w:r>
      <w:r w:rsidR="004B21C1">
        <w:t xml:space="preserve">third party </w:t>
      </w:r>
      <w:r w:rsidR="008E2AAA">
        <w:t xml:space="preserve">shippers’ contribution to </w:t>
      </w:r>
      <w:r w:rsidR="002E1CF8">
        <w:t>CATS Capacity was an up to date figure</w:t>
      </w:r>
      <w:r w:rsidR="000529CF">
        <w:t xml:space="preserve"> </w:t>
      </w:r>
      <w:r w:rsidR="004251A1">
        <w:t xml:space="preserve">representing </w:t>
      </w:r>
      <w:r w:rsidR="005320DE">
        <w:t>the</w:t>
      </w:r>
      <w:r w:rsidR="00DC03EA">
        <w:t xml:space="preserve"> </w:t>
      </w:r>
      <w:r w:rsidR="00D06A7D">
        <w:t>capacity</w:t>
      </w:r>
      <w:r w:rsidR="005320DE">
        <w:t xml:space="preserve"> </w:t>
      </w:r>
      <w:r w:rsidR="00DC03EA">
        <w:t xml:space="preserve">actually </w:t>
      </w:r>
      <w:r w:rsidR="005320DE">
        <w:t>booked by them during any g</w:t>
      </w:r>
      <w:r w:rsidR="00DC03EA">
        <w:t>iven C</w:t>
      </w:r>
      <w:r w:rsidR="00CE724D">
        <w:t>o</w:t>
      </w:r>
      <w:r w:rsidR="00DC03EA">
        <w:t>ntract Year</w:t>
      </w:r>
      <w:r w:rsidR="00CE724D">
        <w:t>. So too did</w:t>
      </w:r>
      <w:r w:rsidR="000D7A6E">
        <w:t xml:space="preserve"> the express recognition in clause 4.6</w:t>
      </w:r>
      <w:r w:rsidR="00120E8C">
        <w:t xml:space="preserve">(c) </w:t>
      </w:r>
      <w:r w:rsidR="004F49C9">
        <w:t xml:space="preserve">that </w:t>
      </w:r>
      <w:r w:rsidR="00120E8C">
        <w:t>the information provided</w:t>
      </w:r>
      <w:r w:rsidR="004F49C9">
        <w:t xml:space="preserve"> pursuant to paragraph (a) of the clause was </w:t>
      </w:r>
      <w:r w:rsidR="00871B0D">
        <w:t xml:space="preserve">provided </w:t>
      </w:r>
      <w:r w:rsidR="000B406E">
        <w:t>“for operational and planning purposes only”</w:t>
      </w:r>
      <w:r w:rsidR="005A055C">
        <w:t>.</w:t>
      </w:r>
      <w:r w:rsidR="005314EC">
        <w:t xml:space="preserve"> That would be so if the</w:t>
      </w:r>
      <w:r w:rsidR="00AD3F86">
        <w:t xml:space="preserve"> information to be provided</w:t>
      </w:r>
      <w:r w:rsidR="009E4DF0">
        <w:t xml:space="preserve"> was an up-to-date figure,</w:t>
      </w:r>
      <w:r w:rsidR="008A64A4">
        <w:t xml:space="preserve"> but not</w:t>
      </w:r>
      <w:r w:rsidR="009001CD">
        <w:t xml:space="preserve"> if what was required was a figure which</w:t>
      </w:r>
      <w:r w:rsidR="009C232C">
        <w:t xml:space="preserve"> might be many years out of date.</w:t>
      </w:r>
    </w:p>
    <w:p w14:paraId="4402A4F7" w14:textId="20CE361E" w:rsidR="00A8685E" w:rsidRPr="00A8685E" w:rsidRDefault="00E93CB4" w:rsidP="0020713C">
      <w:pPr>
        <w:pStyle w:val="ParaLevel1"/>
        <w:numPr>
          <w:ilvl w:val="0"/>
          <w:numId w:val="0"/>
        </w:numPr>
        <w:rPr>
          <w:b/>
          <w:bCs/>
        </w:rPr>
      </w:pPr>
      <w:r>
        <w:rPr>
          <w:b/>
          <w:bCs/>
        </w:rPr>
        <w:t>Discussion</w:t>
      </w:r>
    </w:p>
    <w:p w14:paraId="7CAA893F" w14:textId="3BEDA6CD" w:rsidR="00A8685E" w:rsidRDefault="00C772A6" w:rsidP="0020713C">
      <w:pPr>
        <w:pStyle w:val="ParaLevel1"/>
      </w:pPr>
      <w:r>
        <w:t>The</w:t>
      </w:r>
      <w:r w:rsidR="00FE4DE7">
        <w:t xml:space="preserve"> court’s</w:t>
      </w:r>
      <w:r w:rsidR="00FC6D61">
        <w:t xml:space="preserve"> approach to the construction of commercial contract</w:t>
      </w:r>
      <w:r w:rsidR="00DD52CB">
        <w:t>s</w:t>
      </w:r>
      <w:r w:rsidR="00FC6D61">
        <w:t xml:space="preserve"> is now well known</w:t>
      </w:r>
      <w:r w:rsidR="00EF1756">
        <w:t xml:space="preserve"> and was not in dispute</w:t>
      </w:r>
      <w:r w:rsidR="00FC6D61">
        <w:t>.</w:t>
      </w:r>
      <w:r w:rsidR="00786B09">
        <w:t xml:space="preserve"> </w:t>
      </w:r>
      <w:r w:rsidR="00D4702C">
        <w:t>Absent further intervention by the Supreme Court</w:t>
      </w:r>
      <w:r w:rsidR="00E474FF">
        <w:t>, t</w:t>
      </w:r>
      <w:r w:rsidR="00786B09">
        <w:t xml:space="preserve">he principles </w:t>
      </w:r>
      <w:r w:rsidR="00E474FF">
        <w:t xml:space="preserve">can now be taken as settled. They </w:t>
      </w:r>
      <w:r w:rsidR="00382DF4">
        <w:t xml:space="preserve">have been </w:t>
      </w:r>
      <w:r w:rsidR="00786B09">
        <w:t>re</w:t>
      </w:r>
      <w:r w:rsidR="005260BF">
        <w:t>-</w:t>
      </w:r>
      <w:r w:rsidR="00786B09">
        <w:t xml:space="preserve">stated </w:t>
      </w:r>
      <w:r w:rsidR="003F45B7">
        <w:t xml:space="preserve">in </w:t>
      </w:r>
      <w:r w:rsidR="003F45B7" w:rsidRPr="00DD28C3">
        <w:rPr>
          <w:i/>
          <w:iCs/>
        </w:rPr>
        <w:t xml:space="preserve">Arnold </w:t>
      </w:r>
      <w:r w:rsidR="005F4562" w:rsidRPr="00DD28C3">
        <w:rPr>
          <w:i/>
          <w:iCs/>
        </w:rPr>
        <w:t>v Britton</w:t>
      </w:r>
      <w:r w:rsidR="005F4562">
        <w:t xml:space="preserve"> [2015] UKSC </w:t>
      </w:r>
      <w:r w:rsidR="00B67665">
        <w:t>36, [201</w:t>
      </w:r>
      <w:r w:rsidR="009020BE">
        <w:t>5</w:t>
      </w:r>
      <w:r w:rsidR="00B67665">
        <w:t>] AC</w:t>
      </w:r>
      <w:r w:rsidR="00C2731F">
        <w:t xml:space="preserve"> </w:t>
      </w:r>
      <w:r w:rsidR="001210F3">
        <w:t xml:space="preserve">1619 </w:t>
      </w:r>
      <w:r w:rsidR="00C2731F">
        <w:t xml:space="preserve">and </w:t>
      </w:r>
      <w:r w:rsidR="00E67A95" w:rsidRPr="00346301">
        <w:rPr>
          <w:i/>
          <w:iCs/>
        </w:rPr>
        <w:t>Wood v Capita</w:t>
      </w:r>
      <w:r w:rsidR="00BD298D" w:rsidRPr="00346301">
        <w:rPr>
          <w:i/>
          <w:iCs/>
        </w:rPr>
        <w:t xml:space="preserve"> Insurance Services Ltd</w:t>
      </w:r>
      <w:r w:rsidR="00EE47E4">
        <w:t xml:space="preserve"> [2017] UKSC </w:t>
      </w:r>
      <w:r w:rsidR="0037024B">
        <w:t>24</w:t>
      </w:r>
      <w:r w:rsidR="00BD298D">
        <w:t>, [20</w:t>
      </w:r>
      <w:r w:rsidR="00C433E2">
        <w:t>17]</w:t>
      </w:r>
      <w:r w:rsidR="00BD298D">
        <w:t xml:space="preserve"> AC </w:t>
      </w:r>
      <w:r w:rsidR="00C433E2">
        <w:t>1173</w:t>
      </w:r>
      <w:r w:rsidR="0037024B">
        <w:t xml:space="preserve"> and need not be repeated here.</w:t>
      </w:r>
      <w:r w:rsidR="00467CA3">
        <w:t xml:space="preserve"> </w:t>
      </w:r>
    </w:p>
    <w:p w14:paraId="4849C1C4" w14:textId="617319AE" w:rsidR="00546A05" w:rsidRDefault="00425B57" w:rsidP="0020713C">
      <w:pPr>
        <w:pStyle w:val="ParaLevel1"/>
      </w:pPr>
      <w:r>
        <w:t xml:space="preserve">I </w:t>
      </w:r>
      <w:r w:rsidR="00546A05">
        <w:t>propose to undertake the “unitary exercise” of construction by considering</w:t>
      </w:r>
      <w:r w:rsidR="00E308F3">
        <w:t xml:space="preserve"> </w:t>
      </w:r>
      <w:r w:rsidR="00546A05">
        <w:t>(</w:t>
      </w:r>
      <w:r w:rsidR="00E308F3">
        <w:t>1</w:t>
      </w:r>
      <w:r w:rsidR="00546A05">
        <w:t xml:space="preserve">) the </w:t>
      </w:r>
      <w:r w:rsidR="00BC3026">
        <w:t xml:space="preserve">language of </w:t>
      </w:r>
      <w:r w:rsidR="0075437B">
        <w:t>clause 4.6</w:t>
      </w:r>
      <w:r w:rsidR="00546A05">
        <w:t>, (</w:t>
      </w:r>
      <w:r w:rsidR="00A66109">
        <w:t>2</w:t>
      </w:r>
      <w:r w:rsidR="00546A05">
        <w:t xml:space="preserve">) other relevant provisions of the </w:t>
      </w:r>
      <w:r w:rsidR="00E43472">
        <w:t>A</w:t>
      </w:r>
      <w:r w:rsidR="00237447">
        <w:t>greement</w:t>
      </w:r>
      <w:r w:rsidR="00546A05">
        <w:t>, (</w:t>
      </w:r>
      <w:r w:rsidR="008A244A">
        <w:t>3</w:t>
      </w:r>
      <w:r w:rsidR="00546A05">
        <w:t xml:space="preserve">) the overall </w:t>
      </w:r>
      <w:r w:rsidR="00AB5955">
        <w:t xml:space="preserve">structure of the </w:t>
      </w:r>
      <w:r w:rsidR="00F0515B">
        <w:t>Agreement’s</w:t>
      </w:r>
      <w:r w:rsidR="00AB5955">
        <w:t xml:space="preserve"> </w:t>
      </w:r>
      <w:r w:rsidR="0080076C">
        <w:t>payment provisions</w:t>
      </w:r>
      <w:r w:rsidR="00546A05">
        <w:t>, (</w:t>
      </w:r>
      <w:r w:rsidR="008B4E54">
        <w:t>4</w:t>
      </w:r>
      <w:r w:rsidR="00546A05">
        <w:t xml:space="preserve">) the </w:t>
      </w:r>
      <w:r w:rsidR="00246A54">
        <w:t xml:space="preserve">background </w:t>
      </w:r>
      <w:r w:rsidR="00546A05">
        <w:t xml:space="preserve">circumstances known </w:t>
      </w:r>
      <w:r w:rsidR="00246A54">
        <w:t xml:space="preserve">to </w:t>
      </w:r>
      <w:r w:rsidR="00546A05">
        <w:t xml:space="preserve">the parties at the time the </w:t>
      </w:r>
      <w:r w:rsidR="00AA4387">
        <w:t>A</w:t>
      </w:r>
      <w:r w:rsidR="0000330B">
        <w:t>greement</w:t>
      </w:r>
      <w:r w:rsidR="00546A05">
        <w:t xml:space="preserve"> was </w:t>
      </w:r>
      <w:r w:rsidR="00AA4387">
        <w:t>conclude</w:t>
      </w:r>
      <w:r w:rsidR="00546A05">
        <w:t>d, and (</w:t>
      </w:r>
      <w:r w:rsidR="00AA4387">
        <w:t>5</w:t>
      </w:r>
      <w:r w:rsidR="00546A05">
        <w:t>) commercial common sense</w:t>
      </w:r>
      <w:r w:rsidR="003D50BD">
        <w:t>.</w:t>
      </w:r>
    </w:p>
    <w:p w14:paraId="04101561" w14:textId="2E0EF551" w:rsidR="004023C3" w:rsidRPr="004F5A34" w:rsidRDefault="00D11FE5" w:rsidP="0020713C">
      <w:pPr>
        <w:pStyle w:val="ParaLevel1"/>
        <w:numPr>
          <w:ilvl w:val="0"/>
          <w:numId w:val="0"/>
        </w:numPr>
        <w:rPr>
          <w:i/>
          <w:iCs/>
        </w:rPr>
      </w:pPr>
      <w:r w:rsidRPr="004F5A34">
        <w:rPr>
          <w:i/>
          <w:iCs/>
        </w:rPr>
        <w:t>The language of clause 4.6</w:t>
      </w:r>
    </w:p>
    <w:p w14:paraId="504EAC36" w14:textId="7E79B60B" w:rsidR="004023C3" w:rsidRDefault="00DA4FCA" w:rsidP="0020713C">
      <w:pPr>
        <w:pStyle w:val="ParaLevel1"/>
      </w:pPr>
      <w:r>
        <w:lastRenderedPageBreak/>
        <w:t>Clause 4.6 is set out at [</w:t>
      </w:r>
      <w:r w:rsidR="006647D6">
        <w:t>19</w:t>
      </w:r>
      <w:r>
        <w:t>] to [2</w:t>
      </w:r>
      <w:r w:rsidR="006647D6">
        <w:t>2</w:t>
      </w:r>
      <w:r>
        <w:t>] above.</w:t>
      </w:r>
      <w:r w:rsidR="00DB4939">
        <w:t xml:space="preserve"> It requires a notice to be given to</w:t>
      </w:r>
      <w:r w:rsidR="007215AB">
        <w:t xml:space="preserve"> TGTL</w:t>
      </w:r>
      <w:r w:rsidR="00616C0C">
        <w:t xml:space="preserve"> whenever the CATS Parties</w:t>
      </w:r>
      <w:r w:rsidR="00B62997">
        <w:t xml:space="preserve"> conclude </w:t>
      </w:r>
      <w:r w:rsidR="004319CC">
        <w:t xml:space="preserve">a </w:t>
      </w:r>
      <w:r w:rsidR="00B62997">
        <w:t xml:space="preserve">contract </w:t>
      </w:r>
      <w:r w:rsidR="004319CC">
        <w:t xml:space="preserve">for the use of the pipeline </w:t>
      </w:r>
      <w:r w:rsidR="00B62997">
        <w:t>with a third-party shipper.</w:t>
      </w:r>
      <w:r w:rsidR="0005601F">
        <w:t xml:space="preserve"> The notice must be given “promptly”,</w:t>
      </w:r>
      <w:r w:rsidR="00AC6955">
        <w:t xml:space="preserve"> that is to say within a short time of the conclusion of the</w:t>
      </w:r>
      <w:r w:rsidR="00A21995">
        <w:t xml:space="preserve"> TPA in question</w:t>
      </w:r>
      <w:r w:rsidR="00B25CE2">
        <w:t>, and</w:t>
      </w:r>
      <w:r w:rsidR="00A964E7">
        <w:t xml:space="preserve"> must contain</w:t>
      </w:r>
      <w:r w:rsidR="001532FA">
        <w:t xml:space="preserve"> the information specified in paragraphs</w:t>
      </w:r>
      <w:r w:rsidR="00AF0766">
        <w:t xml:space="preserve"> (i) to (viii) of </w:t>
      </w:r>
      <w:r w:rsidR="00807C85">
        <w:t>clause 4.6(a).</w:t>
      </w:r>
      <w:r w:rsidR="007D0894">
        <w:t xml:space="preserve"> </w:t>
      </w:r>
      <w:r w:rsidR="005D65DA">
        <w:t>T</w:t>
      </w:r>
      <w:r w:rsidR="007D0894">
        <w:t xml:space="preserve">hat information </w:t>
      </w:r>
      <w:r w:rsidR="003D5590">
        <w:t>will typically be given before performance of the TPA has even commenced, as is apparent from the repeated</w:t>
      </w:r>
      <w:r w:rsidR="00D42B0E">
        <w:t xml:space="preserve"> </w:t>
      </w:r>
      <w:r w:rsidR="003D5590">
        <w:t xml:space="preserve">use of the word </w:t>
      </w:r>
      <w:r w:rsidR="005D65DA">
        <w:t>“</w:t>
      </w:r>
      <w:r w:rsidR="003D5590">
        <w:t xml:space="preserve">proposed” (e.g. </w:t>
      </w:r>
      <w:r w:rsidR="00B346F5">
        <w:t>“</w:t>
      </w:r>
      <w:r w:rsidR="003D5590">
        <w:t>the</w:t>
      </w:r>
      <w:r w:rsidR="00B346F5">
        <w:t xml:space="preserve"> date on which</w:t>
      </w:r>
      <w:r w:rsidR="00743331">
        <w:t xml:space="preserve"> the transportation …</w:t>
      </w:r>
      <w:r w:rsidR="00941E95">
        <w:t xml:space="preserve"> is proposed to commence”).</w:t>
      </w:r>
      <w:r w:rsidR="003D5590">
        <w:t xml:space="preserve"> </w:t>
      </w:r>
      <w:r w:rsidR="00D42B0E">
        <w:t>How</w:t>
      </w:r>
      <w:r w:rsidR="00D77893">
        <w:t xml:space="preserve">ever, </w:t>
      </w:r>
      <w:r w:rsidR="00C51EAE">
        <w:t>th</w:t>
      </w:r>
      <w:r w:rsidR="00A76FFB">
        <w:t>e</w:t>
      </w:r>
      <w:r w:rsidR="00C51EAE">
        <w:t xml:space="preserve"> </w:t>
      </w:r>
      <w:r w:rsidR="00D77893">
        <w:t xml:space="preserve">information </w:t>
      </w:r>
      <w:r w:rsidR="00A76FFB">
        <w:t xml:space="preserve">notified </w:t>
      </w:r>
      <w:r w:rsidR="00D77893">
        <w:t>is not set in stone</w:t>
      </w:r>
      <w:r w:rsidR="00A76FFB">
        <w:t>. P</w:t>
      </w:r>
      <w:r w:rsidR="000A5FD9">
        <w:t xml:space="preserve">rovision is made </w:t>
      </w:r>
      <w:r w:rsidR="00747F0A">
        <w:t xml:space="preserve">by clause 4.6(b) </w:t>
      </w:r>
      <w:r w:rsidR="000A5FD9">
        <w:t xml:space="preserve">for updated information to be </w:t>
      </w:r>
      <w:r w:rsidR="0000099E">
        <w:t>given</w:t>
      </w:r>
      <w:r w:rsidR="000A5FD9">
        <w:t>.</w:t>
      </w:r>
    </w:p>
    <w:p w14:paraId="48E1862F" w14:textId="203E3FE2" w:rsidR="009A2B34" w:rsidRDefault="00537563" w:rsidP="0020713C">
      <w:pPr>
        <w:pStyle w:val="ParaLevel1"/>
      </w:pPr>
      <w:r>
        <w:t xml:space="preserve">The information </w:t>
      </w:r>
      <w:r w:rsidR="00D5280E">
        <w:t xml:space="preserve">required </w:t>
      </w:r>
      <w:r>
        <w:t>includes</w:t>
      </w:r>
      <w:r w:rsidR="00167C6F">
        <w:t>,</w:t>
      </w:r>
      <w:r w:rsidR="00C2234B">
        <w:t xml:space="preserve"> in paragraph (vii)</w:t>
      </w:r>
      <w:r w:rsidR="009E329F">
        <w:t>:</w:t>
      </w:r>
    </w:p>
    <w:p w14:paraId="61B95C75" w14:textId="66B71189" w:rsidR="009E329F" w:rsidRDefault="00762560" w:rsidP="0020713C">
      <w:pPr>
        <w:pStyle w:val="Quote"/>
      </w:pPr>
      <w:r>
        <w:t xml:space="preserve">“the </w:t>
      </w:r>
      <w:r w:rsidR="00E44F69">
        <w:t>maximum rate of delivery of Non-Capacity Gas</w:t>
      </w:r>
      <w:r w:rsidR="008F4CBB">
        <w:t xml:space="preserve"> </w:t>
      </w:r>
      <w:r w:rsidR="00187AD2">
        <w:t xml:space="preserve">at </w:t>
      </w:r>
      <w:r w:rsidR="008F4CBB">
        <w:t xml:space="preserve">such point during the proposed period of </w:t>
      </w:r>
      <w:r w:rsidR="00187AD2">
        <w:t>transpo</w:t>
      </w:r>
      <w:r w:rsidR="00857534">
        <w:t>r</w:t>
      </w:r>
      <w:r w:rsidR="008F4CBB">
        <w:t>tation</w:t>
      </w:r>
      <w:r>
        <w:t>;”</w:t>
      </w:r>
    </w:p>
    <w:p w14:paraId="056B9DFF" w14:textId="43BFBA9D" w:rsidR="009E329F" w:rsidRDefault="00E17838" w:rsidP="0020713C">
      <w:pPr>
        <w:pStyle w:val="ParaLevel1"/>
      </w:pPr>
      <w:r>
        <w:t>T</w:t>
      </w:r>
      <w:r w:rsidR="002340AE">
        <w:t>he “</w:t>
      </w:r>
      <w:r w:rsidR="001602E0">
        <w:t>point” referred to</w:t>
      </w:r>
      <w:r w:rsidR="000D5D1C">
        <w:t xml:space="preserve"> is “the proposed point of delivery”</w:t>
      </w:r>
      <w:r w:rsidR="009E2041">
        <w:t xml:space="preserve"> notified pursuant to paragraph (ii)</w:t>
      </w:r>
      <w:r w:rsidR="00C31378">
        <w:t>.</w:t>
      </w:r>
      <w:r w:rsidR="002C7B4F">
        <w:t xml:space="preserve"> Further</w:t>
      </w:r>
      <w:r w:rsidR="009E2041">
        <w:t>,</w:t>
      </w:r>
      <w:r w:rsidR="00FD4E4A">
        <w:t xml:space="preserve"> </w:t>
      </w:r>
      <w:r w:rsidR="00EE4872">
        <w:t>there are strong linguistic grounds for thinking</w:t>
      </w:r>
      <w:r w:rsidR="00A77302">
        <w:t>,</w:t>
      </w:r>
      <w:r w:rsidR="00DF2F2C">
        <w:t xml:space="preserve"> at any rate when the notice is </w:t>
      </w:r>
      <w:r w:rsidR="00EB2F0A">
        <w:t>fir</w:t>
      </w:r>
      <w:r w:rsidR="00DF2F2C">
        <w:t xml:space="preserve">st </w:t>
      </w:r>
      <w:r w:rsidR="00EB2F0A">
        <w:t>given</w:t>
      </w:r>
      <w:r w:rsidR="00FA6A65">
        <w:t>,</w:t>
      </w:r>
      <w:r w:rsidR="00EB2F0A">
        <w:t xml:space="preserve"> </w:t>
      </w:r>
      <w:r w:rsidR="00DF2F2C">
        <w:t>promptly after conclusion of the TPA</w:t>
      </w:r>
      <w:r w:rsidR="00743406">
        <w:t xml:space="preserve"> and before its performance has even comme</w:t>
      </w:r>
      <w:r w:rsidR="00DF2A2D">
        <w:t>n</w:t>
      </w:r>
      <w:r w:rsidR="00743406">
        <w:t>ced</w:t>
      </w:r>
      <w:r w:rsidR="00DF2F2C">
        <w:t>,</w:t>
      </w:r>
      <w:r w:rsidR="00A76009">
        <w:t xml:space="preserve"> </w:t>
      </w:r>
      <w:r w:rsidR="008F337C">
        <w:t xml:space="preserve">that </w:t>
      </w:r>
      <w:r w:rsidR="00A76009">
        <w:t>“the proposed period of transportation”</w:t>
      </w:r>
      <w:r w:rsidR="00367BAA">
        <w:t xml:space="preserve"> </w:t>
      </w:r>
      <w:r w:rsidR="00146FC8">
        <w:t>must</w:t>
      </w:r>
      <w:r w:rsidR="00743C85">
        <w:t xml:space="preserve"> </w:t>
      </w:r>
      <w:r w:rsidR="009427CE">
        <w:t xml:space="preserve">refer to </w:t>
      </w:r>
      <w:r w:rsidR="00367BAA">
        <w:t>the period between</w:t>
      </w:r>
      <w:r w:rsidR="004201A6">
        <w:t xml:space="preserve"> </w:t>
      </w:r>
      <w:r w:rsidR="00250595">
        <w:t>“</w:t>
      </w:r>
      <w:r w:rsidR="004201A6">
        <w:t>the</w:t>
      </w:r>
      <w:r w:rsidR="00045B6C">
        <w:t xml:space="preserve"> date on which the transportation </w:t>
      </w:r>
      <w:r w:rsidR="00E3262B">
        <w:t xml:space="preserve">… </w:t>
      </w:r>
      <w:r w:rsidR="00045B6C">
        <w:t>is proposed to commence</w:t>
      </w:r>
      <w:r w:rsidR="00EC0587">
        <w:t>”</w:t>
      </w:r>
      <w:r w:rsidR="00045B6C">
        <w:t xml:space="preserve"> and </w:t>
      </w:r>
      <w:r w:rsidR="00EC0587">
        <w:t>“</w:t>
      </w:r>
      <w:r w:rsidR="00045B6C">
        <w:t>the estimated date</w:t>
      </w:r>
      <w:r w:rsidR="002D247C">
        <w:t xml:space="preserve"> on which </w:t>
      </w:r>
      <w:r w:rsidR="00EC0587">
        <w:t>[</w:t>
      </w:r>
      <w:r w:rsidR="002D247C">
        <w:t>it</w:t>
      </w:r>
      <w:r w:rsidR="00EC0587">
        <w:t>]</w:t>
      </w:r>
      <w:r w:rsidR="002D247C">
        <w:t xml:space="preserve"> is proposed to terminate</w:t>
      </w:r>
      <w:r w:rsidR="00391D7E">
        <w:t>”</w:t>
      </w:r>
      <w:r w:rsidR="002D247C">
        <w:t xml:space="preserve"> referred to in paragraphs</w:t>
      </w:r>
      <w:r w:rsidR="00391D7E">
        <w:t xml:space="preserve"> (iv) and (v).</w:t>
      </w:r>
      <w:r w:rsidR="00C41ECC">
        <w:t xml:space="preserve"> That is consistent with the language of the clause</w:t>
      </w:r>
      <w:r w:rsidR="00D77ECD">
        <w:t xml:space="preserve"> and, </w:t>
      </w:r>
      <w:r w:rsidR="002E096C">
        <w:t>so far</w:t>
      </w:r>
      <w:r w:rsidR="00D77ECD">
        <w:t>,</w:t>
      </w:r>
      <w:r w:rsidR="004824A3">
        <w:t xml:space="preserve"> </w:t>
      </w:r>
      <w:r w:rsidR="002D0CB6">
        <w:t xml:space="preserve">no other </w:t>
      </w:r>
      <w:r w:rsidR="00002363">
        <w:t>“proposed period of transportation” is referred to.</w:t>
      </w:r>
      <w:r w:rsidR="003B18E0">
        <w:t xml:space="preserve"> </w:t>
      </w:r>
      <w:r w:rsidR="00845DEA">
        <w:t>I would accept</w:t>
      </w:r>
      <w:r w:rsidR="00BE0F18">
        <w:t>, therefore,</w:t>
      </w:r>
      <w:r w:rsidR="00F26137">
        <w:t xml:space="preserve"> focusing on clause 4.6(a)(vii)</w:t>
      </w:r>
      <w:r w:rsidR="00CD377E">
        <w:t xml:space="preserve"> in isolation,</w:t>
      </w:r>
      <w:r w:rsidR="003B18E0">
        <w:t xml:space="preserve"> </w:t>
      </w:r>
      <w:r w:rsidR="0097757A">
        <w:t xml:space="preserve">that </w:t>
      </w:r>
      <w:r w:rsidR="003B18E0">
        <w:t>there appears to be force in TGTL’s</w:t>
      </w:r>
      <w:r w:rsidR="00702B2D">
        <w:t xml:space="preserve"> submission </w:t>
      </w:r>
      <w:r w:rsidR="008D1458">
        <w:t>that</w:t>
      </w:r>
      <w:r w:rsidR="00702B2D">
        <w:t xml:space="preserve"> what the clause requires is notification</w:t>
      </w:r>
      <w:r w:rsidR="008236D2">
        <w:t xml:space="preserve"> of the maximum</w:t>
      </w:r>
      <w:r w:rsidR="00B4341D">
        <w:t xml:space="preserve"> rate</w:t>
      </w:r>
      <w:r w:rsidR="0015698F">
        <w:t xml:space="preserve"> which will apply at any time</w:t>
      </w:r>
      <w:r w:rsidR="00792599">
        <w:t xml:space="preserve"> during the period covered by the TPA.</w:t>
      </w:r>
      <w:r w:rsidR="00733C2A">
        <w:t xml:space="preserve"> </w:t>
      </w:r>
    </w:p>
    <w:p w14:paraId="39D665A2" w14:textId="77777777" w:rsidR="00F62DC8" w:rsidRDefault="00AD18E6" w:rsidP="0020713C">
      <w:pPr>
        <w:pStyle w:val="ParaLevel1"/>
      </w:pPr>
      <w:r>
        <w:lastRenderedPageBreak/>
        <w:t>When clause 4.6 is viewed as a whole, however,</w:t>
      </w:r>
      <w:r w:rsidR="004D0D49">
        <w:t xml:space="preserve"> the position is less straightforward.</w:t>
      </w:r>
      <w:r w:rsidR="00813636">
        <w:t xml:space="preserve"> I have already noted that</w:t>
      </w:r>
      <w:r w:rsidR="00A600E6" w:rsidRPr="00A600E6">
        <w:t xml:space="preserve"> </w:t>
      </w:r>
      <w:r w:rsidR="00A600E6">
        <w:t>clause 4.6(b) provides for updated information to be provided</w:t>
      </w:r>
      <w:r w:rsidR="00194A9F">
        <w:t>. T</w:t>
      </w:r>
      <w:r w:rsidR="006E66CC">
        <w:t xml:space="preserve">his </w:t>
      </w:r>
      <w:r w:rsidR="00194A9F">
        <w:t>had</w:t>
      </w:r>
      <w:r w:rsidR="006E66CC">
        <w:t xml:space="preserve"> to be done at least quarterly</w:t>
      </w:r>
      <w:r w:rsidR="002E62FC">
        <w:t xml:space="preserve"> under the terms originally agreed in 1990.</w:t>
      </w:r>
      <w:r w:rsidR="002510C6">
        <w:t xml:space="preserve"> The provision for changes to be notified does not exclude</w:t>
      </w:r>
      <w:r w:rsidR="008D6C7C">
        <w:t xml:space="preserve"> “the maximum rate of delivery”</w:t>
      </w:r>
      <w:r w:rsidR="002A0F74">
        <w:t xml:space="preserve"> referred to in paragraph</w:t>
      </w:r>
      <w:r w:rsidR="0093114D">
        <w:t xml:space="preserve"> (vii)</w:t>
      </w:r>
      <w:r w:rsidR="00BE06F1">
        <w:t xml:space="preserve"> and thus appears to contemplate</w:t>
      </w:r>
      <w:r w:rsidR="00DF13CC">
        <w:t xml:space="preserve"> that this figure may change</w:t>
      </w:r>
      <w:r w:rsidR="00A20370">
        <w:t>, and may do so often</w:t>
      </w:r>
      <w:r w:rsidR="00DF13CC">
        <w:t>.</w:t>
      </w:r>
      <w:r w:rsidR="00894205">
        <w:t xml:space="preserve"> That seems inconsistent with</w:t>
      </w:r>
      <w:r w:rsidR="003D594B">
        <w:t xml:space="preserve"> TGTL’s case</w:t>
      </w:r>
      <w:r w:rsidR="00895931">
        <w:t xml:space="preserve"> that the only possible</w:t>
      </w:r>
      <w:r w:rsidR="002A658A">
        <w:t xml:space="preserve"> changes to the maximum rate wer</w:t>
      </w:r>
      <w:r w:rsidR="0019750F">
        <w:t>e increases as a result of amendments.</w:t>
      </w:r>
      <w:r w:rsidR="000165F3">
        <w:t xml:space="preserve"> </w:t>
      </w:r>
    </w:p>
    <w:p w14:paraId="02D71602" w14:textId="7489BB0E" w:rsidR="004B7FCD" w:rsidRDefault="000165F3" w:rsidP="0020713C">
      <w:pPr>
        <w:pStyle w:val="ParaLevel1"/>
      </w:pPr>
      <w:r>
        <w:t>Moreover,</w:t>
      </w:r>
      <w:r w:rsidR="00723D8B">
        <w:t xml:space="preserve"> there had also to be notification</w:t>
      </w:r>
      <w:r w:rsidR="00AA7833">
        <w:t xml:space="preserve"> at least quarterly of “the CATS Capacity</w:t>
      </w:r>
      <w:r w:rsidR="00CC4589">
        <w:t xml:space="preserve"> for the ensuing Contract Year”.</w:t>
      </w:r>
      <w:r w:rsidR="00A020CD">
        <w:t xml:space="preserve"> </w:t>
      </w:r>
      <w:r w:rsidR="003424BF">
        <w:t xml:space="preserve">It will be recalled that </w:t>
      </w:r>
      <w:r w:rsidR="0019354A">
        <w:t>“CATS Capacity”</w:t>
      </w:r>
      <w:r w:rsidR="00C7451E">
        <w:t xml:space="preserve"> comprises two components, namely</w:t>
      </w:r>
      <w:r w:rsidR="00900132">
        <w:t xml:space="preserve"> (</w:t>
      </w:r>
      <w:r w:rsidR="004E6966">
        <w:t>a</w:t>
      </w:r>
      <w:r w:rsidR="00900132">
        <w:t xml:space="preserve">) the </w:t>
      </w:r>
      <w:r w:rsidR="00B278A6">
        <w:t>CRR and (</w:t>
      </w:r>
      <w:r w:rsidR="004E6966">
        <w:t>b</w:t>
      </w:r>
      <w:r w:rsidR="00B278A6">
        <w:t>) “</w:t>
      </w:r>
      <w:r w:rsidR="00B06605">
        <w:t xml:space="preserve">the aggregate maximum rates of delivery of </w:t>
      </w:r>
      <w:r w:rsidR="004F6749">
        <w:t>Non-Capacity Gas</w:t>
      </w:r>
      <w:r w:rsidR="00EB4D75">
        <w:t xml:space="preserve"> </w:t>
      </w:r>
      <w:r w:rsidR="009B0A93">
        <w:t>notified by the</w:t>
      </w:r>
      <w:r w:rsidR="00EB4D75">
        <w:t xml:space="preserve"> CATS Operator</w:t>
      </w:r>
      <w:r w:rsidR="009B0A93">
        <w:t xml:space="preserve"> pursuant to</w:t>
      </w:r>
      <w:r w:rsidR="00A30AC5">
        <w:t xml:space="preserve"> Clause 4.6(a)(vii), </w:t>
      </w:r>
      <w:r w:rsidR="009B0A93">
        <w:t>subject to any changes notified pursuant to Clause 4.6</w:t>
      </w:r>
      <w:r w:rsidR="00FA5D2E">
        <w:t>(b)(i)</w:t>
      </w:r>
      <w:r w:rsidR="009B0A93">
        <w:t>”</w:t>
      </w:r>
      <w:r w:rsidR="00DF0E2C">
        <w:t>.</w:t>
      </w:r>
      <w:r w:rsidR="009B0A93">
        <w:t xml:space="preserve"> </w:t>
      </w:r>
      <w:r w:rsidR="00C17F22">
        <w:t>Th</w:t>
      </w:r>
      <w:r w:rsidR="00DF0E2C">
        <w:t>e requirement for quarterly notification of the “C</w:t>
      </w:r>
      <w:r w:rsidR="009D6826">
        <w:t>A</w:t>
      </w:r>
      <w:r w:rsidR="00DF0E2C">
        <w:t>TS</w:t>
      </w:r>
      <w:r w:rsidR="00CE3150">
        <w:t xml:space="preserve"> </w:t>
      </w:r>
      <w:r w:rsidR="00DF0E2C">
        <w:t>Capacity</w:t>
      </w:r>
      <w:r w:rsidR="00CE3150">
        <w:t xml:space="preserve">” </w:t>
      </w:r>
      <w:r w:rsidR="00DE5D4C">
        <w:t>c</w:t>
      </w:r>
      <w:r w:rsidR="00C17F22">
        <w:t>a</w:t>
      </w:r>
      <w:r w:rsidR="00DE5D4C">
        <w:t>rrie</w:t>
      </w:r>
      <w:r w:rsidR="00A020CD">
        <w:t>s</w:t>
      </w:r>
      <w:r w:rsidR="00DE5D4C">
        <w:t xml:space="preserve"> t</w:t>
      </w:r>
      <w:r w:rsidR="002A2B90">
        <w:t>wo</w:t>
      </w:r>
      <w:r w:rsidR="00A020CD">
        <w:t xml:space="preserve"> imp</w:t>
      </w:r>
      <w:r w:rsidR="00DE5D4C">
        <w:t>ortant implications</w:t>
      </w:r>
      <w:r w:rsidR="009F3803">
        <w:t xml:space="preserve">. </w:t>
      </w:r>
    </w:p>
    <w:p w14:paraId="1CF3A3B2" w14:textId="09E55D3F" w:rsidR="00444A72" w:rsidRDefault="009F3803" w:rsidP="0020713C">
      <w:pPr>
        <w:pStyle w:val="ParaLevel1"/>
      </w:pPr>
      <w:r>
        <w:t xml:space="preserve">The </w:t>
      </w:r>
      <w:r w:rsidR="006E4A14">
        <w:t>first</w:t>
      </w:r>
      <w:r w:rsidR="0033613F">
        <w:t xml:space="preserve"> is</w:t>
      </w:r>
      <w:r w:rsidR="00EC4AC9">
        <w:t xml:space="preserve"> </w:t>
      </w:r>
      <w:r w:rsidR="00587E27">
        <w:t>that</w:t>
      </w:r>
      <w:r w:rsidR="006866F5">
        <w:t xml:space="preserve"> “CATS Capacity”</w:t>
      </w:r>
      <w:r w:rsidR="00160926">
        <w:t xml:space="preserve"> </w:t>
      </w:r>
      <w:r w:rsidR="00873533">
        <w:t>was liable t</w:t>
      </w:r>
      <w:r w:rsidR="00160926">
        <w:t>o</w:t>
      </w:r>
      <w:r w:rsidR="00873533">
        <w:t xml:space="preserve"> change throughout the period of </w:t>
      </w:r>
      <w:r w:rsidR="00BD580F">
        <w:t>the CRTA</w:t>
      </w:r>
      <w:r w:rsidR="004D1D1E">
        <w:t>.</w:t>
      </w:r>
      <w:r w:rsidR="00070CAF" w:rsidRPr="00070CAF">
        <w:t xml:space="preserve"> </w:t>
      </w:r>
      <w:r w:rsidR="00382E0A">
        <w:t>T</w:t>
      </w:r>
      <w:r w:rsidR="00070CAF">
        <w:t xml:space="preserve">he CRR </w:t>
      </w:r>
      <w:r w:rsidR="00377F9B">
        <w:t>component of “CATS Capacity</w:t>
      </w:r>
      <w:r w:rsidR="00877699">
        <w:t>”</w:t>
      </w:r>
      <w:r w:rsidR="00377F9B">
        <w:t xml:space="preserve"> </w:t>
      </w:r>
      <w:r w:rsidR="00070CAF">
        <w:t xml:space="preserve">either would not change or, if it did, TGTL would </w:t>
      </w:r>
      <w:r w:rsidR="0076061F">
        <w:t xml:space="preserve">already </w:t>
      </w:r>
      <w:r w:rsidR="00070CAF">
        <w:t xml:space="preserve">know about the change. The changes to CATS Capacity contemplated by the clause </w:t>
      </w:r>
      <w:r w:rsidR="00147D45">
        <w:t xml:space="preserve">about which TGTL needed to be notified </w:t>
      </w:r>
      <w:r w:rsidR="00070CAF">
        <w:t xml:space="preserve">must therefore refer to changes in the maximum rates notified under clause 4.6(a)(vii). </w:t>
      </w:r>
      <w:r w:rsidR="004D1D1E">
        <w:t xml:space="preserve">While it can be accepted that the CATS Capacity figure would increase during the early years of the contract as new contracts were concluded with third party shippers, </w:t>
      </w:r>
      <w:r w:rsidR="002F647E">
        <w:t>th</w:t>
      </w:r>
      <w:r w:rsidR="007C1D05">
        <w:t xml:space="preserve">is would </w:t>
      </w:r>
      <w:r w:rsidR="002F647E">
        <w:t xml:space="preserve">be a finite process </w:t>
      </w:r>
      <w:r w:rsidR="00DB4794">
        <w:t xml:space="preserve">due to the limited number of </w:t>
      </w:r>
      <w:r w:rsidR="004B7FCD">
        <w:t xml:space="preserve">gas </w:t>
      </w:r>
      <w:r w:rsidR="00DB4794">
        <w:t xml:space="preserve">fields </w:t>
      </w:r>
      <w:r w:rsidR="000158F1">
        <w:t>physically capable of connecting to the pipeline. A</w:t>
      </w:r>
      <w:r w:rsidR="004D1D1E">
        <w:t xml:space="preserve">ny </w:t>
      </w:r>
      <w:r w:rsidR="004D1D1E">
        <w:lastRenderedPageBreak/>
        <w:t>suggestion that quarterly changes would or might continue throughout the period of the A</w:t>
      </w:r>
      <w:r w:rsidR="00F53227">
        <w:t>greement</w:t>
      </w:r>
      <w:r w:rsidR="004D1D1E">
        <w:t xml:space="preserve"> seems inconsistent with TGTL’s case.</w:t>
      </w:r>
      <w:r w:rsidR="004006DA">
        <w:t xml:space="preserve"> </w:t>
      </w:r>
    </w:p>
    <w:p w14:paraId="455F22A5" w14:textId="07D6D008" w:rsidR="00074293" w:rsidRDefault="004006DA" w:rsidP="0020713C">
      <w:pPr>
        <w:pStyle w:val="ParaLevel1"/>
      </w:pPr>
      <w:r>
        <w:t>The s</w:t>
      </w:r>
      <w:r w:rsidR="00BD580F">
        <w:t>econd</w:t>
      </w:r>
      <w:r>
        <w:t xml:space="preserve"> implication is</w:t>
      </w:r>
      <w:r w:rsidR="005604D6">
        <w:t xml:space="preserve"> that </w:t>
      </w:r>
      <w:r w:rsidR="00E11AA2">
        <w:t>it would be important to TGTL</w:t>
      </w:r>
      <w:r w:rsidR="000066DF">
        <w:t xml:space="preserve"> to</w:t>
      </w:r>
      <w:r w:rsidR="00B80BE9">
        <w:t xml:space="preserve"> be kept informed of</w:t>
      </w:r>
      <w:r w:rsidR="004451D1">
        <w:t xml:space="preserve"> the latest updated figure</w:t>
      </w:r>
      <w:r w:rsidR="007933C3" w:rsidRPr="007933C3">
        <w:t xml:space="preserve"> </w:t>
      </w:r>
      <w:r w:rsidR="007933C3">
        <w:t>throughout the period of the A</w:t>
      </w:r>
      <w:r w:rsidR="00C05CCE">
        <w:t>greement</w:t>
      </w:r>
      <w:r w:rsidR="004451D1">
        <w:t>.</w:t>
      </w:r>
      <w:r w:rsidR="007933C3">
        <w:t xml:space="preserve"> That </w:t>
      </w:r>
      <w:r w:rsidR="00D85302">
        <w:t>is inconsistent</w:t>
      </w:r>
      <w:r w:rsidR="009D1338">
        <w:t xml:space="preserve"> with any suggestion that “CATS Capacity”</w:t>
      </w:r>
      <w:r w:rsidR="008D42EF">
        <w:t xml:space="preserve"> was only relevant</w:t>
      </w:r>
      <w:r w:rsidR="005D4789">
        <w:t xml:space="preserve"> for the purpose of calculating the Capacity Fee</w:t>
      </w:r>
      <w:r w:rsidR="00433745">
        <w:t xml:space="preserve"> in the last five years of the CRTA.</w:t>
      </w:r>
      <w:r w:rsidR="00BC2A8C">
        <w:t xml:space="preserve"> </w:t>
      </w:r>
    </w:p>
    <w:p w14:paraId="1F23309B" w14:textId="0C5BC094" w:rsidR="00D40129" w:rsidRDefault="00721B55" w:rsidP="0020713C">
      <w:pPr>
        <w:pStyle w:val="ParaLevel1"/>
      </w:pPr>
      <w:r>
        <w:t>I</w:t>
      </w:r>
      <w:r w:rsidR="00713BC7">
        <w:t xml:space="preserve">ndeed, clause 4.6(c) states expressly </w:t>
      </w:r>
      <w:r w:rsidR="00B84D2C">
        <w:t>that the information was to be provided “for operational and planning purposes only”</w:t>
      </w:r>
      <w:r w:rsidR="00AF1E6A">
        <w:t>.</w:t>
      </w:r>
      <w:r w:rsidR="00F713C4">
        <w:t xml:space="preserve"> That must refer not only to the information initially provided</w:t>
      </w:r>
      <w:r w:rsidR="00D56D2C">
        <w:t xml:space="preserve"> under clause 4.6(a), but also to the updated information provided under</w:t>
      </w:r>
      <w:r w:rsidR="006B543B">
        <w:t xml:space="preserve"> </w:t>
      </w:r>
      <w:r w:rsidR="00B84D2C">
        <w:t>4.6</w:t>
      </w:r>
      <w:r w:rsidR="0026058D">
        <w:t>(</w:t>
      </w:r>
      <w:r w:rsidR="006B543B">
        <w:t>b</w:t>
      </w:r>
      <w:r w:rsidR="0026058D">
        <w:t>).</w:t>
      </w:r>
      <w:r w:rsidR="00174A09">
        <w:t xml:space="preserve"> Mr Thanki suggested</w:t>
      </w:r>
      <w:r w:rsidR="00B2108B">
        <w:t xml:space="preserve"> that </w:t>
      </w:r>
      <w:r w:rsidR="001C17BA">
        <w:t>TGTL</w:t>
      </w:r>
      <w:r w:rsidR="00CB7CBE">
        <w:t xml:space="preserve"> would need to know </w:t>
      </w:r>
      <w:r w:rsidR="00AD46CF">
        <w:t xml:space="preserve">both </w:t>
      </w:r>
      <w:r w:rsidR="00CB7CBE">
        <w:t>the</w:t>
      </w:r>
      <w:r w:rsidR="004C4504">
        <w:t xml:space="preserve"> maximum rate of delivery</w:t>
      </w:r>
      <w:r w:rsidR="000408E7">
        <w:t xml:space="preserve"> under each TPA</w:t>
      </w:r>
      <w:r w:rsidR="00AD46CF">
        <w:t xml:space="preserve"> and</w:t>
      </w:r>
      <w:r w:rsidR="00CB7710">
        <w:t xml:space="preserve"> also the</w:t>
      </w:r>
      <w:r w:rsidR="002900AD">
        <w:t xml:space="preserve"> overall CATS Capacity</w:t>
      </w:r>
      <w:r w:rsidR="00293266">
        <w:t xml:space="preserve"> figure for the purpose of calculating the Capacity Fee</w:t>
      </w:r>
      <w:r w:rsidR="0096122B">
        <w:t>,</w:t>
      </w:r>
      <w:r w:rsidR="00AF52BC">
        <w:t xml:space="preserve"> but notably </w:t>
      </w:r>
      <w:r w:rsidR="006B3FF9">
        <w:t xml:space="preserve">did </w:t>
      </w:r>
      <w:r w:rsidR="00AF52BC">
        <w:t>not</w:t>
      </w:r>
      <w:r w:rsidR="008B2256">
        <w:t xml:space="preserve"> suggest any other reason why TGTL</w:t>
      </w:r>
      <w:r w:rsidR="008E3776">
        <w:t xml:space="preserve"> would need to know</w:t>
      </w:r>
      <w:r w:rsidR="000153CF">
        <w:t xml:space="preserve"> the maximum rate of delivery under each TPA</w:t>
      </w:r>
      <w:r w:rsidR="00293266">
        <w:t>.</w:t>
      </w:r>
      <w:r w:rsidR="003E6587">
        <w:t xml:space="preserve"> However,</w:t>
      </w:r>
      <w:r w:rsidR="008E24BF">
        <w:t xml:space="preserve"> I would not regard </w:t>
      </w:r>
      <w:r w:rsidR="00071033">
        <w:t>calculation of the Capacity Fee</w:t>
      </w:r>
      <w:r w:rsidR="008E24BF">
        <w:t xml:space="preserve"> as an operational or planning purpose</w:t>
      </w:r>
      <w:r w:rsidR="00DA17E8">
        <w:t xml:space="preserve"> and, in any event,</w:t>
      </w:r>
      <w:r w:rsidR="00E00EBA">
        <w:t xml:space="preserve"> </w:t>
      </w:r>
      <w:r w:rsidR="00AE408E">
        <w:t>th</w:t>
      </w:r>
      <w:r w:rsidR="00040F2F">
        <w:t xml:space="preserve">e </w:t>
      </w:r>
      <w:r w:rsidR="00E00EBA">
        <w:t xml:space="preserve">suggestion </w:t>
      </w:r>
      <w:r w:rsidR="00040F2F">
        <w:t>begs the</w:t>
      </w:r>
      <w:r w:rsidR="00E00EBA">
        <w:t xml:space="preserve"> question</w:t>
      </w:r>
      <w:r w:rsidR="004678BC">
        <w:t xml:space="preserve"> why TGTL</w:t>
      </w:r>
      <w:r w:rsidR="0064651E">
        <w:t xml:space="preserve"> would need this information during the first 20 years of the operation of the</w:t>
      </w:r>
      <w:r w:rsidR="007A3495">
        <w:t xml:space="preserve"> A</w:t>
      </w:r>
      <w:r w:rsidR="00760CC6">
        <w:t>greement</w:t>
      </w:r>
      <w:r w:rsidR="007A3495">
        <w:t xml:space="preserve"> before the </w:t>
      </w:r>
      <w:r w:rsidR="00433213">
        <w:t>C</w:t>
      </w:r>
      <w:r w:rsidR="007A3495">
        <w:t xml:space="preserve">apacity </w:t>
      </w:r>
      <w:r w:rsidR="00433213">
        <w:t>Fe</w:t>
      </w:r>
      <w:r w:rsidR="007A3495">
        <w:t xml:space="preserve">e regime </w:t>
      </w:r>
      <w:r w:rsidR="00947548">
        <w:t>a</w:t>
      </w:r>
      <w:r w:rsidR="007A3495">
        <w:t>pplied</w:t>
      </w:r>
      <w:r w:rsidR="00AE408E">
        <w:t>.</w:t>
      </w:r>
      <w:r w:rsidR="002B7AF6">
        <w:t xml:space="preserve"> If</w:t>
      </w:r>
      <w:r w:rsidR="001C2DF0">
        <w:t xml:space="preserve"> we start from th</w:t>
      </w:r>
      <w:r w:rsidR="009B4DB2">
        <w:t>e prem</w:t>
      </w:r>
      <w:r w:rsidR="001C2DF0">
        <w:t>is</w:t>
      </w:r>
      <w:r w:rsidR="009B4DB2">
        <w:t>e, stated in clause 4.6(c),</w:t>
      </w:r>
      <w:r w:rsidR="00606E60">
        <w:t xml:space="preserve"> </w:t>
      </w:r>
      <w:r w:rsidR="009C6903">
        <w:t>th</w:t>
      </w:r>
      <w:r w:rsidR="00606E60">
        <w:t>a</w:t>
      </w:r>
      <w:r w:rsidR="00754D17">
        <w:t>t</w:t>
      </w:r>
      <w:r w:rsidR="00606E60">
        <w:t xml:space="preserve"> information</w:t>
      </w:r>
      <w:r w:rsidR="003715D7">
        <w:t xml:space="preserve"> about the CATS Capacity</w:t>
      </w:r>
      <w:r w:rsidR="009C6903">
        <w:t xml:space="preserve"> for each ensuing </w:t>
      </w:r>
      <w:r w:rsidR="00754D17">
        <w:t>C</w:t>
      </w:r>
      <w:r w:rsidR="009C6903">
        <w:t xml:space="preserve">ontract </w:t>
      </w:r>
      <w:r w:rsidR="00754D17">
        <w:t>Y</w:t>
      </w:r>
      <w:r w:rsidR="009C6903">
        <w:t>ear</w:t>
      </w:r>
      <w:r w:rsidR="009B4DB2">
        <w:t xml:space="preserve"> </w:t>
      </w:r>
      <w:r w:rsidR="00F611DF">
        <w:t>wa</w:t>
      </w:r>
      <w:r w:rsidR="00D351CC">
        <w:t>s indeed required for operational</w:t>
      </w:r>
      <w:r w:rsidR="005C56C1">
        <w:t xml:space="preserve"> and</w:t>
      </w:r>
      <w:r w:rsidR="00D351CC">
        <w:t xml:space="preserve"> planning purposes</w:t>
      </w:r>
      <w:r w:rsidR="00487C44">
        <w:t>, and then ask</w:t>
      </w:r>
      <w:r w:rsidR="00451A57">
        <w:t xml:space="preserve"> what kind of information w</w:t>
      </w:r>
      <w:r w:rsidR="008950C1">
        <w:t>ould</w:t>
      </w:r>
      <w:r w:rsidR="00451A57">
        <w:t xml:space="preserve"> be useful to TGTL</w:t>
      </w:r>
      <w:r w:rsidR="0003770E">
        <w:t xml:space="preserve"> for such purposes,</w:t>
      </w:r>
      <w:r w:rsidR="0017470D">
        <w:t xml:space="preserve"> the answer must be</w:t>
      </w:r>
      <w:r w:rsidR="00F025EA">
        <w:t xml:space="preserve"> that current up-to-date information</w:t>
      </w:r>
      <w:r w:rsidR="000B5DD3">
        <w:t xml:space="preserve"> will be useful whereas</w:t>
      </w:r>
      <w:r w:rsidR="0046547C">
        <w:t xml:space="preserve"> </w:t>
      </w:r>
      <w:r w:rsidR="0046547C">
        <w:lastRenderedPageBreak/>
        <w:t>historical information based on</w:t>
      </w:r>
      <w:r w:rsidR="00412821">
        <w:t xml:space="preserve"> quantities </w:t>
      </w:r>
      <w:r w:rsidR="00DE4989">
        <w:t>shipped</w:t>
      </w:r>
      <w:r w:rsidR="00412821">
        <w:t xml:space="preserve"> in the past, and in some cases many years ago,</w:t>
      </w:r>
      <w:r w:rsidR="00A27E4D">
        <w:t xml:space="preserve"> will be of no real us</w:t>
      </w:r>
      <w:r w:rsidR="003C79EE">
        <w:t>e at all.</w:t>
      </w:r>
    </w:p>
    <w:p w14:paraId="0690D200" w14:textId="7B1A003D" w:rsidR="00D31F67" w:rsidRDefault="00FE6257" w:rsidP="0020713C">
      <w:pPr>
        <w:pStyle w:val="ParaLevel1"/>
      </w:pPr>
      <w:r>
        <w:t>In the light of these considerations,</w:t>
      </w:r>
      <w:r w:rsidR="00D41F2B">
        <w:t xml:space="preserve"> I return</w:t>
      </w:r>
      <w:r w:rsidR="00F46421">
        <w:t xml:space="preserve"> to the question of what is meant by</w:t>
      </w:r>
      <w:r w:rsidR="00060077">
        <w:t xml:space="preserve"> “the proposed period of transportation”</w:t>
      </w:r>
      <w:r w:rsidR="00EC539C">
        <w:t xml:space="preserve"> in clause 4.6(a)(vii)</w:t>
      </w:r>
      <w:r w:rsidR="00AB1150">
        <w:t>.</w:t>
      </w:r>
      <w:r w:rsidR="00D31F67">
        <w:t xml:space="preserve"> I have already accepted that there are strong linguistic grounds for thinking</w:t>
      </w:r>
      <w:r w:rsidR="000E35FF">
        <w:t xml:space="preserve"> that this </w:t>
      </w:r>
      <w:r w:rsidR="00D31F67">
        <w:t>refer</w:t>
      </w:r>
      <w:r w:rsidR="000E35FF">
        <w:t>s</w:t>
      </w:r>
      <w:r w:rsidR="00D31F67">
        <w:t xml:space="preserve"> to the period between the </w:t>
      </w:r>
      <w:r w:rsidR="000E35FF">
        <w:t xml:space="preserve">two </w:t>
      </w:r>
      <w:r w:rsidR="00D31F67">
        <w:t>date</w:t>
      </w:r>
      <w:r w:rsidR="000E35FF">
        <w:t xml:space="preserve">s </w:t>
      </w:r>
      <w:r w:rsidR="00D31F67">
        <w:t>referred to in paragraphs (iv) and (v)</w:t>
      </w:r>
      <w:r w:rsidR="00733A62">
        <w:t xml:space="preserve"> or, in other words, to the entire period covered by each TPA</w:t>
      </w:r>
      <w:r w:rsidR="00C95CA6">
        <w:t>.</w:t>
      </w:r>
      <w:r w:rsidR="0087510F">
        <w:t xml:space="preserve"> But when the clause is viewed as a whole</w:t>
      </w:r>
      <w:r w:rsidR="00187632">
        <w:t>,</w:t>
      </w:r>
      <w:r w:rsidR="008A4E5C">
        <w:t xml:space="preserve"> it is apparent that, for operational and planning purposes,</w:t>
      </w:r>
      <w:r w:rsidR="004A6D19">
        <w:t xml:space="preserve"> the information in which the parties are really interested</w:t>
      </w:r>
      <w:r w:rsidR="00F36621">
        <w:t xml:space="preserve"> is that which will apply</w:t>
      </w:r>
      <w:r w:rsidR="002F13F8">
        <w:t xml:space="preserve"> as current information</w:t>
      </w:r>
      <w:r w:rsidR="00005A29">
        <w:t xml:space="preserve"> “for the ensuing </w:t>
      </w:r>
      <w:r w:rsidR="00ED3CC8">
        <w:t>C</w:t>
      </w:r>
      <w:r w:rsidR="00005A29">
        <w:t>ontract Year”.</w:t>
      </w:r>
      <w:r w:rsidR="00AC43C4">
        <w:t xml:space="preserve"> To my mind this casts at any rate some doubt</w:t>
      </w:r>
      <w:r w:rsidR="000C12F0">
        <w:t xml:space="preserve"> on the literal</w:t>
      </w:r>
      <w:r w:rsidR="00A46CE9">
        <w:t xml:space="preserve"> approach advocated by TGTL.</w:t>
      </w:r>
    </w:p>
    <w:p w14:paraId="6FAC8DDA" w14:textId="1DA184C5" w:rsidR="00973FC4" w:rsidRDefault="00FB163B" w:rsidP="0020713C">
      <w:pPr>
        <w:pStyle w:val="ParaLevel1"/>
      </w:pPr>
      <w:r>
        <w:t>I would conclude from this analysis</w:t>
      </w:r>
      <w:r w:rsidR="005C40D7">
        <w:t xml:space="preserve">, focusing </w:t>
      </w:r>
      <w:r w:rsidR="006F746E">
        <w:t xml:space="preserve">so far </w:t>
      </w:r>
      <w:r w:rsidR="005C40D7">
        <w:t>only on clause 4.6,</w:t>
      </w:r>
      <w:r w:rsidR="00D66F64">
        <w:t xml:space="preserve"> </w:t>
      </w:r>
      <w:r w:rsidR="00B10851">
        <w:t>tha</w:t>
      </w:r>
      <w:r w:rsidR="00D66F64">
        <w:t>t there are indications in the clause which support each party’s proposed con</w:t>
      </w:r>
      <w:r w:rsidR="0090597E">
        <w:t>s</w:t>
      </w:r>
      <w:r w:rsidR="00D66F64">
        <w:t>t</w:t>
      </w:r>
      <w:r w:rsidR="00963C7B">
        <w:t>r</w:t>
      </w:r>
      <w:r w:rsidR="0090597E">
        <w:t>u</w:t>
      </w:r>
      <w:r w:rsidR="00D66F64">
        <w:t>ct</w:t>
      </w:r>
      <w:r w:rsidR="0090597E">
        <w:t>ion</w:t>
      </w:r>
      <w:r w:rsidR="00D66F64">
        <w:t>,</w:t>
      </w:r>
      <w:r w:rsidR="00D4274C">
        <w:t xml:space="preserve"> but</w:t>
      </w:r>
      <w:r w:rsidR="00963C7B">
        <w:t xml:space="preserve"> that the</w:t>
      </w:r>
      <w:r w:rsidR="00D4274C">
        <w:t xml:space="preserve"> language is not decisive either way</w:t>
      </w:r>
      <w:r w:rsidR="00B10851">
        <w:t>.</w:t>
      </w:r>
    </w:p>
    <w:p w14:paraId="07112095" w14:textId="49EE05AB" w:rsidR="007A1838" w:rsidRPr="007A1838" w:rsidRDefault="007A1838" w:rsidP="0020713C">
      <w:pPr>
        <w:pStyle w:val="ParaLevel1"/>
        <w:numPr>
          <w:ilvl w:val="0"/>
          <w:numId w:val="0"/>
        </w:numPr>
        <w:rPr>
          <w:i/>
          <w:iCs/>
        </w:rPr>
      </w:pPr>
      <w:r>
        <w:rPr>
          <w:i/>
          <w:iCs/>
        </w:rPr>
        <w:t>O</w:t>
      </w:r>
      <w:r w:rsidRPr="007A1838">
        <w:rPr>
          <w:i/>
          <w:iCs/>
        </w:rPr>
        <w:t xml:space="preserve">ther relevant provisions of the </w:t>
      </w:r>
      <w:r w:rsidR="00B12C7D">
        <w:rPr>
          <w:i/>
          <w:iCs/>
        </w:rPr>
        <w:t>Agreement</w:t>
      </w:r>
    </w:p>
    <w:p w14:paraId="7973AB8E" w14:textId="77777777" w:rsidR="00D42EC3" w:rsidRDefault="00F4339C" w:rsidP="0020713C">
      <w:pPr>
        <w:pStyle w:val="ParaLevel1"/>
      </w:pPr>
      <w:r>
        <w:t>C</w:t>
      </w:r>
      <w:r w:rsidR="00874033">
        <w:t>lause 4.6(a)(vii)</w:t>
      </w:r>
      <w:r>
        <w:t xml:space="preserve"> refers to </w:t>
      </w:r>
      <w:r w:rsidR="006D60CA">
        <w:t>“the maximum rate of delivery of Non-Capacity Gas at such point during the proposed period of transportation”</w:t>
      </w:r>
      <w:r w:rsidR="00AD4C1F">
        <w:t xml:space="preserve">. </w:t>
      </w:r>
      <w:r w:rsidR="004E5206">
        <w:t xml:space="preserve">As already noted, however, </w:t>
      </w:r>
      <w:r w:rsidR="009B57E2">
        <w:t>the</w:t>
      </w:r>
      <w:r w:rsidR="00E75807">
        <w:t xml:space="preserve"> same language (“</w:t>
      </w:r>
      <w:r w:rsidR="000676B1">
        <w:t>the maximum rate of delivery of Non-Capacity Gas notified by the CATS Operator pursuant to Clause 4.6(a)(vii) of the Agreement”</w:t>
      </w:r>
      <w:r w:rsidR="00017CD9">
        <w:t>)</w:t>
      </w:r>
      <w:r w:rsidR="002455EF">
        <w:t xml:space="preserve"> is</w:t>
      </w:r>
      <w:r w:rsidR="00332EFB">
        <w:t xml:space="preserve"> also used in</w:t>
      </w:r>
      <w:r w:rsidR="00C27990">
        <w:t xml:space="preserve"> Schedule XIII</w:t>
      </w:r>
      <w:r w:rsidR="00EC15ED">
        <w:t xml:space="preserve"> </w:t>
      </w:r>
      <w:r w:rsidR="00DB5539">
        <w:t>as par</w:t>
      </w:r>
      <w:r w:rsidR="00EC15ED">
        <w:t>t</w:t>
      </w:r>
      <w:r w:rsidR="00DB5539">
        <w:t xml:space="preserve"> </w:t>
      </w:r>
      <w:r w:rsidR="00EC15ED">
        <w:t>o</w:t>
      </w:r>
      <w:r w:rsidR="00DB5539">
        <w:t>f the</w:t>
      </w:r>
      <w:r w:rsidR="00EC15ED">
        <w:t xml:space="preserve"> defin</w:t>
      </w:r>
      <w:r w:rsidR="00DB5539">
        <w:t>ition of</w:t>
      </w:r>
      <w:r w:rsidR="000F0BBC">
        <w:t xml:space="preserve"> “</w:t>
      </w:r>
      <w:r w:rsidR="00BF7C6B">
        <w:t>B</w:t>
      </w:r>
      <w:r w:rsidR="000F0BBC">
        <w:t>o</w:t>
      </w:r>
      <w:r w:rsidR="00BF7C6B">
        <w:t>oked C</w:t>
      </w:r>
      <w:r w:rsidR="000F0BBC">
        <w:t>apacity”.</w:t>
      </w:r>
      <w:r w:rsidR="00FB2721" w:rsidRPr="00FB2721">
        <w:t xml:space="preserve"> </w:t>
      </w:r>
      <w:r w:rsidR="00F80EB0">
        <w:t>I would therefore accept Mr L</w:t>
      </w:r>
      <w:r w:rsidR="009936C1">
        <w:t>or</w:t>
      </w:r>
      <w:r w:rsidR="00F80EB0">
        <w:t>d’s submission</w:t>
      </w:r>
      <w:r w:rsidR="00010386">
        <w:t xml:space="preserve"> that the concept of</w:t>
      </w:r>
      <w:r w:rsidR="00405394">
        <w:t xml:space="preserve"> “Booked Capacity” is likely to provide a good insight</w:t>
      </w:r>
      <w:r w:rsidR="00801156">
        <w:t xml:space="preserve"> into what the parties</w:t>
      </w:r>
      <w:r w:rsidR="0097095A">
        <w:t xml:space="preserve"> meant by the “maximum rate”</w:t>
      </w:r>
      <w:r w:rsidR="0071375A">
        <w:t xml:space="preserve"> referred to in clause 4.6</w:t>
      </w:r>
      <w:r w:rsidR="007D5BD0">
        <w:t>(a)(vii).</w:t>
      </w:r>
      <w:r w:rsidR="00F80EB0">
        <w:t xml:space="preserve"> </w:t>
      </w:r>
    </w:p>
    <w:p w14:paraId="07D9E6F9" w14:textId="67B21D8D" w:rsidR="000676B1" w:rsidRDefault="00FB2721" w:rsidP="0020713C">
      <w:pPr>
        <w:pStyle w:val="ParaLevel1"/>
      </w:pPr>
      <w:r>
        <w:lastRenderedPageBreak/>
        <w:t>In</w:t>
      </w:r>
      <w:r w:rsidR="007151AA">
        <w:t xml:space="preserve"> the context of Schedule XIII</w:t>
      </w:r>
      <w:r w:rsidR="008D2058">
        <w:t xml:space="preserve"> </w:t>
      </w:r>
      <w:r w:rsidR="009F1DB5">
        <w:t xml:space="preserve">(dealing with allocation principles) </w:t>
      </w:r>
      <w:r w:rsidR="008D2058">
        <w:t xml:space="preserve">it is clear that </w:t>
      </w:r>
      <w:r w:rsidR="00243DCC">
        <w:t>Booked Capacity refers, in</w:t>
      </w:r>
      <w:r>
        <w:t xml:space="preserve"> the case of shipments by</w:t>
      </w:r>
      <w:r w:rsidRPr="00D80858">
        <w:t xml:space="preserve"> </w:t>
      </w:r>
      <w:r>
        <w:t>third party shippers from Non-Designated Fields, t</w:t>
      </w:r>
      <w:r w:rsidR="00FA5DD6">
        <w:t xml:space="preserve">o </w:t>
      </w:r>
      <w:r>
        <w:t>the capacity actually reserved (or booked) from time to time</w:t>
      </w:r>
      <w:r w:rsidR="00186528">
        <w:t>.</w:t>
      </w:r>
      <w:r w:rsidR="00291B17">
        <w:t xml:space="preserve"> Historical </w:t>
      </w:r>
      <w:r w:rsidR="00794CD5">
        <w:t xml:space="preserve">maximum </w:t>
      </w:r>
      <w:r w:rsidR="00291B17">
        <w:t>figures</w:t>
      </w:r>
      <w:r w:rsidR="00E73F55">
        <w:t xml:space="preserve"> </w:t>
      </w:r>
      <w:r w:rsidR="00721AC2">
        <w:t xml:space="preserve">would have no relationship </w:t>
      </w:r>
      <w:r w:rsidR="004723F8">
        <w:t xml:space="preserve">with what was actually being shipped at any given time </w:t>
      </w:r>
      <w:r w:rsidR="002C00B8">
        <w:t xml:space="preserve">(or, if different, with capacity </w:t>
      </w:r>
      <w:r w:rsidR="00316553">
        <w:t xml:space="preserve">which was actually booked) and </w:t>
      </w:r>
      <w:r w:rsidR="00E73F55">
        <w:t xml:space="preserve">could be of no relevance to </w:t>
      </w:r>
      <w:r w:rsidR="0009278C">
        <w:t xml:space="preserve">the </w:t>
      </w:r>
      <w:r w:rsidR="00C90096">
        <w:t>allocation</w:t>
      </w:r>
      <w:r w:rsidR="0009278C">
        <w:t xml:space="preserve"> exercise with which</w:t>
      </w:r>
      <w:r w:rsidR="008A7642">
        <w:t xml:space="preserve"> Schedule XIII is concerned</w:t>
      </w:r>
      <w:r w:rsidR="00C90096">
        <w:t>.</w:t>
      </w:r>
      <w:r w:rsidR="002405E6">
        <w:t xml:space="preserve"> Indeed,</w:t>
      </w:r>
      <w:r w:rsidR="008524E7">
        <w:t xml:space="preserve"> the use of historical figures would make it impossible for allocation to be carried out</w:t>
      </w:r>
      <w:r w:rsidR="0096064B">
        <w:t xml:space="preserve"> </w:t>
      </w:r>
      <w:r w:rsidR="00817D27">
        <w:t>“on a basis that is demonstrably fair and equitable to all CATS Fields”</w:t>
      </w:r>
      <w:r w:rsidR="0096064B">
        <w:t xml:space="preserve"> as required by that Schedule.</w:t>
      </w:r>
    </w:p>
    <w:p w14:paraId="146A46C4" w14:textId="45DA2190" w:rsidR="004B61C6" w:rsidRDefault="000106EB" w:rsidP="0020713C">
      <w:pPr>
        <w:pStyle w:val="ParaLevel1"/>
      </w:pPr>
      <w:r>
        <w:t>In m</w:t>
      </w:r>
      <w:r w:rsidR="00686ED3">
        <w:t xml:space="preserve">y judgment </w:t>
      </w:r>
      <w:r>
        <w:t xml:space="preserve">this </w:t>
      </w:r>
      <w:r w:rsidR="00686ED3">
        <w:t>is a strong indication</w:t>
      </w:r>
      <w:r w:rsidR="0076045E">
        <w:t xml:space="preserve"> that the </w:t>
      </w:r>
      <w:r w:rsidR="00C15608">
        <w:t xml:space="preserve">updated </w:t>
      </w:r>
      <w:r w:rsidR="0076045E">
        <w:t xml:space="preserve">maximum rate required </w:t>
      </w:r>
      <w:r>
        <w:t>to be</w:t>
      </w:r>
      <w:r w:rsidR="0076045E">
        <w:t xml:space="preserve"> notified</w:t>
      </w:r>
      <w:r w:rsidR="00933778">
        <w:t xml:space="preserve"> </w:t>
      </w:r>
      <w:r w:rsidR="001F4878">
        <w:t xml:space="preserve">from time to time </w:t>
      </w:r>
      <w:r w:rsidR="00933778">
        <w:t>under clause 4.6(a)(vii)</w:t>
      </w:r>
      <w:r w:rsidR="00F0535F">
        <w:t xml:space="preserve"> </w:t>
      </w:r>
      <w:r w:rsidR="001F4878">
        <w:t xml:space="preserve">and clause 4.6(b) </w:t>
      </w:r>
      <w:r w:rsidR="00F0535F">
        <w:t xml:space="preserve">was </w:t>
      </w:r>
      <w:r w:rsidR="009008EA">
        <w:t xml:space="preserve">intended to be </w:t>
      </w:r>
      <w:r w:rsidR="00F0535F">
        <w:t>a current rate</w:t>
      </w:r>
      <w:r w:rsidR="00C41C70">
        <w:t>, referring</w:t>
      </w:r>
      <w:r w:rsidR="00C50C93">
        <w:t xml:space="preserve"> to the capacity a</w:t>
      </w:r>
      <w:r w:rsidR="00E67CA9">
        <w:t>c</w:t>
      </w:r>
      <w:r w:rsidR="00C50C93">
        <w:t>tu</w:t>
      </w:r>
      <w:r w:rsidR="00E67CA9">
        <w:t>a</w:t>
      </w:r>
      <w:r w:rsidR="00C50C93">
        <w:t>lly reserved (or booked)</w:t>
      </w:r>
      <w:r w:rsidR="00F0535F">
        <w:t>.</w:t>
      </w:r>
      <w:r w:rsidR="00847B13">
        <w:t xml:space="preserve"> </w:t>
      </w:r>
      <w:r w:rsidR="004D09D0">
        <w:t>That could pro</w:t>
      </w:r>
      <w:r w:rsidR="004B61C6">
        <w:t>per</w:t>
      </w:r>
      <w:r w:rsidR="004D09D0">
        <w:t>ly be regarded as a maximum</w:t>
      </w:r>
      <w:r w:rsidR="009F3F76">
        <w:t xml:space="preserve"> rate for </w:t>
      </w:r>
      <w:r w:rsidR="00D20B65">
        <w:t xml:space="preserve">ascertaining the CATS Capacity for </w:t>
      </w:r>
      <w:r w:rsidR="009F3F76">
        <w:t>the ensuing Contract Year,</w:t>
      </w:r>
      <w:r w:rsidR="00037E9D">
        <w:t xml:space="preserve"> as it was always possible that capacity </w:t>
      </w:r>
      <w:r w:rsidR="004B61C6">
        <w:t>reserved would not actually be taken up.</w:t>
      </w:r>
    </w:p>
    <w:p w14:paraId="5C465D5D" w14:textId="6AC7809B" w:rsidR="004E64AE" w:rsidRDefault="00BF7854" w:rsidP="0020713C">
      <w:pPr>
        <w:pStyle w:val="ParaLevel1"/>
      </w:pPr>
      <w:r>
        <w:t>The fact that</w:t>
      </w:r>
      <w:r w:rsidR="00916E70">
        <w:t xml:space="preserve"> Schedule XIII</w:t>
      </w:r>
      <w:r w:rsidR="00063979">
        <w:t xml:space="preserve"> was de</w:t>
      </w:r>
      <w:r w:rsidR="00DE7B6C">
        <w:t>le</w:t>
      </w:r>
      <w:r w:rsidR="00063979">
        <w:t>ted in its entirety</w:t>
      </w:r>
      <w:r w:rsidR="00DE7B6C">
        <w:t xml:space="preserve"> and replaced by the TAA</w:t>
      </w:r>
      <w:r w:rsidR="00284967">
        <w:t xml:space="preserve"> does not affect this conclusion.</w:t>
      </w:r>
      <w:r w:rsidR="00D77039">
        <w:t xml:space="preserve"> Schedule XIII</w:t>
      </w:r>
      <w:r w:rsidR="00920E9F">
        <w:t xml:space="preserve"> formed part of the</w:t>
      </w:r>
      <w:r w:rsidR="009C0959">
        <w:t xml:space="preserve"> A</w:t>
      </w:r>
      <w:r w:rsidR="006E6ADD">
        <w:t>greement</w:t>
      </w:r>
      <w:r w:rsidR="009C0959">
        <w:t xml:space="preserve"> when it was concluded in 1990 and is therefore relevant</w:t>
      </w:r>
      <w:r w:rsidR="00D35BD0">
        <w:t xml:space="preserve"> for the purpose of </w:t>
      </w:r>
      <w:r w:rsidR="00734C20">
        <w:t>as</w:t>
      </w:r>
      <w:r w:rsidR="00D35BD0">
        <w:t>c</w:t>
      </w:r>
      <w:r w:rsidR="00734C20">
        <w:t>ertain</w:t>
      </w:r>
      <w:r w:rsidR="00D35BD0">
        <w:t xml:space="preserve">ing the </w:t>
      </w:r>
      <w:r w:rsidR="00734C20">
        <w:t xml:space="preserve">meaning of the </w:t>
      </w:r>
      <w:r w:rsidR="00D35BD0">
        <w:t>contract as at that date</w:t>
      </w:r>
      <w:r w:rsidR="00117AC7">
        <w:t xml:space="preserve"> which, as is common ground,</w:t>
      </w:r>
      <w:r w:rsidR="00734C20">
        <w:t xml:space="preserve"> did not change thereafter</w:t>
      </w:r>
      <w:r w:rsidR="00102093">
        <w:t xml:space="preserve"> so fa</w:t>
      </w:r>
      <w:r w:rsidR="00A86C16">
        <w:t>r</w:t>
      </w:r>
      <w:r w:rsidR="00102093">
        <w:t xml:space="preserve"> as the </w:t>
      </w:r>
      <w:r w:rsidR="002962CF">
        <w:t xml:space="preserve">meaning of clause 4.6(a) </w:t>
      </w:r>
      <w:r w:rsidR="00A86C16">
        <w:t>is</w:t>
      </w:r>
      <w:r w:rsidR="002962CF">
        <w:t xml:space="preserve"> concerned.</w:t>
      </w:r>
    </w:p>
    <w:p w14:paraId="49CB5BE8" w14:textId="593FAD44" w:rsidR="007A1838" w:rsidRDefault="00D577BB" w:rsidP="0020713C">
      <w:pPr>
        <w:pStyle w:val="ParaLevel1"/>
      </w:pPr>
      <w:r>
        <w:t>There are, moreover,</w:t>
      </w:r>
      <w:r w:rsidR="00273F32">
        <w:t xml:space="preserve"> </w:t>
      </w:r>
      <w:r w:rsidR="008C4444">
        <w:t>o</w:t>
      </w:r>
      <w:r w:rsidR="00273F32">
        <w:t>the</w:t>
      </w:r>
      <w:r w:rsidR="008C4444">
        <w:t>r</w:t>
      </w:r>
      <w:r w:rsidR="00273F32">
        <w:t xml:space="preserve"> provision</w:t>
      </w:r>
      <w:r w:rsidR="00A65DA9">
        <w:t>s</w:t>
      </w:r>
      <w:r w:rsidR="00273F32">
        <w:t xml:space="preserve"> of the A</w:t>
      </w:r>
      <w:r w:rsidR="00A302A1">
        <w:t>greement</w:t>
      </w:r>
      <w:r w:rsidR="007C5F92">
        <w:t xml:space="preserve"> which refer to “CATS Capacity”</w:t>
      </w:r>
      <w:r w:rsidR="008134E7">
        <w:t xml:space="preserve"> and which shed light on the parties’ understanding of this concept.</w:t>
      </w:r>
    </w:p>
    <w:p w14:paraId="568D35E7" w14:textId="749F8140" w:rsidR="000E3588" w:rsidRDefault="002B4B15" w:rsidP="0020713C">
      <w:pPr>
        <w:pStyle w:val="ParaLevel1"/>
      </w:pPr>
      <w:r>
        <w:lastRenderedPageBreak/>
        <w:t xml:space="preserve">Clause 12 </w:t>
      </w:r>
      <w:r w:rsidR="00516618">
        <w:t>of the A</w:t>
      </w:r>
      <w:r w:rsidR="00DF3EA6">
        <w:t>greement</w:t>
      </w:r>
      <w:r w:rsidR="0066189B">
        <w:t xml:space="preserve"> dealt with emergency situations</w:t>
      </w:r>
      <w:r w:rsidR="00117408">
        <w:t xml:space="preserve"> leading to a reduction in capacity.</w:t>
      </w:r>
      <w:r w:rsidR="00F81555">
        <w:t xml:space="preserve"> It provided for the</w:t>
      </w:r>
      <w:r w:rsidR="00A4035F">
        <w:t xml:space="preserve"> capacity which remained physically available</w:t>
      </w:r>
      <w:r w:rsidR="00726F72">
        <w:t xml:space="preserve"> to be allocated between</w:t>
      </w:r>
      <w:r w:rsidR="00E46517">
        <w:t xml:space="preserve"> the users of the pipeline</w:t>
      </w:r>
      <w:r w:rsidR="007F7F0C">
        <w:t>, distinguishing between</w:t>
      </w:r>
      <w:r w:rsidR="00D72CD8">
        <w:t xml:space="preserve"> the first 36 hours of any</w:t>
      </w:r>
      <w:r w:rsidR="009C206B">
        <w:t xml:space="preserve"> period of reduced capacity</w:t>
      </w:r>
      <w:r w:rsidR="005E6165">
        <w:t xml:space="preserve"> and</w:t>
      </w:r>
      <w:r w:rsidR="005A2E1E">
        <w:t xml:space="preserve"> continuing</w:t>
      </w:r>
      <w:r w:rsidR="0095336A">
        <w:t xml:space="preserve"> reduction thereafter.</w:t>
      </w:r>
      <w:r w:rsidR="003A7C34">
        <w:t xml:space="preserve"> In the event that the reduction continued beyond </w:t>
      </w:r>
      <w:r w:rsidR="00AB0D2A">
        <w:t>the initial period,</w:t>
      </w:r>
      <w:r w:rsidR="00FA1714">
        <w:t xml:space="preserve"> clause 12</w:t>
      </w:r>
      <w:r w:rsidR="00AE39F0">
        <w:t>(b)(ii) provided that</w:t>
      </w:r>
      <w:r w:rsidR="008032AA">
        <w:t>:</w:t>
      </w:r>
    </w:p>
    <w:p w14:paraId="42AC6566" w14:textId="594AC5BE" w:rsidR="008032AA" w:rsidRDefault="008032AA" w:rsidP="0020713C">
      <w:pPr>
        <w:pStyle w:val="Quote"/>
      </w:pPr>
      <w:r>
        <w:t>“</w:t>
      </w:r>
      <w:r w:rsidR="0098721B">
        <w:t>the Capacity Users</w:t>
      </w:r>
      <w:r w:rsidR="009C6248">
        <w:t xml:space="preserve"> </w:t>
      </w:r>
      <w:r w:rsidR="00407B98">
        <w:t>shall</w:t>
      </w:r>
      <w:r w:rsidR="006214A1">
        <w:t xml:space="preserve"> in aggregate</w:t>
      </w:r>
      <w:r w:rsidR="009C6248">
        <w:t xml:space="preserve"> be entitled to a portion of the Available Capacity</w:t>
      </w:r>
      <w:r w:rsidR="00407B98">
        <w:t xml:space="preserve"> equal to the proportion which the Capacity Reservation Rate bears to the </w:t>
      </w:r>
      <w:r w:rsidR="007A1017">
        <w:t xml:space="preserve">CATS </w:t>
      </w:r>
      <w:r w:rsidR="00407B98">
        <w:t>Capacity.”</w:t>
      </w:r>
    </w:p>
    <w:p w14:paraId="661FCF66" w14:textId="28AF7B9C" w:rsidR="008032AA" w:rsidRDefault="005845A9" w:rsidP="0020713C">
      <w:pPr>
        <w:pStyle w:val="ParaLevel1"/>
      </w:pPr>
      <w:r>
        <w:t>It is obvious</w:t>
      </w:r>
      <w:r w:rsidR="00B8610E">
        <w:t xml:space="preserve"> that this provision</w:t>
      </w:r>
      <w:r w:rsidR="001C729F">
        <w:t xml:space="preserve"> was intended to effect a </w:t>
      </w:r>
      <w:r w:rsidR="003E064A">
        <w:t xml:space="preserve">fair </w:t>
      </w:r>
      <w:r w:rsidR="001C729F">
        <w:t>sharing of the available capacity</w:t>
      </w:r>
      <w:r w:rsidR="00026900">
        <w:t xml:space="preserve"> between th</w:t>
      </w:r>
      <w:r w:rsidR="00F63B15">
        <w:t>e users of the pipeline</w:t>
      </w:r>
      <w:r w:rsidR="00FD1FEA">
        <w:t xml:space="preserve"> affected by the reduction.</w:t>
      </w:r>
      <w:r w:rsidR="007C4C49">
        <w:t xml:space="preserve"> That objective</w:t>
      </w:r>
      <w:r w:rsidR="00B71181">
        <w:t xml:space="preserve"> would be achieved</w:t>
      </w:r>
      <w:r w:rsidR="00D53E4F">
        <w:t xml:space="preserve"> if the CATS Parties’</w:t>
      </w:r>
      <w:r w:rsidR="00812471">
        <w:t xml:space="preserve"> construction of “CATS Capacity” is correct</w:t>
      </w:r>
      <w:r w:rsidR="00D15005">
        <w:t>,</w:t>
      </w:r>
      <w:r w:rsidR="00667035">
        <w:t xml:space="preserve"> but not if</w:t>
      </w:r>
      <w:r w:rsidR="00260F12">
        <w:t xml:space="preserve"> TGTL is correct</w:t>
      </w:r>
      <w:r w:rsidR="00AC62FF">
        <w:t xml:space="preserve"> in its submission that</w:t>
      </w:r>
      <w:r w:rsidR="005D6E68">
        <w:t xml:space="preserve"> third party shippers’ contribution to the </w:t>
      </w:r>
      <w:r w:rsidR="003A74C7">
        <w:t>ascertainment of “CATS Capacity” depend</w:t>
      </w:r>
      <w:r w:rsidR="002D1D25">
        <w:t>ed</w:t>
      </w:r>
      <w:r w:rsidR="000B0454">
        <w:t xml:space="preserve"> on</w:t>
      </w:r>
      <w:r w:rsidR="001C1378">
        <w:t xml:space="preserve"> historic and out of date maximum rates</w:t>
      </w:r>
      <w:r w:rsidR="00AB03BC">
        <w:t xml:space="preserve"> which (as time went by)</w:t>
      </w:r>
      <w:r w:rsidR="00957366">
        <w:t xml:space="preserve"> were likely to be far in excess</w:t>
      </w:r>
      <w:r w:rsidR="009F4FEA">
        <w:t xml:space="preserve"> of capacity which those shippers had actually booked at the relevant time</w:t>
      </w:r>
      <w:r w:rsidR="00F74942">
        <w:t>.</w:t>
      </w:r>
      <w:r w:rsidR="00592C25">
        <w:t xml:space="preserve"> That would </w:t>
      </w:r>
      <w:r w:rsidR="001D43C4">
        <w:t xml:space="preserve">be liable to </w:t>
      </w:r>
      <w:r w:rsidR="00592C25">
        <w:t>result in</w:t>
      </w:r>
      <w:r w:rsidR="00627165">
        <w:t xml:space="preserve"> some shippers</w:t>
      </w:r>
      <w:r w:rsidR="00EB08E5">
        <w:t xml:space="preserve"> being allocated a share of the available capacity</w:t>
      </w:r>
      <w:r w:rsidR="009459D0">
        <w:t xml:space="preserve"> </w:t>
      </w:r>
      <w:r w:rsidR="00292BD3">
        <w:t xml:space="preserve">out </w:t>
      </w:r>
      <w:r w:rsidR="00653BB4">
        <w:t>of proportion</w:t>
      </w:r>
      <w:r w:rsidR="00292BD3">
        <w:t xml:space="preserve"> to</w:t>
      </w:r>
      <w:r w:rsidR="000C020B">
        <w:t xml:space="preserve"> the capacity which they had actually reserved merely because</w:t>
      </w:r>
      <w:r w:rsidR="0042645E">
        <w:t xml:space="preserve"> of an outdated</w:t>
      </w:r>
      <w:r w:rsidR="00405258">
        <w:t xml:space="preserve"> maximum rate in their</w:t>
      </w:r>
      <w:r w:rsidR="008B7598">
        <w:t xml:space="preserve"> TPA.</w:t>
      </w:r>
      <w:r w:rsidR="00A57BE7">
        <w:t xml:space="preserve"> </w:t>
      </w:r>
      <w:r w:rsidR="00621762">
        <w:t xml:space="preserve">This </w:t>
      </w:r>
      <w:r w:rsidR="00A57BE7">
        <w:t>would be</w:t>
      </w:r>
      <w:r w:rsidR="00621762">
        <w:t>nefit those shippers and would unfairly</w:t>
      </w:r>
      <w:r w:rsidR="00A57BE7">
        <w:t xml:space="preserve"> prejud</w:t>
      </w:r>
      <w:r w:rsidR="00521298">
        <w:t>i</w:t>
      </w:r>
      <w:r w:rsidR="00A57BE7">
        <w:t>ce</w:t>
      </w:r>
      <w:r w:rsidR="00621762">
        <w:t xml:space="preserve"> TGTL.</w:t>
      </w:r>
      <w:r w:rsidR="00020458">
        <w:t xml:space="preserve"> TGTL</w:t>
      </w:r>
      <w:r w:rsidR="00086595">
        <w:t xml:space="preserve"> seeks to meet this point</w:t>
      </w:r>
      <w:r w:rsidR="00B94834">
        <w:t xml:space="preserve"> by submitting that this was the deal</w:t>
      </w:r>
      <w:r w:rsidR="00320193">
        <w:t xml:space="preserve"> which the parties</w:t>
      </w:r>
      <w:r w:rsidR="00F27D87">
        <w:t xml:space="preserve"> had struck but</w:t>
      </w:r>
      <w:r w:rsidR="00C8074F">
        <w:t>,</w:t>
      </w:r>
      <w:r w:rsidR="00F27D87">
        <w:t xml:space="preserve"> given the obvious purpose of clause 12</w:t>
      </w:r>
      <w:r w:rsidR="00C8074F">
        <w:t>,</w:t>
      </w:r>
      <w:r w:rsidR="000A4B71">
        <w:t xml:space="preserve"> I find that submission unconvincing.</w:t>
      </w:r>
    </w:p>
    <w:p w14:paraId="271FA606" w14:textId="10E0A630" w:rsidR="00DA34ED" w:rsidRDefault="00560FBC" w:rsidP="0020713C">
      <w:pPr>
        <w:pStyle w:val="ParaLevel1"/>
      </w:pPr>
      <w:r>
        <w:t>Clause 16</w:t>
      </w:r>
      <w:r w:rsidR="00975893">
        <w:t xml:space="preserve"> deal</w:t>
      </w:r>
      <w:r w:rsidR="000E4580">
        <w:t>t</w:t>
      </w:r>
      <w:r w:rsidR="00975893">
        <w:t xml:space="preserve"> with the topic of substitution,</w:t>
      </w:r>
      <w:r w:rsidR="005558DB">
        <w:t xml:space="preserve"> which in this context</w:t>
      </w:r>
      <w:r w:rsidR="005D62CE">
        <w:t xml:space="preserve"> refers to treating</w:t>
      </w:r>
      <w:r w:rsidR="00252643">
        <w:t xml:space="preserve"> Capacity Gas as Non-Capacity Gas and </w:t>
      </w:r>
      <w:r w:rsidR="00252643" w:rsidRPr="00252643">
        <w:rPr>
          <w:i/>
          <w:iCs/>
        </w:rPr>
        <w:t>vice versa</w:t>
      </w:r>
      <w:r w:rsidR="00252643">
        <w:t>.</w:t>
      </w:r>
      <w:r w:rsidR="000E4580">
        <w:t xml:space="preserve"> </w:t>
      </w:r>
      <w:r w:rsidR="00855BF4">
        <w:t xml:space="preserve">It would be to all </w:t>
      </w:r>
      <w:r w:rsidR="00855BF4">
        <w:lastRenderedPageBreak/>
        <w:t xml:space="preserve">parties’ benefit for </w:t>
      </w:r>
      <w:r w:rsidR="00154B0C">
        <w:t xml:space="preserve">this to be </w:t>
      </w:r>
      <w:r w:rsidR="00E9047A">
        <w:t>p</w:t>
      </w:r>
      <w:r w:rsidR="00154B0C">
        <w:t xml:space="preserve">ossible </w:t>
      </w:r>
      <w:r w:rsidR="00E9047A">
        <w:t xml:space="preserve">from time to time </w:t>
      </w:r>
      <w:r w:rsidR="00154B0C">
        <w:t xml:space="preserve">as </w:t>
      </w:r>
      <w:r w:rsidR="00E9047A">
        <w:t xml:space="preserve">it would add to operational flexibility. </w:t>
      </w:r>
      <w:r w:rsidR="000E4580">
        <w:t>Clause 16.</w:t>
      </w:r>
      <w:r w:rsidR="00DA34ED">
        <w:t>1</w:t>
      </w:r>
      <w:r w:rsidR="005B1708">
        <w:t>(c) provided</w:t>
      </w:r>
      <w:r w:rsidR="00161427">
        <w:t xml:space="preserve"> for the circumstances in which </w:t>
      </w:r>
      <w:r w:rsidR="00357C40">
        <w:t>substitution</w:t>
      </w:r>
      <w:r w:rsidR="00161427">
        <w:t xml:space="preserve"> could occur</w:t>
      </w:r>
      <w:r w:rsidR="00A256BB">
        <w:t>:</w:t>
      </w:r>
    </w:p>
    <w:p w14:paraId="609F7743" w14:textId="77777777" w:rsidR="007B17A3" w:rsidRDefault="00A256BB" w:rsidP="0020713C">
      <w:pPr>
        <w:pStyle w:val="Quote"/>
      </w:pPr>
      <w:r>
        <w:t>“</w:t>
      </w:r>
      <w:r w:rsidR="00DE5F9A">
        <w:t>The Right of Substitution</w:t>
      </w:r>
      <w:r w:rsidR="003056A1">
        <w:t xml:space="preserve"> may only be exercised by [TGTL]</w:t>
      </w:r>
      <w:r w:rsidR="005A4148">
        <w:t xml:space="preserve"> or the CATS Parties</w:t>
      </w:r>
      <w:r w:rsidR="00AC3BE2">
        <w:t xml:space="preserve"> to the extent that:</w:t>
      </w:r>
      <w:r w:rsidR="007B17A3">
        <w:t xml:space="preserve"> </w:t>
      </w:r>
    </w:p>
    <w:p w14:paraId="6121DC66" w14:textId="77777777" w:rsidR="00D06807" w:rsidRDefault="007B17A3" w:rsidP="0020713C">
      <w:pPr>
        <w:pStyle w:val="Quote"/>
      </w:pPr>
      <w:r>
        <w:t>(i) there is</w:t>
      </w:r>
      <w:r w:rsidR="005954BC">
        <w:t xml:space="preserve"> </w:t>
      </w:r>
      <w:r w:rsidR="00864BA9">
        <w:t>spare</w:t>
      </w:r>
      <w:r w:rsidR="005954BC">
        <w:t xml:space="preserve"> capacity in the </w:t>
      </w:r>
      <w:r w:rsidR="00FD059F">
        <w:t xml:space="preserve">Capacity </w:t>
      </w:r>
      <w:r w:rsidR="005954BC">
        <w:t>Reservation, as determined by [T</w:t>
      </w:r>
      <w:r w:rsidR="00FD059F">
        <w:t>G</w:t>
      </w:r>
      <w:r w:rsidR="005954BC">
        <w:t>TL]</w:t>
      </w:r>
      <w:r w:rsidR="00864BA9">
        <w:t xml:space="preserve"> (in the case of Substitution In)</w:t>
      </w:r>
      <w:r w:rsidR="00A02D0A">
        <w:t xml:space="preserve">; </w:t>
      </w:r>
    </w:p>
    <w:p w14:paraId="117EE4B8" w14:textId="77777777" w:rsidR="00D53DB6" w:rsidRDefault="00D06807" w:rsidP="0020713C">
      <w:pPr>
        <w:pStyle w:val="Quote"/>
      </w:pPr>
      <w:r>
        <w:t>(ii) there</w:t>
      </w:r>
      <w:r w:rsidR="001126ED">
        <w:t xml:space="preserve"> is spare capacity in the CATS Capacity</w:t>
      </w:r>
      <w:r w:rsidR="00D90DDA">
        <w:t xml:space="preserve"> (other than the Capacity Rese</w:t>
      </w:r>
      <w:r w:rsidR="00E23FD2">
        <w:t>r</w:t>
      </w:r>
      <w:r w:rsidR="00D90DDA">
        <w:t>vation),</w:t>
      </w:r>
      <w:r w:rsidR="00F22415">
        <w:t xml:space="preserve"> as determined by the CATS Operator</w:t>
      </w:r>
      <w:r w:rsidR="00E92EDC">
        <w:t xml:space="preserve"> (in the case of Substitution Out);</w:t>
      </w:r>
      <w:r w:rsidR="00E23FD2">
        <w:t xml:space="preserve"> and </w:t>
      </w:r>
    </w:p>
    <w:p w14:paraId="32EB1208" w14:textId="02756DDF" w:rsidR="00A256BB" w:rsidRDefault="0008572B" w:rsidP="0020713C">
      <w:pPr>
        <w:pStyle w:val="Quote"/>
      </w:pPr>
      <w:r>
        <w:t xml:space="preserve">(iii) in the </w:t>
      </w:r>
      <w:r w:rsidR="00514964">
        <w:t xml:space="preserve">reasonable </w:t>
      </w:r>
      <w:r w:rsidR="0007007F">
        <w:t xml:space="preserve">opinion </w:t>
      </w:r>
      <w:r w:rsidR="00514964">
        <w:t>of the</w:t>
      </w:r>
      <w:r w:rsidR="0007007F">
        <w:t xml:space="preserve"> CATS Operator</w:t>
      </w:r>
      <w:r w:rsidR="00514964">
        <w:t>, the co</w:t>
      </w:r>
      <w:r w:rsidR="0097677E">
        <w:t>m</w:t>
      </w:r>
      <w:r w:rsidR="00514964">
        <w:t xml:space="preserve">mingled stream in the </w:t>
      </w:r>
      <w:r w:rsidR="0097677E">
        <w:t xml:space="preserve">CATS </w:t>
      </w:r>
      <w:r w:rsidR="00514964">
        <w:t xml:space="preserve">Transportation Facilities resulting from the exercise of the Right of Substitution can be transported, processed and redelivered </w:t>
      </w:r>
      <w:r w:rsidR="004A5619">
        <w:t xml:space="preserve">in compliance with the relevant redelivery specifications according to the standards of a Reasonable and Prudent Operator </w:t>
      </w:r>
      <w:r>
        <w:t xml:space="preserve">and with no material adverse effect on any other </w:t>
      </w:r>
      <w:r w:rsidR="00BB5817">
        <w:t xml:space="preserve">CATS </w:t>
      </w:r>
      <w:r>
        <w:t xml:space="preserve">user.” </w:t>
      </w:r>
    </w:p>
    <w:p w14:paraId="226FC95C" w14:textId="443BE664" w:rsidR="00E23FD2" w:rsidRPr="00E23FD2" w:rsidRDefault="007C0F32" w:rsidP="0020713C">
      <w:pPr>
        <w:pStyle w:val="ParaLevel1"/>
      </w:pPr>
      <w:r>
        <w:t xml:space="preserve">Thus the existence of spare capacity </w:t>
      </w:r>
      <w:r w:rsidR="009D1F21">
        <w:t xml:space="preserve">rendering </w:t>
      </w:r>
      <w:r w:rsidR="00E22137">
        <w:t>S</w:t>
      </w:r>
      <w:r w:rsidR="009D1F21">
        <w:t xml:space="preserve">ubstitution </w:t>
      </w:r>
      <w:r w:rsidR="00F614CB">
        <w:t xml:space="preserve">Out </w:t>
      </w:r>
      <w:r w:rsidR="009D1F21">
        <w:t xml:space="preserve">a possibility </w:t>
      </w:r>
      <w:r>
        <w:t xml:space="preserve">is to be determined by reference to </w:t>
      </w:r>
      <w:r w:rsidR="00042063">
        <w:t>“CATS Capacity”.</w:t>
      </w:r>
      <w:r w:rsidR="002A2EA1">
        <w:t xml:space="preserve"> This can only</w:t>
      </w:r>
      <w:r w:rsidR="008A29C0">
        <w:t xml:space="preserve"> sensibly be done</w:t>
      </w:r>
      <w:r w:rsidR="00846F6C">
        <w:t xml:space="preserve"> on the basis that “CATS Capacity</w:t>
      </w:r>
      <w:r w:rsidR="00F94B71">
        <w:t>”</w:t>
      </w:r>
      <w:r w:rsidR="00F927B8">
        <w:t xml:space="preserve"> refers to up-to-date figures for</w:t>
      </w:r>
      <w:r w:rsidR="00437667">
        <w:t xml:space="preserve"> booked capacity</w:t>
      </w:r>
      <w:r w:rsidR="00A87CC2">
        <w:t>. A</w:t>
      </w:r>
      <w:r w:rsidR="003914D2">
        <w:t>n</w:t>
      </w:r>
      <w:r w:rsidR="00A87CC2">
        <w:t xml:space="preserve"> assessment</w:t>
      </w:r>
      <w:r w:rsidR="003914D2">
        <w:t xml:space="preserve"> done by reference to historic</w:t>
      </w:r>
      <w:r w:rsidR="00A87CC2">
        <w:t xml:space="preserve"> figures would be meaningless.</w:t>
      </w:r>
    </w:p>
    <w:p w14:paraId="45DE16DE" w14:textId="3054A093" w:rsidR="00AC3BE2" w:rsidRPr="00AC3BE2" w:rsidRDefault="004F7115" w:rsidP="0020713C">
      <w:pPr>
        <w:pStyle w:val="ParaLevel1"/>
      </w:pPr>
      <w:r>
        <w:t>Finally, clause 22</w:t>
      </w:r>
      <w:r w:rsidR="006E2A57">
        <w:t xml:space="preserve"> permit</w:t>
      </w:r>
      <w:r w:rsidR="003F02B6">
        <w:t>ted</w:t>
      </w:r>
      <w:r w:rsidR="006E2A57">
        <w:t xml:space="preserve"> the</w:t>
      </w:r>
      <w:r w:rsidR="00A21B36">
        <w:t xml:space="preserve"> CATS Parties, </w:t>
      </w:r>
      <w:r w:rsidR="00575F23">
        <w:t xml:space="preserve">on </w:t>
      </w:r>
      <w:r w:rsidR="00A21B36">
        <w:t xml:space="preserve">giving </w:t>
      </w:r>
      <w:r w:rsidR="00575F23">
        <w:t xml:space="preserve">two </w:t>
      </w:r>
      <w:r w:rsidR="00A21B36">
        <w:t>years notice</w:t>
      </w:r>
      <w:r w:rsidR="00575F23">
        <w:t xml:space="preserve">, to abandon the </w:t>
      </w:r>
      <w:r w:rsidR="00C57255">
        <w:t>pipeline</w:t>
      </w:r>
      <w:r w:rsidR="00290EB9">
        <w:t>, with effect</w:t>
      </w:r>
      <w:r w:rsidR="00755694">
        <w:t xml:space="preserve"> from (at the earliest) </w:t>
      </w:r>
      <w:r w:rsidR="004542AF">
        <w:t>1</w:t>
      </w:r>
      <w:r w:rsidR="004542AF" w:rsidRPr="004542AF">
        <w:rPr>
          <w:vertAlign w:val="superscript"/>
        </w:rPr>
        <w:t>st</w:t>
      </w:r>
      <w:r w:rsidR="004542AF">
        <w:t xml:space="preserve"> October 2008</w:t>
      </w:r>
      <w:r w:rsidR="00A80C32">
        <w:t>.</w:t>
      </w:r>
      <w:r w:rsidR="003B3699">
        <w:t xml:space="preserve"> Thus abandonment could only occur a</w:t>
      </w:r>
      <w:r w:rsidR="00FC6179">
        <w:t xml:space="preserve">t the earliest </w:t>
      </w:r>
      <w:r w:rsidR="003B3699">
        <w:t xml:space="preserve">15 years </w:t>
      </w:r>
      <w:r w:rsidR="00FC6179">
        <w:t>a</w:t>
      </w:r>
      <w:r w:rsidR="003B3699">
        <w:t>f</w:t>
      </w:r>
      <w:r w:rsidR="00FC6179">
        <w:t>te</w:t>
      </w:r>
      <w:r w:rsidR="003B3699">
        <w:t>r commencement of operations</w:t>
      </w:r>
      <w:r w:rsidR="00B81D35">
        <w:t>, by which time</w:t>
      </w:r>
      <w:r w:rsidR="002F62DA">
        <w:t xml:space="preserve"> it was to be expected that the fields would be substantially depleted</w:t>
      </w:r>
      <w:r w:rsidR="0054756F">
        <w:t xml:space="preserve"> so that throughput</w:t>
      </w:r>
      <w:r w:rsidR="00553639">
        <w:t xml:space="preserve"> (and thus booked capacity) would be</w:t>
      </w:r>
      <w:r w:rsidR="00E0585E">
        <w:t xml:space="preserve"> substantially lower than in the initial years of operation</w:t>
      </w:r>
      <w:r w:rsidR="00D14E6F">
        <w:t>.</w:t>
      </w:r>
      <w:r w:rsidR="00BC0A7C">
        <w:t xml:space="preserve"> In th</w:t>
      </w:r>
      <w:r w:rsidR="00306F5B">
        <w:t>e</w:t>
      </w:r>
      <w:r w:rsidR="00BC0A7C">
        <w:t xml:space="preserve"> event</w:t>
      </w:r>
      <w:r w:rsidR="00306F5B">
        <w:t xml:space="preserve"> of such abandonment</w:t>
      </w:r>
      <w:r w:rsidR="00BC0A7C">
        <w:t>,</w:t>
      </w:r>
      <w:r w:rsidR="00C22AB4">
        <w:t xml:space="preserve"> </w:t>
      </w:r>
      <w:r w:rsidR="00777002">
        <w:t xml:space="preserve">provision </w:t>
      </w:r>
      <w:r w:rsidR="003F02B6">
        <w:t>wa</w:t>
      </w:r>
      <w:r w:rsidR="00777002">
        <w:t xml:space="preserve">s made for the CATS Parties to sell the abandoned facilities </w:t>
      </w:r>
      <w:r w:rsidR="00C22AB4">
        <w:t xml:space="preserve">to </w:t>
      </w:r>
      <w:r w:rsidR="00F31ABD">
        <w:t xml:space="preserve">users of the </w:t>
      </w:r>
      <w:r w:rsidR="00342FBC">
        <w:t>pipeline</w:t>
      </w:r>
      <w:r w:rsidR="00F31ABD">
        <w:t xml:space="preserve"> (including TGTL)</w:t>
      </w:r>
      <w:r w:rsidR="002F6876">
        <w:t>.</w:t>
      </w:r>
      <w:r w:rsidR="00643CDE">
        <w:t xml:space="preserve"> Those users</w:t>
      </w:r>
      <w:r w:rsidR="001B274D">
        <w:t xml:space="preserve">, defined as </w:t>
      </w:r>
      <w:r w:rsidR="001B274D">
        <w:lastRenderedPageBreak/>
        <w:t>“Relevant Parties”</w:t>
      </w:r>
      <w:r w:rsidR="00B54EA5">
        <w:t>,</w:t>
      </w:r>
      <w:r w:rsidR="004C1A71">
        <w:t xml:space="preserve"> were those</w:t>
      </w:r>
      <w:r w:rsidR="00170E6D">
        <w:t xml:space="preserve"> having a contract with the</w:t>
      </w:r>
      <w:r w:rsidR="00C66782">
        <w:t xml:space="preserve"> CATS Parties</w:t>
      </w:r>
      <w:r w:rsidR="00C1784B">
        <w:t xml:space="preserve"> providing either for a capacity </w:t>
      </w:r>
      <w:r w:rsidR="009A7FEE">
        <w:t>r</w:t>
      </w:r>
      <w:r w:rsidR="00C1784B">
        <w:t>eservation</w:t>
      </w:r>
      <w:r w:rsidR="007F2156">
        <w:t xml:space="preserve"> or for the transportation of gas</w:t>
      </w:r>
      <w:r w:rsidR="009A7FEE">
        <w:t xml:space="preserve"> “on a firm basis”.</w:t>
      </w:r>
      <w:r w:rsidR="00F06238">
        <w:t xml:space="preserve"> Clause 22</w:t>
      </w:r>
      <w:r w:rsidR="001D4BD2">
        <w:t>.3(b)(ii)</w:t>
      </w:r>
      <w:r w:rsidR="004D04B5">
        <w:t xml:space="preserve"> </w:t>
      </w:r>
      <w:r w:rsidR="00B0182B">
        <w:t>provide</w:t>
      </w:r>
      <w:r w:rsidR="003F02B6">
        <w:t>d</w:t>
      </w:r>
      <w:r w:rsidR="00750413">
        <w:t xml:space="preserve"> that</w:t>
      </w:r>
      <w:r w:rsidR="00931B80">
        <w:t xml:space="preserve"> </w:t>
      </w:r>
      <w:r w:rsidR="000E0A89">
        <w:t xml:space="preserve">ownership </w:t>
      </w:r>
      <w:r w:rsidR="008F0F06">
        <w:t>of</w:t>
      </w:r>
      <w:r w:rsidR="00931B80">
        <w:t xml:space="preserve"> the </w:t>
      </w:r>
      <w:r w:rsidR="008F0F06">
        <w:t xml:space="preserve">abandoned </w:t>
      </w:r>
      <w:r w:rsidR="00931B80">
        <w:t>facilities</w:t>
      </w:r>
      <w:r w:rsidR="00261B77">
        <w:t xml:space="preserve"> was to be allocated among</w:t>
      </w:r>
      <w:r w:rsidR="000C5438">
        <w:t xml:space="preserve"> </w:t>
      </w:r>
      <w:r w:rsidR="007E786D">
        <w:t>Relevant Parties</w:t>
      </w:r>
      <w:r w:rsidR="000C5438">
        <w:t xml:space="preserve"> “pro rata to their proportionate shares of the</w:t>
      </w:r>
      <w:r w:rsidR="0053186A">
        <w:t xml:space="preserve"> CATS Capacity</w:t>
      </w:r>
      <w:r w:rsidR="007B5354">
        <w:t xml:space="preserve"> </w:t>
      </w:r>
      <w:r w:rsidR="00A169C0">
        <w:t xml:space="preserve">on the </w:t>
      </w:r>
      <w:r w:rsidR="007B5354">
        <w:t>da</w:t>
      </w:r>
      <w:r w:rsidR="00D4564E">
        <w:t>te</w:t>
      </w:r>
      <w:r w:rsidR="007B5354">
        <w:t xml:space="preserve"> of expiry of </w:t>
      </w:r>
      <w:r w:rsidR="00895F9D">
        <w:t xml:space="preserve">the </w:t>
      </w:r>
      <w:r w:rsidR="007B5354">
        <w:t>notice”</w:t>
      </w:r>
      <w:r w:rsidR="00D4564E">
        <w:t xml:space="preserve"> </w:t>
      </w:r>
      <w:r w:rsidR="00BD0776">
        <w:t>of abandonment.</w:t>
      </w:r>
    </w:p>
    <w:p w14:paraId="531CE12C" w14:textId="5DB22173" w:rsidR="00DA34ED" w:rsidRDefault="00160899" w:rsidP="0020713C">
      <w:pPr>
        <w:pStyle w:val="ParaLevel1"/>
      </w:pPr>
      <w:r>
        <w:t>Three points follow from this.</w:t>
      </w:r>
      <w:r w:rsidR="00FC66E2">
        <w:t xml:space="preserve"> First, although not given the name, the concept of</w:t>
      </w:r>
      <w:r w:rsidR="00701189">
        <w:t xml:space="preserve"> a contract for the reservation of capacity “on a firm basis”</w:t>
      </w:r>
      <w:r w:rsidR="001D273D">
        <w:t xml:space="preserve"> is essentially the same</w:t>
      </w:r>
      <w:r w:rsidR="00FA3862">
        <w:t xml:space="preserve"> as “Booked Capacity” and the con</w:t>
      </w:r>
      <w:r w:rsidR="005A2BDD">
        <w:t>cep</w:t>
      </w:r>
      <w:r w:rsidR="00FA3862">
        <w:t>t which was later</w:t>
      </w:r>
      <w:r w:rsidR="00B35D5D">
        <w:t xml:space="preserve"> referred to in the TPAs as the </w:t>
      </w:r>
      <w:r w:rsidR="00AE63C5">
        <w:t>DRCR.</w:t>
      </w:r>
      <w:r w:rsidR="00480CFF">
        <w:t xml:space="preserve"> Second,</w:t>
      </w:r>
      <w:r w:rsidR="00CF24CA">
        <w:t xml:space="preserve"> the stipulation that the relevant</w:t>
      </w:r>
      <w:r w:rsidR="009D54F2">
        <w:t xml:space="preserve"> CATS Capacity</w:t>
      </w:r>
      <w:r w:rsidR="009444DF">
        <w:t xml:space="preserve"> was that prevailing “on the date of expiry of the notice”</w:t>
      </w:r>
      <w:r w:rsidR="00ED2961">
        <w:t xml:space="preserve"> indicates that the CATS Capacity was expected to fluctuate</w:t>
      </w:r>
      <w:r w:rsidR="00B14888">
        <w:t xml:space="preserve"> from time to time, even in the later period of </w:t>
      </w:r>
      <w:r w:rsidR="00101102">
        <w:t>operation of the pipeline.</w:t>
      </w:r>
      <w:r w:rsidR="004554A2">
        <w:t xml:space="preserve"> Third,</w:t>
      </w:r>
      <w:r w:rsidR="00EB5293">
        <w:t xml:space="preserve"> it is evident that</w:t>
      </w:r>
      <w:r w:rsidR="00DC2F5F">
        <w:t xml:space="preserve"> the parties had in mind up-to-date</w:t>
      </w:r>
      <w:r w:rsidR="002C1426">
        <w:t xml:space="preserve"> booked capacity as the basis on which ownership</w:t>
      </w:r>
      <w:r w:rsidR="001172F5">
        <w:t xml:space="preserve"> of the facilities should be allocated in the event of abandonment</w:t>
      </w:r>
      <w:r w:rsidR="0084424C">
        <w:t xml:space="preserve"> and not out of date historic figures.</w:t>
      </w:r>
    </w:p>
    <w:p w14:paraId="142AAF3E" w14:textId="14CA59ED" w:rsidR="005B6B9B" w:rsidRDefault="00A94A7B" w:rsidP="0020713C">
      <w:pPr>
        <w:pStyle w:val="ParaLevel1"/>
      </w:pPr>
      <w:r>
        <w:t>Accordingly I agree with the judge</w:t>
      </w:r>
      <w:r w:rsidR="00383C22">
        <w:t xml:space="preserve"> that relevant provisions of the </w:t>
      </w:r>
      <w:r w:rsidR="009C410B">
        <w:t>Agreement</w:t>
      </w:r>
      <w:r w:rsidR="0010635D">
        <w:t xml:space="preserve"> which either expressly use the concept of “CATS Capacity” or</w:t>
      </w:r>
      <w:r w:rsidR="00CA50BB">
        <w:t xml:space="preserve"> use</w:t>
      </w:r>
      <w:r w:rsidR="00845976">
        <w:t xml:space="preserve"> language materially identical</w:t>
      </w:r>
      <w:r w:rsidR="00B86120">
        <w:t xml:space="preserve"> to clause 4.6(a)(vii)</w:t>
      </w:r>
      <w:r w:rsidR="00BE5476">
        <w:t xml:space="preserve"> proceed on the basis</w:t>
      </w:r>
      <w:r w:rsidR="000959CD">
        <w:t xml:space="preserve"> that these concepts refer</w:t>
      </w:r>
      <w:r w:rsidR="00977AD0">
        <w:t xml:space="preserve"> to up-to-date</w:t>
      </w:r>
      <w:r w:rsidR="0056423A">
        <w:t xml:space="preserve"> capacity reservation</w:t>
      </w:r>
      <w:r w:rsidR="007E4BF1">
        <w:t xml:space="preserve">. </w:t>
      </w:r>
      <w:r w:rsidR="00A123C5">
        <w:t>While these</w:t>
      </w:r>
      <w:r w:rsidR="004543EE">
        <w:t xml:space="preserve"> can be seen as a limited number of instances in a very lengthy and detailed contract, they represent in my judgment</w:t>
      </w:r>
      <w:r w:rsidR="009F7AE7">
        <w:t xml:space="preserve"> a further strong indication in favour of the CATS Parties’ construction.</w:t>
      </w:r>
      <w:r w:rsidR="00CD6E42">
        <w:t xml:space="preserve"> In contrast we were shown no provisions of the </w:t>
      </w:r>
      <w:r w:rsidR="0041365C">
        <w:t xml:space="preserve">Agreement which support TGTL’s construction. </w:t>
      </w:r>
    </w:p>
    <w:p w14:paraId="6123D1DB" w14:textId="45E42B8C" w:rsidR="000B276E" w:rsidRDefault="000B276E" w:rsidP="0020713C">
      <w:pPr>
        <w:pStyle w:val="ParaLevel1"/>
      </w:pPr>
      <w:r>
        <w:lastRenderedPageBreak/>
        <w:t>I do not, however, derive much assistance from the phrase “applicable on each Day of the Contract Year in question” in the definitions of both C</w:t>
      </w:r>
      <w:r w:rsidR="00720C20">
        <w:t>R</w:t>
      </w:r>
      <w:r>
        <w:t>R and CC in the formula in clause 7.10</w:t>
      </w:r>
      <w:r w:rsidR="00894F85">
        <w:t xml:space="preserve">. </w:t>
      </w:r>
      <w:r w:rsidR="00AD790E">
        <w:t>I</w:t>
      </w:r>
      <w:r w:rsidR="00894F85">
        <w:t>n my judgment this is essentially neutral.</w:t>
      </w:r>
    </w:p>
    <w:p w14:paraId="67E452B2" w14:textId="4242A07A" w:rsidR="005871D0" w:rsidRPr="006537AA" w:rsidRDefault="005871D0" w:rsidP="0020713C">
      <w:pPr>
        <w:pStyle w:val="ParaLevel1"/>
        <w:numPr>
          <w:ilvl w:val="0"/>
          <w:numId w:val="0"/>
        </w:numPr>
        <w:rPr>
          <w:i/>
          <w:iCs/>
        </w:rPr>
      </w:pPr>
      <w:r w:rsidRPr="006537AA">
        <w:rPr>
          <w:i/>
          <w:iCs/>
        </w:rPr>
        <w:t>The overall structure of the A</w:t>
      </w:r>
      <w:r w:rsidR="00AD790E">
        <w:rPr>
          <w:i/>
          <w:iCs/>
        </w:rPr>
        <w:t>greement’s</w:t>
      </w:r>
      <w:r w:rsidRPr="006537AA">
        <w:rPr>
          <w:i/>
          <w:iCs/>
        </w:rPr>
        <w:t xml:space="preserve"> payment provisions</w:t>
      </w:r>
    </w:p>
    <w:p w14:paraId="1AC15563" w14:textId="36C9BEAE" w:rsidR="005871D0" w:rsidRDefault="00823A93" w:rsidP="0020713C">
      <w:pPr>
        <w:pStyle w:val="ParaLevel1"/>
      </w:pPr>
      <w:r>
        <w:t>I have already referred to the fact that</w:t>
      </w:r>
      <w:r w:rsidR="001B4400">
        <w:t xml:space="preserve"> the Capacity Fee</w:t>
      </w:r>
      <w:r w:rsidR="004E47B0">
        <w:t xml:space="preserve"> calculation would only be relevant</w:t>
      </w:r>
      <w:r w:rsidR="00007D63">
        <w:t xml:space="preserve"> from 1</w:t>
      </w:r>
      <w:r w:rsidR="0070129D" w:rsidRPr="0070129D">
        <w:rPr>
          <w:vertAlign w:val="superscript"/>
        </w:rPr>
        <w:t>st</w:t>
      </w:r>
      <w:r w:rsidR="0070129D">
        <w:t xml:space="preserve"> </w:t>
      </w:r>
      <w:r w:rsidR="00007D63">
        <w:t>October 2013</w:t>
      </w:r>
      <w:r w:rsidR="0070129D">
        <w:t xml:space="preserve"> during the last five years of the A</w:t>
      </w:r>
      <w:r w:rsidR="00662CD8">
        <w:t>greement</w:t>
      </w:r>
      <w:r w:rsidR="0070129D">
        <w:t>.</w:t>
      </w:r>
      <w:r w:rsidR="00755CEF">
        <w:t xml:space="preserve"> As Mr Lord pointed out,</w:t>
      </w:r>
      <w:r w:rsidR="00672410">
        <w:t xml:space="preserve"> this was</w:t>
      </w:r>
      <w:r w:rsidR="00220774">
        <w:t xml:space="preserve"> very much the tail end of the overall contract period.</w:t>
      </w:r>
      <w:r w:rsidR="00D709FE">
        <w:t xml:space="preserve"> During the first 20 years of</w:t>
      </w:r>
      <w:r w:rsidR="00C57DC9">
        <w:t xml:space="preserve"> operation,</w:t>
      </w:r>
      <w:r w:rsidR="00E36FBC">
        <w:t xml:space="preserve"> TGTL</w:t>
      </w:r>
      <w:r w:rsidR="00F42C08">
        <w:t xml:space="preserve"> was to pay a fixed “Transportation </w:t>
      </w:r>
      <w:r w:rsidR="00DD262F">
        <w:t>Fe</w:t>
      </w:r>
      <w:r w:rsidR="00F42C08">
        <w:t>e”</w:t>
      </w:r>
      <w:r w:rsidR="00DD262F">
        <w:t>, initially at a high level</w:t>
      </w:r>
      <w:r w:rsidR="000732BB">
        <w:t xml:space="preserve"> and, from 2008, at a reduced level.</w:t>
      </w:r>
      <w:r w:rsidR="00CC482B">
        <w:t xml:space="preserve"> Thus the payments to be made by</w:t>
      </w:r>
      <w:r w:rsidR="006B73B4">
        <w:t xml:space="preserve"> TGTL corresponded, broadly speaking, to</w:t>
      </w:r>
      <w:r w:rsidR="00E970FF">
        <w:t xml:space="preserve"> an initial period</w:t>
      </w:r>
      <w:r w:rsidR="005D6919">
        <w:t xml:space="preserve"> when production from the gas fields could be expected to be at its</w:t>
      </w:r>
      <w:r w:rsidR="00097DBE">
        <w:t xml:space="preserve"> highest level, an intermediate period</w:t>
      </w:r>
      <w:r w:rsidR="00F35183">
        <w:t xml:space="preserve"> when production would begin to reduce,</w:t>
      </w:r>
      <w:r w:rsidR="00A855EF">
        <w:t xml:space="preserve"> and a final period</w:t>
      </w:r>
      <w:r w:rsidR="00622D57">
        <w:t xml:space="preserve"> as the fields were depleted when payment </w:t>
      </w:r>
      <w:r w:rsidR="007C033A">
        <w:t xml:space="preserve">(i.e. the Capacity Fee) </w:t>
      </w:r>
      <w:r w:rsidR="00622D57">
        <w:t>was to be</w:t>
      </w:r>
      <w:r w:rsidR="00542F8A">
        <w:t xml:space="preserve"> on a cost sharing basis.</w:t>
      </w:r>
    </w:p>
    <w:p w14:paraId="163704CA" w14:textId="595A7D1D" w:rsidR="00B51DF6" w:rsidRDefault="00B51DF6" w:rsidP="0020713C">
      <w:pPr>
        <w:pStyle w:val="ParaLevel1"/>
      </w:pPr>
      <w:r>
        <w:t xml:space="preserve">Mr Thanki criticised the judge for </w:t>
      </w:r>
      <w:r w:rsidR="00E56154">
        <w:t>saying that the C</w:t>
      </w:r>
      <w:r w:rsidR="00A34150">
        <w:t>apacity Fee</w:t>
      </w:r>
      <w:r w:rsidR="00D916FD">
        <w:t xml:space="preserve"> represented costs sharing on the basis of </w:t>
      </w:r>
      <w:r w:rsidR="00EB187D">
        <w:t xml:space="preserve">current </w:t>
      </w:r>
      <w:r w:rsidR="00D916FD">
        <w:t>usage of the pipeline</w:t>
      </w:r>
      <w:r w:rsidR="00EB187D">
        <w:t>.</w:t>
      </w:r>
      <w:r w:rsidR="00366C24">
        <w:t xml:space="preserve"> Strictly speaking</w:t>
      </w:r>
      <w:r w:rsidR="00BD3A2B">
        <w:t xml:space="preserve"> </w:t>
      </w:r>
      <w:r w:rsidR="00EE4AB5">
        <w:t>this</w:t>
      </w:r>
      <w:r w:rsidR="0039244D">
        <w:t xml:space="preserve"> would be wrong </w:t>
      </w:r>
      <w:r w:rsidR="00C344D1">
        <w:t>as the costs sharing was on the basis of</w:t>
      </w:r>
      <w:r w:rsidR="00261FAD">
        <w:t xml:space="preserve"> reserved capacity. </w:t>
      </w:r>
      <w:r w:rsidR="00FE2174">
        <w:t xml:space="preserve">However, </w:t>
      </w:r>
      <w:r w:rsidR="00162587">
        <w:t>I do not accept that this was an error which the judge made</w:t>
      </w:r>
      <w:r w:rsidR="00DF189F">
        <w:t xml:space="preserve">. </w:t>
      </w:r>
      <w:r w:rsidR="00261FAD">
        <w:t xml:space="preserve">In </w:t>
      </w:r>
      <w:r w:rsidR="00C901D0">
        <w:t xml:space="preserve">any event, </w:t>
      </w:r>
      <w:r w:rsidR="00261FAD">
        <w:t>it was to be expected</w:t>
      </w:r>
      <w:r w:rsidR="0003640D">
        <w:t xml:space="preserve"> that</w:t>
      </w:r>
      <w:r w:rsidR="0004538B">
        <w:t>, broadly speaking,</w:t>
      </w:r>
      <w:r w:rsidR="0003640D">
        <w:t xml:space="preserve"> usage and</w:t>
      </w:r>
      <w:r w:rsidR="00FE6BD6">
        <w:t xml:space="preserve"> current reserved capacity would </w:t>
      </w:r>
      <w:r w:rsidR="007B3BE2">
        <w:t xml:space="preserve">in practice substantially </w:t>
      </w:r>
      <w:r w:rsidR="00FE6BD6">
        <w:t>correspond</w:t>
      </w:r>
      <w:r w:rsidR="0004538B">
        <w:t>.</w:t>
      </w:r>
    </w:p>
    <w:p w14:paraId="726AF840" w14:textId="5114949C" w:rsidR="000E101A" w:rsidRDefault="009125EB" w:rsidP="0020713C">
      <w:pPr>
        <w:pStyle w:val="ParaLevel1"/>
      </w:pPr>
      <w:r>
        <w:t>The A</w:t>
      </w:r>
      <w:r w:rsidR="007B3BE2">
        <w:t>greement</w:t>
      </w:r>
      <w:r w:rsidR="003C2E0F">
        <w:t xml:space="preserve"> included a protection for TGTL</w:t>
      </w:r>
      <w:r w:rsidR="00782BD7">
        <w:t xml:space="preserve"> in the event that it considered</w:t>
      </w:r>
      <w:r w:rsidR="008521C6">
        <w:t xml:space="preserve"> that the costs sharing regime </w:t>
      </w:r>
      <w:r w:rsidR="007277DE">
        <w:t xml:space="preserve">would </w:t>
      </w:r>
      <w:r w:rsidR="008521C6">
        <w:t>operate unfairly to it</w:t>
      </w:r>
      <w:r w:rsidR="00CC34BE">
        <w:t>. This was i</w:t>
      </w:r>
      <w:r w:rsidR="007277DE">
        <w:t>t</w:t>
      </w:r>
      <w:r w:rsidR="00CC34BE">
        <w:t>s right</w:t>
      </w:r>
      <w:r w:rsidR="002B30FE">
        <w:t>,</w:t>
      </w:r>
      <w:r w:rsidR="00BA2D74">
        <w:t xml:space="preserve"> contained in clause 21.1, to terminate the A</w:t>
      </w:r>
      <w:r w:rsidR="00F2352D">
        <w:t>greement</w:t>
      </w:r>
      <w:r w:rsidR="00BA2D74">
        <w:t>.</w:t>
      </w:r>
      <w:r w:rsidR="000E6244">
        <w:t xml:space="preserve"> It should be noted, however,</w:t>
      </w:r>
      <w:r w:rsidR="00AE73B3">
        <w:t xml:space="preserve"> that if TGTL’s construction were correct,</w:t>
      </w:r>
      <w:r w:rsidR="0098090B">
        <w:t xml:space="preserve"> the Capacity Fee</w:t>
      </w:r>
      <w:r w:rsidR="00F05D09">
        <w:t xml:space="preserve"> would not </w:t>
      </w:r>
      <w:r w:rsidR="00F05D09">
        <w:lastRenderedPageBreak/>
        <w:t>operate unfairly to TGTL</w:t>
      </w:r>
      <w:r w:rsidR="00DE61BE">
        <w:t xml:space="preserve"> </w:t>
      </w:r>
      <w:r w:rsidR="00F05D09">
        <w:t>but,</w:t>
      </w:r>
      <w:r w:rsidR="00C5495A">
        <w:t xml:space="preserve"> on the contrary,</w:t>
      </w:r>
      <w:r w:rsidR="009B6100">
        <w:t xml:space="preserve"> would cast by far the greater burden of the costs of</w:t>
      </w:r>
      <w:r w:rsidR="00DE61BE">
        <w:t xml:space="preserve"> operating the pipeline on to </w:t>
      </w:r>
      <w:r w:rsidR="00BB5817">
        <w:t>CATS Parties</w:t>
      </w:r>
      <w:r w:rsidR="00F946AB">
        <w:t xml:space="preserve"> by reference to outdated historic</w:t>
      </w:r>
      <w:r w:rsidR="00436214">
        <w:t xml:space="preserve"> maximum rates of delivery of gas into the pipeline.</w:t>
      </w:r>
      <w:r w:rsidR="00FD0CEF">
        <w:t xml:space="preserve"> This is a further indication calling TGTL’s construction into question</w:t>
      </w:r>
      <w:r w:rsidR="00A95319">
        <w:t>.</w:t>
      </w:r>
    </w:p>
    <w:p w14:paraId="2AAF0E30" w14:textId="72673DE4" w:rsidR="005871D0" w:rsidRPr="005B617F" w:rsidRDefault="00F22BF8" w:rsidP="0020713C">
      <w:pPr>
        <w:pStyle w:val="ParaLevel1"/>
        <w:numPr>
          <w:ilvl w:val="0"/>
          <w:numId w:val="0"/>
        </w:numPr>
        <w:rPr>
          <w:i/>
          <w:iCs/>
        </w:rPr>
      </w:pPr>
      <w:r w:rsidRPr="005B617F">
        <w:rPr>
          <w:i/>
          <w:iCs/>
        </w:rPr>
        <w:t>B</w:t>
      </w:r>
      <w:r w:rsidR="005871D0" w:rsidRPr="005B617F">
        <w:rPr>
          <w:i/>
          <w:iCs/>
        </w:rPr>
        <w:t>ackground circumstances known to the parties at the time the A</w:t>
      </w:r>
      <w:r w:rsidR="00A95319">
        <w:rPr>
          <w:i/>
          <w:iCs/>
        </w:rPr>
        <w:t>greement</w:t>
      </w:r>
      <w:r w:rsidR="005871D0" w:rsidRPr="005B617F">
        <w:rPr>
          <w:i/>
          <w:iCs/>
        </w:rPr>
        <w:t xml:space="preserve"> was concluded </w:t>
      </w:r>
    </w:p>
    <w:p w14:paraId="13B0B680" w14:textId="1226A15C" w:rsidR="0045608B" w:rsidRDefault="003B5668" w:rsidP="0020713C">
      <w:pPr>
        <w:pStyle w:val="ParaLevel1"/>
      </w:pPr>
      <w:r>
        <w:t>A</w:t>
      </w:r>
      <w:r w:rsidR="000C15EA">
        <w:t>s I have indicated,</w:t>
      </w:r>
      <w:r w:rsidR="00A95E76">
        <w:t xml:space="preserve"> the parties would have recognised that gas fields deplete over time</w:t>
      </w:r>
      <w:r w:rsidR="002129B0">
        <w:t>, so that the period of maximum production</w:t>
      </w:r>
      <w:r w:rsidR="0087212F">
        <w:t xml:space="preserve"> and therefore of usage of the pipeline would have been in the early years</w:t>
      </w:r>
      <w:r w:rsidR="00AB4984">
        <w:t xml:space="preserve"> of operation, while usage during the</w:t>
      </w:r>
      <w:r w:rsidR="00E91511">
        <w:t xml:space="preserve"> later period when the Capacity Fee was payable would be substantially reduced.</w:t>
      </w:r>
      <w:r w:rsidR="00CA4E9F">
        <w:t xml:space="preserve"> </w:t>
      </w:r>
      <w:r w:rsidR="00934994">
        <w:t xml:space="preserve">It was to be expected, therefore, that </w:t>
      </w:r>
      <w:r w:rsidR="00B86104">
        <w:t>the highest rate</w:t>
      </w:r>
      <w:r w:rsidR="006F12FB">
        <w:t>s</w:t>
      </w:r>
      <w:r w:rsidR="00B86104">
        <w:t xml:space="preserve"> of capacity reservation (or, in the language of the TPAs, </w:t>
      </w:r>
      <w:r w:rsidR="00C55BA2">
        <w:t>the maximum DRCRs)</w:t>
      </w:r>
      <w:r w:rsidR="006F12FB">
        <w:t xml:space="preserve"> would be in the early years, </w:t>
      </w:r>
      <w:r w:rsidR="006F5C31">
        <w:t>and would reduce thereafter.</w:t>
      </w:r>
      <w:r w:rsidR="006F12FB">
        <w:t xml:space="preserve"> </w:t>
      </w:r>
      <w:r w:rsidR="00CA4E9F">
        <w:t>Thus a construction of the Capacity Fee payment</w:t>
      </w:r>
      <w:r w:rsidR="00655165">
        <w:t xml:space="preserve"> obligation</w:t>
      </w:r>
      <w:r w:rsidR="0041523D">
        <w:t xml:space="preserve"> based upon</w:t>
      </w:r>
      <w:r w:rsidR="00F8378C">
        <w:t xml:space="preserve"> maximum figures</w:t>
      </w:r>
      <w:r w:rsidR="00CC632D">
        <w:t xml:space="preserve"> representing capacity</w:t>
      </w:r>
      <w:r w:rsidR="004C13F1">
        <w:t xml:space="preserve"> booked by third party shippers during the early years of the contract</w:t>
      </w:r>
      <w:r w:rsidR="00060C0B">
        <w:t xml:space="preserve"> would on the face of things</w:t>
      </w:r>
      <w:r w:rsidR="009802A4">
        <w:t xml:space="preserve"> </w:t>
      </w:r>
      <w:r w:rsidR="00703DF4">
        <w:t xml:space="preserve">produce a </w:t>
      </w:r>
      <w:r w:rsidR="009802A4">
        <w:t>distorted</w:t>
      </w:r>
      <w:r w:rsidR="002875DE">
        <w:t xml:space="preserve"> figure </w:t>
      </w:r>
      <w:r w:rsidR="00A114C2">
        <w:t xml:space="preserve">by reference to which </w:t>
      </w:r>
      <w:r w:rsidR="005A0780">
        <w:t xml:space="preserve">to share the </w:t>
      </w:r>
      <w:r w:rsidR="00A114C2">
        <w:t xml:space="preserve">cost </w:t>
      </w:r>
      <w:r w:rsidR="005A0780">
        <w:t>of the pipeline</w:t>
      </w:r>
      <w:r w:rsidR="009802A4">
        <w:t>.</w:t>
      </w:r>
    </w:p>
    <w:p w14:paraId="27E8CF35" w14:textId="6ED08208" w:rsidR="009802A4" w:rsidRDefault="00832FA3" w:rsidP="0020713C">
      <w:pPr>
        <w:pStyle w:val="ParaLevel1"/>
      </w:pPr>
      <w:r>
        <w:t>I would accept Mr Thanki’s</w:t>
      </w:r>
      <w:r w:rsidR="00BD669D">
        <w:t xml:space="preserve"> submission that it would be wrong to construe the A</w:t>
      </w:r>
      <w:r w:rsidR="00C77872">
        <w:t>greement</w:t>
      </w:r>
      <w:r w:rsidR="00BD669D">
        <w:t xml:space="preserve"> concluded in 1990 by reference to </w:t>
      </w:r>
      <w:r w:rsidR="00620D5C">
        <w:t>later contracts, the TPAs, to which TGTL</w:t>
      </w:r>
      <w:r w:rsidR="00E462F6">
        <w:t xml:space="preserve"> was not a party</w:t>
      </w:r>
      <w:r w:rsidR="0007587A">
        <w:t>.</w:t>
      </w:r>
      <w:r w:rsidR="006376A8">
        <w:t xml:space="preserve"> However, I am not persuaded that </w:t>
      </w:r>
      <w:r w:rsidR="00313C37">
        <w:t xml:space="preserve">this is what </w:t>
      </w:r>
      <w:r w:rsidR="006376A8">
        <w:t>the judge</w:t>
      </w:r>
      <w:r w:rsidR="00AE66C3">
        <w:t xml:space="preserve"> did. I accept Mr Lord’s submission</w:t>
      </w:r>
      <w:r w:rsidR="00627189">
        <w:t xml:space="preserve"> that the concepts used in those later contracts</w:t>
      </w:r>
      <w:r w:rsidR="0009130A">
        <w:t xml:space="preserve"> (such as</w:t>
      </w:r>
      <w:r w:rsidR="00E831CC">
        <w:t xml:space="preserve"> DRCRs) were within the </w:t>
      </w:r>
      <w:r w:rsidR="00E825FC">
        <w:t>conte</w:t>
      </w:r>
      <w:r w:rsidR="00702CB0">
        <w:t>mp</w:t>
      </w:r>
      <w:r w:rsidR="00E831CC">
        <w:t>lation of the parties in 1990</w:t>
      </w:r>
      <w:r w:rsidR="00D82F8E">
        <w:t xml:space="preserve"> even if the name</w:t>
      </w:r>
      <w:r w:rsidR="00834378">
        <w:t>s</w:t>
      </w:r>
      <w:r w:rsidR="00697B20">
        <w:t xml:space="preserve"> given to them </w:t>
      </w:r>
      <w:r w:rsidR="00CE58F0">
        <w:t xml:space="preserve">and the detailed terms of the TPAs </w:t>
      </w:r>
      <w:r w:rsidR="00697B20">
        <w:t>were not.</w:t>
      </w:r>
      <w:r w:rsidR="002E56AD">
        <w:t xml:space="preserve"> </w:t>
      </w:r>
      <w:r w:rsidR="002E56AD">
        <w:lastRenderedPageBreak/>
        <w:t>While the contractual provisions and definitions are complex,</w:t>
      </w:r>
      <w:r w:rsidR="00630FF0">
        <w:t xml:space="preserve"> ultimately the concept of</w:t>
      </w:r>
      <w:r w:rsidR="001E5685">
        <w:t xml:space="preserve"> firm booked capacity is</w:t>
      </w:r>
      <w:r w:rsidR="005031B9">
        <w:t xml:space="preserve"> relatively straightforward.</w:t>
      </w:r>
    </w:p>
    <w:p w14:paraId="4E5D997C" w14:textId="1F3BDDD0" w:rsidR="005871D0" w:rsidRPr="0045608B" w:rsidRDefault="0045608B" w:rsidP="0020713C">
      <w:pPr>
        <w:pStyle w:val="ParaLevel1"/>
        <w:numPr>
          <w:ilvl w:val="0"/>
          <w:numId w:val="0"/>
        </w:numPr>
        <w:rPr>
          <w:i/>
          <w:iCs/>
        </w:rPr>
      </w:pPr>
      <w:r w:rsidRPr="0045608B">
        <w:rPr>
          <w:i/>
          <w:iCs/>
        </w:rPr>
        <w:t>C</w:t>
      </w:r>
      <w:r w:rsidR="005871D0" w:rsidRPr="0045608B">
        <w:rPr>
          <w:i/>
          <w:iCs/>
        </w:rPr>
        <w:t>ommercial common sense</w:t>
      </w:r>
    </w:p>
    <w:p w14:paraId="518DF785" w14:textId="57A1BF85" w:rsidR="005871D0" w:rsidRDefault="008E1A07" w:rsidP="0020713C">
      <w:pPr>
        <w:pStyle w:val="ParaLevel1"/>
      </w:pPr>
      <w:r>
        <w:t>For</w:t>
      </w:r>
      <w:r w:rsidR="00F645ED">
        <w:t xml:space="preserve"> reasons which will already be apparent, I consider that the CATS Parties’ </w:t>
      </w:r>
      <w:r w:rsidR="00E86702">
        <w:t>construction</w:t>
      </w:r>
      <w:r w:rsidR="00A572FE">
        <w:t xml:space="preserve"> makes far better commercial sense.</w:t>
      </w:r>
      <w:r w:rsidR="009F63ED">
        <w:t xml:space="preserve"> It accords, as the judge said,</w:t>
      </w:r>
      <w:r w:rsidR="00787D2A">
        <w:t xml:space="preserve"> with what the parties would sensibly be expected to have agreed</w:t>
      </w:r>
      <w:r w:rsidR="00BB1086">
        <w:t>, although</w:t>
      </w:r>
      <w:r w:rsidR="002C5EF0">
        <w:t xml:space="preserve"> (as the judge also made plain)</w:t>
      </w:r>
      <w:r w:rsidR="00BB1086">
        <w:t xml:space="preserve"> that expectation is no substitute for analysis of the contract</w:t>
      </w:r>
      <w:r w:rsidR="00EB63B7">
        <w:t xml:space="preserve"> terms.</w:t>
      </w:r>
      <w:r w:rsidR="00AE15AA">
        <w:t xml:space="preserve"> Moreover,</w:t>
      </w:r>
      <w:r w:rsidR="00FE17B6">
        <w:t xml:space="preserve"> a construction of “CATS Capacity”</w:t>
      </w:r>
      <w:r w:rsidR="00E23531">
        <w:t xml:space="preserve"> which result</w:t>
      </w:r>
      <w:r w:rsidR="00C06117">
        <w:t>s</w:t>
      </w:r>
      <w:r w:rsidR="004C53F7">
        <w:t xml:space="preserve"> (as TGTL’s construction does)</w:t>
      </w:r>
      <w:r w:rsidR="00E23531">
        <w:t xml:space="preserve"> in a figure substantially in excess of the actual capacity of the pipeline</w:t>
      </w:r>
      <w:r w:rsidR="00153EB2">
        <w:t xml:space="preserve"> and f</w:t>
      </w:r>
      <w:r w:rsidR="003C6934">
        <w:t xml:space="preserve">ar </w:t>
      </w:r>
      <w:r w:rsidR="00153EB2">
        <w:t>in excess</w:t>
      </w:r>
      <w:r w:rsidR="00D96FFE">
        <w:t xml:space="preserve"> of the usage of the pipeline which would have been expected</w:t>
      </w:r>
      <w:r w:rsidR="0052592A">
        <w:t xml:space="preserve"> during the final years of the CRTA</w:t>
      </w:r>
      <w:r w:rsidR="0094178D">
        <w:t xml:space="preserve"> when the Capacity Fee was payable</w:t>
      </w:r>
      <w:r w:rsidR="00930CE8">
        <w:t xml:space="preserve"> makes very little sense.</w:t>
      </w:r>
    </w:p>
    <w:p w14:paraId="4B0646EB" w14:textId="64DCCD7B" w:rsidR="003A2BB7" w:rsidRPr="003A2BB7" w:rsidRDefault="003A2BB7" w:rsidP="0020713C">
      <w:pPr>
        <w:pStyle w:val="ParaLevel1"/>
        <w:numPr>
          <w:ilvl w:val="0"/>
          <w:numId w:val="0"/>
        </w:numPr>
        <w:rPr>
          <w:b/>
          <w:bCs/>
        </w:rPr>
      </w:pPr>
      <w:r w:rsidRPr="003A2BB7">
        <w:rPr>
          <w:b/>
          <w:bCs/>
        </w:rPr>
        <w:t>Conclusion</w:t>
      </w:r>
      <w:r w:rsidR="00192BBD">
        <w:rPr>
          <w:b/>
          <w:bCs/>
        </w:rPr>
        <w:t xml:space="preserve"> on construction</w:t>
      </w:r>
    </w:p>
    <w:p w14:paraId="09D62BD6" w14:textId="10123D3C" w:rsidR="00C42919" w:rsidRDefault="006431DD" w:rsidP="0020713C">
      <w:pPr>
        <w:pStyle w:val="ParaLevel1"/>
      </w:pPr>
      <w:r>
        <w:t xml:space="preserve">While there is considerable force in TGTL’s proposed construction </w:t>
      </w:r>
      <w:r w:rsidR="002E26E0">
        <w:t>if the focus is confined to the terms of clause 4.6(a)(vii)</w:t>
      </w:r>
      <w:r w:rsidR="00336D6F">
        <w:t xml:space="preserve"> itself</w:t>
      </w:r>
      <w:r w:rsidR="0000422E">
        <w:t xml:space="preserve">, the position </w:t>
      </w:r>
      <w:r w:rsidR="006D438F">
        <w:t>is more</w:t>
      </w:r>
      <w:r w:rsidR="00A94D70">
        <w:t xml:space="preserve"> nuanced if clause 4.6 is considered as a whole.</w:t>
      </w:r>
      <w:r w:rsidR="00344CD6">
        <w:t xml:space="preserve"> However, when the Agreement is construed as a whole</w:t>
      </w:r>
      <w:r w:rsidR="003419A0">
        <w:t xml:space="preserve"> and is seen in its commercial setting, </w:t>
      </w:r>
      <w:r w:rsidR="00AC3D45">
        <w:t xml:space="preserve">the true construction of </w:t>
      </w:r>
      <w:r w:rsidR="00D716C5">
        <w:t>the clauses relevant to this dispute is reasonably clear.</w:t>
      </w:r>
      <w:r w:rsidR="006D438F">
        <w:t xml:space="preserve"> </w:t>
      </w:r>
      <w:r w:rsidR="00367969">
        <w:t>In my judgment, for the reasons which I have given, the CATS Parties’ construction of the Capacity Fee provision</w:t>
      </w:r>
      <w:r w:rsidR="00174D3E">
        <w:t xml:space="preserve"> makes better sense</w:t>
      </w:r>
      <w:r w:rsidR="008D27F3">
        <w:t xml:space="preserve"> of the </w:t>
      </w:r>
      <w:r w:rsidR="005C21EC">
        <w:t>contract, including</w:t>
      </w:r>
      <w:r w:rsidR="005F4266">
        <w:t xml:space="preserve"> the</w:t>
      </w:r>
      <w:r w:rsidR="005C21EC">
        <w:t xml:space="preserve"> </w:t>
      </w:r>
      <w:r w:rsidR="008D27F3">
        <w:t>terms of clause 4.</w:t>
      </w:r>
      <w:r w:rsidR="0057392F">
        <w:t xml:space="preserve">6, </w:t>
      </w:r>
      <w:r w:rsidR="007059EA">
        <w:t xml:space="preserve">and is to be preferred. </w:t>
      </w:r>
      <w:r w:rsidR="00B36FAF">
        <w:t>Although the language</w:t>
      </w:r>
      <w:r w:rsidR="008F5C5B">
        <w:t xml:space="preserve"> is not entirely free from difficulty on either party’s construction of the contract, I </w:t>
      </w:r>
      <w:r w:rsidR="00D11D7B">
        <w:t xml:space="preserve">consider that the </w:t>
      </w:r>
      <w:r w:rsidR="00F42595">
        <w:t xml:space="preserve">judge was right to accept </w:t>
      </w:r>
      <w:r w:rsidR="00EF162E">
        <w:t xml:space="preserve">the construction proposed by the </w:t>
      </w:r>
      <w:r w:rsidR="00AF53C6">
        <w:t>CATS</w:t>
      </w:r>
      <w:r w:rsidR="00C42919">
        <w:t xml:space="preserve"> Parties</w:t>
      </w:r>
      <w:r w:rsidR="00D11D7B">
        <w:t xml:space="preserve">. </w:t>
      </w:r>
      <w:r w:rsidR="00290F46">
        <w:t xml:space="preserve">It is of some </w:t>
      </w:r>
      <w:r w:rsidR="00290F46">
        <w:lastRenderedPageBreak/>
        <w:t xml:space="preserve">interest, if only to confirm that this is not a manifestly uncommercial </w:t>
      </w:r>
      <w:r w:rsidR="006C5E78">
        <w:t xml:space="preserve">construction, that </w:t>
      </w:r>
      <w:r w:rsidR="0022300A">
        <w:t xml:space="preserve">it was only belatedly challenged by </w:t>
      </w:r>
      <w:r w:rsidR="00E54CE9">
        <w:t>TGTL</w:t>
      </w:r>
      <w:r w:rsidR="0095690B">
        <w:t>.</w:t>
      </w:r>
    </w:p>
    <w:p w14:paraId="652BA476" w14:textId="77467D0B" w:rsidR="00516F5A" w:rsidRDefault="00516F5A" w:rsidP="0020713C">
      <w:pPr>
        <w:pStyle w:val="ParaLevel1"/>
        <w:numPr>
          <w:ilvl w:val="0"/>
          <w:numId w:val="0"/>
        </w:numPr>
      </w:pPr>
      <w:r w:rsidRPr="00516F5A">
        <w:rPr>
          <w:b/>
          <w:bCs/>
        </w:rPr>
        <w:t>Changes notified under clause 4.6(b</w:t>
      </w:r>
      <w:r>
        <w:t>)</w:t>
      </w:r>
    </w:p>
    <w:p w14:paraId="2B94B8D4" w14:textId="19D13F4F" w:rsidR="00516F5A" w:rsidRDefault="00C3580C" w:rsidP="0020713C">
      <w:pPr>
        <w:pStyle w:val="ParaLevel1"/>
      </w:pPr>
      <w:r>
        <w:t xml:space="preserve">The maximum rates initially notified </w:t>
      </w:r>
      <w:r w:rsidR="006E79B1">
        <w:t>to TGTL were</w:t>
      </w:r>
      <w:r w:rsidR="00C76B8C">
        <w:t xml:space="preserve"> in practice </w:t>
      </w:r>
      <w:r w:rsidR="00156052">
        <w:t xml:space="preserve">the highest rates which would apply throughout the period of each TPA. </w:t>
      </w:r>
      <w:r w:rsidR="001D5B6B">
        <w:t>The question the</w:t>
      </w:r>
      <w:r w:rsidR="003479BD">
        <w:t xml:space="preserve">refore arises whether </w:t>
      </w:r>
      <w:r w:rsidR="003A1213">
        <w:t xml:space="preserve">changes </w:t>
      </w:r>
      <w:r w:rsidR="005C5343">
        <w:t xml:space="preserve">to these rates were </w:t>
      </w:r>
      <w:r w:rsidR="003A1213">
        <w:t>notified pursuant to clause 4.6(b)(i).</w:t>
      </w:r>
      <w:r w:rsidR="00D747B9">
        <w:t xml:space="preserve"> </w:t>
      </w:r>
      <w:r w:rsidR="008A00CE">
        <w:t>A</w:t>
      </w:r>
      <w:r w:rsidR="00D747B9">
        <w:t>ltho</w:t>
      </w:r>
      <w:r w:rsidR="008A00CE">
        <w:t>ugh TGTL</w:t>
      </w:r>
      <w:r w:rsidR="00876798">
        <w:t xml:space="preserve"> developed </w:t>
      </w:r>
      <w:r w:rsidR="00776532">
        <w:t xml:space="preserve">a </w:t>
      </w:r>
      <w:r w:rsidR="00DD26DF">
        <w:t>sub</w:t>
      </w:r>
      <w:r w:rsidR="00C57C7B">
        <w:t>mission</w:t>
      </w:r>
      <w:r w:rsidR="00DD26DF">
        <w:t xml:space="preserve"> in its skeleton argument</w:t>
      </w:r>
      <w:r w:rsidR="003E2241">
        <w:t xml:space="preserve"> that such changes could only be notified pursuant to a request from</w:t>
      </w:r>
      <w:r w:rsidR="007A20AB">
        <w:t xml:space="preserve"> TGTL which had not occurred,</w:t>
      </w:r>
      <w:r w:rsidR="00E9259F">
        <w:t xml:space="preserve"> Mr Thanki</w:t>
      </w:r>
      <w:r w:rsidR="0070601F">
        <w:t xml:space="preserve"> abandoned that submission</w:t>
      </w:r>
      <w:r w:rsidR="00FF1D88">
        <w:t xml:space="preserve"> (which in any event was not</w:t>
      </w:r>
      <w:r w:rsidR="0002723B">
        <w:t xml:space="preserve"> within the scope of TGTL’s permission to appeal)</w:t>
      </w:r>
      <w:r w:rsidR="002B4B24">
        <w:t xml:space="preserve"> in or</w:t>
      </w:r>
      <w:r w:rsidR="004C31D1">
        <w:t>a</w:t>
      </w:r>
      <w:r w:rsidR="002B4B24">
        <w:t>l argument</w:t>
      </w:r>
      <w:r w:rsidR="00FF1D88">
        <w:t>.</w:t>
      </w:r>
      <w:r w:rsidR="004C31D1">
        <w:t xml:space="preserve"> </w:t>
      </w:r>
      <w:r w:rsidR="00E0144E">
        <w:t xml:space="preserve">I can </w:t>
      </w:r>
      <w:r w:rsidR="007924DD">
        <w:t>there</w:t>
      </w:r>
      <w:r w:rsidR="00FF3E51">
        <w:t>fore</w:t>
      </w:r>
      <w:r w:rsidR="007924DD">
        <w:t xml:space="preserve"> </w:t>
      </w:r>
      <w:r w:rsidR="00E0144E">
        <w:t xml:space="preserve">deal </w:t>
      </w:r>
      <w:r w:rsidR="00B02827">
        <w:t xml:space="preserve">very </w:t>
      </w:r>
      <w:r w:rsidR="00E0144E">
        <w:t>briefly with</w:t>
      </w:r>
      <w:r w:rsidR="00B02827">
        <w:t xml:space="preserve"> this point.</w:t>
      </w:r>
    </w:p>
    <w:p w14:paraId="62BA5E34" w14:textId="543E6CE9" w:rsidR="00B02827" w:rsidRDefault="00B02827" w:rsidP="0020713C">
      <w:pPr>
        <w:pStyle w:val="ParaLevel1"/>
      </w:pPr>
      <w:r>
        <w:t xml:space="preserve">In my judgment the short answer </w:t>
      </w:r>
      <w:r w:rsidR="00A561F7">
        <w:t>is that</w:t>
      </w:r>
      <w:r w:rsidR="008302F1">
        <w:t xml:space="preserve"> the judge found as a fact</w:t>
      </w:r>
      <w:r w:rsidR="0049234B">
        <w:t xml:space="preserve"> that the CATS Parties </w:t>
      </w:r>
      <w:r w:rsidR="00BB67CE">
        <w:t>notified TGTL of updates to the clause</w:t>
      </w:r>
      <w:r w:rsidR="008E0217">
        <w:t xml:space="preserve"> </w:t>
      </w:r>
      <w:r w:rsidR="00BB67CE">
        <w:t>4.6(a)(vii)</w:t>
      </w:r>
      <w:r w:rsidR="003A25DD">
        <w:t xml:space="preserve"> information</w:t>
      </w:r>
      <w:r w:rsidR="00BB104C">
        <w:t xml:space="preserve"> through</w:t>
      </w:r>
      <w:r w:rsidR="00417949">
        <w:t xml:space="preserve"> seven schedules, described as “TAA </w:t>
      </w:r>
      <w:r w:rsidR="00F03367">
        <w:t>U</w:t>
      </w:r>
      <w:r w:rsidR="00417949">
        <w:t xml:space="preserve">pdate </w:t>
      </w:r>
      <w:r w:rsidR="00F03367">
        <w:t>S</w:t>
      </w:r>
      <w:r w:rsidR="00417949">
        <w:t>chedules</w:t>
      </w:r>
      <w:r w:rsidR="008E0217">
        <w:t>”</w:t>
      </w:r>
      <w:r w:rsidR="00417949">
        <w:t xml:space="preserve">, </w:t>
      </w:r>
      <w:r w:rsidR="00E7616C">
        <w:t>served on dates between 19</w:t>
      </w:r>
      <w:r w:rsidR="00354DFD" w:rsidRPr="00354DFD">
        <w:rPr>
          <w:vertAlign w:val="superscript"/>
        </w:rPr>
        <w:t>th</w:t>
      </w:r>
      <w:r w:rsidR="00354DFD">
        <w:t xml:space="preserve"> </w:t>
      </w:r>
      <w:r w:rsidR="00E7616C">
        <w:t xml:space="preserve">March 2009 and </w:t>
      </w:r>
      <w:r w:rsidR="00EE706B">
        <w:t>22</w:t>
      </w:r>
      <w:r w:rsidR="00354DFD" w:rsidRPr="00354DFD">
        <w:rPr>
          <w:vertAlign w:val="superscript"/>
        </w:rPr>
        <w:t>nd</w:t>
      </w:r>
      <w:r w:rsidR="00354DFD">
        <w:t xml:space="preserve"> </w:t>
      </w:r>
      <w:r w:rsidR="00EE706B">
        <w:t>December 2017.</w:t>
      </w:r>
      <w:r w:rsidR="00D16CED">
        <w:t xml:space="preserve"> He found</w:t>
      </w:r>
      <w:r w:rsidR="004E07F9">
        <w:t xml:space="preserve"> at [175] and [176] that:</w:t>
      </w:r>
    </w:p>
    <w:p w14:paraId="50EE78D3" w14:textId="66A2FE5C" w:rsidR="00B94962" w:rsidRDefault="00A52D71" w:rsidP="0020713C">
      <w:pPr>
        <w:pStyle w:val="Quote"/>
      </w:pPr>
      <w:r>
        <w:t>“Having</w:t>
      </w:r>
      <w:r w:rsidR="00CD693B">
        <w:t xml:space="preserve"> regard to each of the seven schedules, I consider that they do constitute update notices in accordance with clause 4.6(b) and that a reasonable observer would interpret them in that way. … </w:t>
      </w:r>
      <w:r w:rsidR="004F6591">
        <w:t>In my</w:t>
      </w:r>
      <w:r w:rsidR="009B6448">
        <w:t xml:space="preserve"> judgment,</w:t>
      </w:r>
      <w:r w:rsidR="00A83893">
        <w:t xml:space="preserve"> the schedules clearly provide updates of the information which is properly</w:t>
      </w:r>
      <w:r w:rsidR="00860C82">
        <w:t xml:space="preserve"> (</w:t>
      </w:r>
      <w:r w:rsidR="00A83893">
        <w:t>on the view I have set out above) to be provided pursuant to clause 4.6</w:t>
      </w:r>
      <w:r w:rsidR="00934E00">
        <w:t>(a)(vii)</w:t>
      </w:r>
      <w:r w:rsidR="006531FB">
        <w:t>. I consider that a reasonable observer would understand that the information originally provided under clause 4.6</w:t>
      </w:r>
      <w:r w:rsidR="00F77342">
        <w:t>(a)</w:t>
      </w:r>
      <w:r w:rsidR="006531FB">
        <w:t xml:space="preserve"> was intended to be amended by these detailed schedules.</w:t>
      </w:r>
      <w:r w:rsidR="00C83B68">
        <w:t>”</w:t>
      </w:r>
    </w:p>
    <w:p w14:paraId="1CC5BFCE" w14:textId="2DDD0918" w:rsidR="004E07F9" w:rsidRDefault="00C83B68" w:rsidP="0020713C">
      <w:pPr>
        <w:pStyle w:val="ParaLevel1"/>
      </w:pPr>
      <w:r>
        <w:t>There is no appeal from th</w:t>
      </w:r>
      <w:r w:rsidR="00B17323">
        <w:t>is</w:t>
      </w:r>
      <w:r>
        <w:t xml:space="preserve"> finding</w:t>
      </w:r>
      <w:r w:rsidR="00B17323">
        <w:t>.</w:t>
      </w:r>
    </w:p>
    <w:p w14:paraId="13B2A67A" w14:textId="629BC8EB" w:rsidR="00D27CA9" w:rsidRDefault="00D27CA9" w:rsidP="0020713C">
      <w:pPr>
        <w:pStyle w:val="ParaLevel1"/>
      </w:pPr>
      <w:r>
        <w:lastRenderedPageBreak/>
        <w:t xml:space="preserve">Accordingly the CATS Parties </w:t>
      </w:r>
      <w:r w:rsidR="00CE5CDB">
        <w:t xml:space="preserve">are correct to say that the </w:t>
      </w:r>
      <w:r w:rsidR="000174F2">
        <w:t xml:space="preserve">Capacity Fee payable by TGTL must be calculated by reference </w:t>
      </w:r>
      <w:r w:rsidR="00B72168">
        <w:t>to the figures in these updated schedules.</w:t>
      </w:r>
    </w:p>
    <w:p w14:paraId="6EC5B646" w14:textId="76840DD6" w:rsidR="009B41A2" w:rsidRPr="009B41A2" w:rsidRDefault="009B41A2" w:rsidP="0020713C">
      <w:pPr>
        <w:pStyle w:val="ParaLevel1"/>
        <w:numPr>
          <w:ilvl w:val="0"/>
          <w:numId w:val="0"/>
        </w:numPr>
        <w:rPr>
          <w:b/>
          <w:bCs/>
        </w:rPr>
      </w:pPr>
      <w:r w:rsidRPr="009B41A2">
        <w:rPr>
          <w:b/>
          <w:bCs/>
        </w:rPr>
        <w:t>Disposal</w:t>
      </w:r>
    </w:p>
    <w:p w14:paraId="07118059" w14:textId="64857426" w:rsidR="003A2BB7" w:rsidRDefault="009B41A2" w:rsidP="0020713C">
      <w:pPr>
        <w:pStyle w:val="ParaLevel1"/>
      </w:pPr>
      <w:r>
        <w:t xml:space="preserve">I would </w:t>
      </w:r>
      <w:r w:rsidR="008F5C5B">
        <w:t>dismiss the appeal.</w:t>
      </w:r>
    </w:p>
    <w:p w14:paraId="084D1A5C" w14:textId="07043881" w:rsidR="00605AFD" w:rsidRPr="00722B26" w:rsidRDefault="00605AFD" w:rsidP="0020713C">
      <w:pPr>
        <w:pStyle w:val="ParaLevel1"/>
        <w:numPr>
          <w:ilvl w:val="0"/>
          <w:numId w:val="0"/>
        </w:numPr>
        <w:rPr>
          <w:b/>
          <w:bCs/>
        </w:rPr>
      </w:pPr>
      <w:r w:rsidRPr="00722B26">
        <w:rPr>
          <w:b/>
          <w:bCs/>
        </w:rPr>
        <w:t>Lord Justice Newey :</w:t>
      </w:r>
    </w:p>
    <w:p w14:paraId="777C83D0" w14:textId="50C6FEC8" w:rsidR="00605AFD" w:rsidRDefault="00720C20" w:rsidP="0020713C">
      <w:pPr>
        <w:pStyle w:val="ParaLevel1"/>
      </w:pPr>
      <w:r>
        <w:t>I agree.</w:t>
      </w:r>
    </w:p>
    <w:p w14:paraId="74E3F02C" w14:textId="57302754" w:rsidR="00722B26" w:rsidRPr="00722B26" w:rsidRDefault="00722B26" w:rsidP="0020713C">
      <w:pPr>
        <w:pStyle w:val="ParaLevel1"/>
        <w:numPr>
          <w:ilvl w:val="0"/>
          <w:numId w:val="0"/>
        </w:numPr>
        <w:rPr>
          <w:b/>
          <w:bCs/>
        </w:rPr>
      </w:pPr>
      <w:r w:rsidRPr="00722B26">
        <w:rPr>
          <w:b/>
          <w:bCs/>
        </w:rPr>
        <w:t>Sir Geoffrey Vos, Chancellor of the High Court :</w:t>
      </w:r>
    </w:p>
    <w:p w14:paraId="48305468" w14:textId="764D6D41" w:rsidR="00720C20" w:rsidRDefault="00720C20" w:rsidP="0020713C">
      <w:pPr>
        <w:pStyle w:val="ParaLevel1"/>
      </w:pPr>
      <w:r>
        <w:t>I entirely agree with Males LJ’s judgment.  I want only to mention briefly the way in which the hearing of this appeal was conducted.  Thanks to the hard work and cooperation of court staff, the parties and their lawyers, this appeal was conducted entirely remotely by the use of Skype for Business.  It was completed comfortably within the 1.5-day estimate, and both leading counsel had a proper opportunity to make their submissions, to confer with their junior counsel, and to take proper instructions from their instructing solicitors and clients.  It was obviously not possible during the current coronavirus pandemic for the hearing safely to be conducted in court whilst observing the necessary social distancing.  Some 19 individuals, including the members of the court, were signed in to the Skype conferencing facility at any one time.</w:t>
      </w:r>
    </w:p>
    <w:p w14:paraId="0122FBDE" w14:textId="77777777" w:rsidR="00720C20" w:rsidRPr="00B54993" w:rsidRDefault="00720C20" w:rsidP="0020713C">
      <w:pPr>
        <w:pStyle w:val="ParaLevel1"/>
      </w:pPr>
      <w:r>
        <w:t xml:space="preserve">During the hearing, Practice Direction 51Y came into force for a temporary period to cater for video and audio hearings during the pandemic.  It provides that, where the court directs that proceedings are to be conducted wholly in that </w:t>
      </w:r>
      <w:r>
        <w:lastRenderedPageBreak/>
        <w:t xml:space="preserve">way, and </w:t>
      </w:r>
      <w:r w:rsidRPr="000827BE">
        <w:rPr>
          <w:rFonts w:cs="Calibri"/>
          <w:lang w:eastAsia="en-GB"/>
        </w:rPr>
        <w:t xml:space="preserve">it </w:t>
      </w:r>
      <w:r>
        <w:rPr>
          <w:rFonts w:cs="Calibri"/>
          <w:lang w:eastAsia="en-GB"/>
        </w:rPr>
        <w:t>is</w:t>
      </w:r>
      <w:r w:rsidRPr="000827BE">
        <w:rPr>
          <w:rFonts w:cs="Calibri"/>
          <w:lang w:eastAsia="en-GB"/>
        </w:rPr>
        <w:t xml:space="preserve"> not practicable for the hearing to be broadcast in a court building</w:t>
      </w:r>
      <w:r>
        <w:rPr>
          <w:rFonts w:cs="Calibri"/>
          <w:lang w:eastAsia="en-GB"/>
        </w:rPr>
        <w:t xml:space="preserve">, the court may direct that the hearing must take place in private where </w:t>
      </w:r>
      <w:r w:rsidRPr="00B02ACC">
        <w:rPr>
          <w:rFonts w:cs="Calibri"/>
          <w:lang w:eastAsia="en-GB"/>
        </w:rPr>
        <w:t xml:space="preserve">it </w:t>
      </w:r>
      <w:r>
        <w:rPr>
          <w:rFonts w:cs="Calibri"/>
          <w:lang w:eastAsia="en-GB"/>
        </w:rPr>
        <w:t>i</w:t>
      </w:r>
      <w:r w:rsidRPr="00B02ACC">
        <w:rPr>
          <w:rFonts w:cs="Calibri"/>
          <w:lang w:eastAsia="en-GB"/>
        </w:rPr>
        <w:t>s necessary to</w:t>
      </w:r>
      <w:r>
        <w:rPr>
          <w:rFonts w:cs="Calibri"/>
          <w:lang w:eastAsia="en-GB"/>
        </w:rPr>
        <w:t xml:space="preserve"> do so to</w:t>
      </w:r>
      <w:r w:rsidRPr="00B02ACC">
        <w:rPr>
          <w:rFonts w:cs="Calibri"/>
          <w:lang w:eastAsia="en-GB"/>
        </w:rPr>
        <w:t xml:space="preserve"> secure the proper administration of justice</w:t>
      </w:r>
      <w:r>
        <w:rPr>
          <w:rFonts w:cs="Calibri"/>
          <w:lang w:eastAsia="en-GB"/>
        </w:rPr>
        <w:t>.  The parties accepted that these criteria applied to this hearing and accordingly the court made an order on the second day of the hearing that the hearing should take place in private.  These judgments will, of course, be published.</w:t>
      </w:r>
    </w:p>
    <w:p w14:paraId="36251E35" w14:textId="77777777" w:rsidR="00720C20" w:rsidRPr="00B54993" w:rsidRDefault="00720C20" w:rsidP="0020713C">
      <w:pPr>
        <w:pStyle w:val="ParaLevel1"/>
      </w:pPr>
      <w:r>
        <w:rPr>
          <w:rFonts w:cs="Calibri"/>
          <w:lang w:eastAsia="en-GB"/>
        </w:rPr>
        <w:t>The civil courts are dealing at this time with a rapidly moving situation.  They are undertaking urgent business, and, so far as possible, business as usual, so as to avoid delays and backlogs building up during the period of lock-down caused by the pandemic.  Most importantly of all, judges are taking every step they possibly can to avoid the risk of unnecessary transmission of the coronavirus.</w:t>
      </w:r>
    </w:p>
    <w:p w14:paraId="1E3105DF" w14:textId="27C5D9AE" w:rsidR="00722B26" w:rsidRDefault="00720C20" w:rsidP="0020713C">
      <w:pPr>
        <w:pStyle w:val="ParaLevel1"/>
      </w:pPr>
      <w:r>
        <w:t>I have explained how this hearing was undertaken in an attempt to demonstrate the flexibility of the arrangements that can be made, with the cooperation of the parties and their lawyers, to continue to deliver fair, open and transparent justice in a period of national difficulty.</w:t>
      </w:r>
    </w:p>
    <w:sectPr w:rsidR="00722B26" w:rsidSect="0020713C">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CC9A" w14:textId="77777777" w:rsidR="0047166A" w:rsidRDefault="0047166A">
      <w:r>
        <w:separator/>
      </w:r>
    </w:p>
  </w:endnote>
  <w:endnote w:type="continuationSeparator" w:id="0">
    <w:p w14:paraId="2E96AD16" w14:textId="77777777" w:rsidR="0047166A" w:rsidRDefault="0047166A">
      <w:r>
        <w:continuationSeparator/>
      </w:r>
    </w:p>
  </w:endnote>
  <w:endnote w:type="continuationNotice" w:id="1">
    <w:p w14:paraId="3966F05F" w14:textId="77777777" w:rsidR="0047166A" w:rsidRDefault="0047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33B15" w14:textId="77777777" w:rsidR="0020713C" w:rsidRDefault="00207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4E98" w14:textId="77777777" w:rsidR="00C439A3" w:rsidRDefault="00C439A3">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6A7C" w14:textId="77777777" w:rsidR="0020713C" w:rsidRDefault="002071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C093" w14:textId="77777777" w:rsidR="00C439A3" w:rsidRPr="0020713C" w:rsidRDefault="00C439A3" w:rsidP="0020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75396" w14:textId="77777777" w:rsidR="0047166A" w:rsidRDefault="0047166A">
      <w:r>
        <w:separator/>
      </w:r>
    </w:p>
  </w:footnote>
  <w:footnote w:type="continuationSeparator" w:id="0">
    <w:p w14:paraId="59760583" w14:textId="77777777" w:rsidR="0047166A" w:rsidRDefault="0047166A">
      <w:r>
        <w:continuationSeparator/>
      </w:r>
    </w:p>
  </w:footnote>
  <w:footnote w:type="continuationNotice" w:id="1">
    <w:p w14:paraId="63923D9B" w14:textId="77777777" w:rsidR="0047166A" w:rsidRDefault="00471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C2B4" w14:textId="77777777" w:rsidR="0020713C" w:rsidRDefault="00207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A017" w14:textId="77777777" w:rsidR="0020713C" w:rsidRDefault="00207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28505" w14:textId="77777777" w:rsidR="0020713C" w:rsidRDefault="002071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14:paraId="08CC3355" w14:textId="77777777">
      <w:tc>
        <w:tcPr>
          <w:tcW w:w="4622" w:type="dxa"/>
        </w:tcPr>
        <w:p w14:paraId="674821A6" w14:textId="0B66DC43" w:rsidR="00C439A3" w:rsidRPr="0020713C" w:rsidRDefault="0020713C">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553FB9EA" w14:textId="7BED0C19" w:rsidR="00C439A3" w:rsidRPr="00516DAC" w:rsidRDefault="00583A84">
          <w:pPr>
            <w:pStyle w:val="Header"/>
            <w:jc w:val="right"/>
            <w:rPr>
              <w:rFonts w:ascii="Times New Roman" w:hAnsi="Times New Roman"/>
              <w:b/>
              <w:sz w:val="16"/>
            </w:rPr>
          </w:pPr>
          <w:r w:rsidRPr="00516DAC">
            <w:rPr>
              <w:rFonts w:ascii="Times New Roman" w:hAnsi="Times New Roman"/>
              <w:b/>
              <w:sz w:val="16"/>
            </w:rPr>
            <w:t>Tee</w:t>
          </w:r>
          <w:r w:rsidR="00BB5817">
            <w:rPr>
              <w:rFonts w:ascii="Times New Roman" w:hAnsi="Times New Roman"/>
              <w:b/>
              <w:sz w:val="16"/>
            </w:rPr>
            <w:t>s</w:t>
          </w:r>
          <w:r w:rsidRPr="00516DAC">
            <w:rPr>
              <w:rFonts w:ascii="Times New Roman" w:hAnsi="Times New Roman"/>
              <w:b/>
              <w:sz w:val="16"/>
            </w:rPr>
            <w:t>side Gas Transportation v Cats North Sea Ltd</w:t>
          </w:r>
        </w:p>
      </w:tc>
    </w:tr>
  </w:tbl>
  <w:p w14:paraId="1CD9F7E2"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162712FE"/>
    <w:multiLevelType w:val="hybridMultilevel"/>
    <w:tmpl w:val="F63853F6"/>
    <w:lvl w:ilvl="0" w:tplc="ACBAC7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3771C9"/>
    <w:multiLevelType w:val="hybridMultilevel"/>
    <w:tmpl w:val="C610C5EC"/>
    <w:lvl w:ilvl="0" w:tplc="61182988">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FE7556D"/>
    <w:multiLevelType w:val="hybridMultilevel"/>
    <w:tmpl w:val="ABE27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4201BC"/>
    <w:multiLevelType w:val="hybridMultilevel"/>
    <w:tmpl w:val="C610C5EC"/>
    <w:lvl w:ilvl="0" w:tplc="61182988">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6" w15:restartNumberingAfterBreak="0">
    <w:nsid w:val="7BA06D85"/>
    <w:multiLevelType w:val="hybridMultilevel"/>
    <w:tmpl w:val="0F2C7D16"/>
    <w:lvl w:ilvl="0" w:tplc="69DA50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4"/>
  </w:num>
  <w:num w:numId="12">
    <w:abstractNumId w:val="2"/>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32B888-F970-4CF7-B233-64039F0C231E}"/>
    <w:docVar w:name="dgnword-eventsink" w:val="404411856"/>
  </w:docVars>
  <w:rsids>
    <w:rsidRoot w:val="00B8105A"/>
    <w:rsid w:val="00000881"/>
    <w:rsid w:val="0000099E"/>
    <w:rsid w:val="0000211A"/>
    <w:rsid w:val="0000211F"/>
    <w:rsid w:val="00002363"/>
    <w:rsid w:val="0000330B"/>
    <w:rsid w:val="0000361A"/>
    <w:rsid w:val="0000422E"/>
    <w:rsid w:val="00004D2B"/>
    <w:rsid w:val="00005414"/>
    <w:rsid w:val="00005A29"/>
    <w:rsid w:val="000066DF"/>
    <w:rsid w:val="00006748"/>
    <w:rsid w:val="00007D63"/>
    <w:rsid w:val="00010386"/>
    <w:rsid w:val="000106EB"/>
    <w:rsid w:val="00010916"/>
    <w:rsid w:val="00011B10"/>
    <w:rsid w:val="000129F2"/>
    <w:rsid w:val="00013BC4"/>
    <w:rsid w:val="000153CF"/>
    <w:rsid w:val="000158F1"/>
    <w:rsid w:val="00015A83"/>
    <w:rsid w:val="000165F3"/>
    <w:rsid w:val="00016EE2"/>
    <w:rsid w:val="000174F2"/>
    <w:rsid w:val="00017CD9"/>
    <w:rsid w:val="00020458"/>
    <w:rsid w:val="00021F76"/>
    <w:rsid w:val="00023E9B"/>
    <w:rsid w:val="00023FEE"/>
    <w:rsid w:val="00024B62"/>
    <w:rsid w:val="00025AAB"/>
    <w:rsid w:val="000264F9"/>
    <w:rsid w:val="00026900"/>
    <w:rsid w:val="0002723B"/>
    <w:rsid w:val="00027BB7"/>
    <w:rsid w:val="00030636"/>
    <w:rsid w:val="00031CCE"/>
    <w:rsid w:val="000343EE"/>
    <w:rsid w:val="00034FA2"/>
    <w:rsid w:val="00035172"/>
    <w:rsid w:val="000358C7"/>
    <w:rsid w:val="000361D7"/>
    <w:rsid w:val="0003640D"/>
    <w:rsid w:val="000375FE"/>
    <w:rsid w:val="0003770E"/>
    <w:rsid w:val="000379FE"/>
    <w:rsid w:val="00037E9D"/>
    <w:rsid w:val="000408E7"/>
    <w:rsid w:val="00040C66"/>
    <w:rsid w:val="00040E10"/>
    <w:rsid w:val="00040F2F"/>
    <w:rsid w:val="00041290"/>
    <w:rsid w:val="00041D3B"/>
    <w:rsid w:val="00042063"/>
    <w:rsid w:val="0004538B"/>
    <w:rsid w:val="00045B6C"/>
    <w:rsid w:val="00047946"/>
    <w:rsid w:val="00050DD2"/>
    <w:rsid w:val="000529CF"/>
    <w:rsid w:val="00053836"/>
    <w:rsid w:val="00053BA7"/>
    <w:rsid w:val="00054332"/>
    <w:rsid w:val="0005447C"/>
    <w:rsid w:val="00055290"/>
    <w:rsid w:val="00055D5D"/>
    <w:rsid w:val="0005601F"/>
    <w:rsid w:val="00056482"/>
    <w:rsid w:val="00056851"/>
    <w:rsid w:val="00060077"/>
    <w:rsid w:val="00060C0B"/>
    <w:rsid w:val="00063979"/>
    <w:rsid w:val="00067548"/>
    <w:rsid w:val="000676B1"/>
    <w:rsid w:val="0007007F"/>
    <w:rsid w:val="00070CAF"/>
    <w:rsid w:val="00071033"/>
    <w:rsid w:val="00071091"/>
    <w:rsid w:val="000722D1"/>
    <w:rsid w:val="0007272B"/>
    <w:rsid w:val="00072AF9"/>
    <w:rsid w:val="00072E27"/>
    <w:rsid w:val="000732BB"/>
    <w:rsid w:val="00074293"/>
    <w:rsid w:val="00074DE4"/>
    <w:rsid w:val="00075305"/>
    <w:rsid w:val="0007587A"/>
    <w:rsid w:val="00076A83"/>
    <w:rsid w:val="0007721E"/>
    <w:rsid w:val="00080A90"/>
    <w:rsid w:val="00082F7A"/>
    <w:rsid w:val="00083850"/>
    <w:rsid w:val="0008572B"/>
    <w:rsid w:val="00086595"/>
    <w:rsid w:val="000867CA"/>
    <w:rsid w:val="0008701D"/>
    <w:rsid w:val="00087592"/>
    <w:rsid w:val="00090EA5"/>
    <w:rsid w:val="000912F7"/>
    <w:rsid w:val="0009130A"/>
    <w:rsid w:val="000919A1"/>
    <w:rsid w:val="00091B8F"/>
    <w:rsid w:val="0009278C"/>
    <w:rsid w:val="00093857"/>
    <w:rsid w:val="00093D99"/>
    <w:rsid w:val="000950F5"/>
    <w:rsid w:val="000951F2"/>
    <w:rsid w:val="000959CD"/>
    <w:rsid w:val="000972D3"/>
    <w:rsid w:val="00097A26"/>
    <w:rsid w:val="00097DBE"/>
    <w:rsid w:val="000A1210"/>
    <w:rsid w:val="000A2CFD"/>
    <w:rsid w:val="000A3921"/>
    <w:rsid w:val="000A4B22"/>
    <w:rsid w:val="000A4B71"/>
    <w:rsid w:val="000A5FD9"/>
    <w:rsid w:val="000A6138"/>
    <w:rsid w:val="000A62ED"/>
    <w:rsid w:val="000A7122"/>
    <w:rsid w:val="000B042C"/>
    <w:rsid w:val="000B0454"/>
    <w:rsid w:val="000B072F"/>
    <w:rsid w:val="000B1CEE"/>
    <w:rsid w:val="000B1D9A"/>
    <w:rsid w:val="000B276E"/>
    <w:rsid w:val="000B406E"/>
    <w:rsid w:val="000B525E"/>
    <w:rsid w:val="000B5DD3"/>
    <w:rsid w:val="000C020B"/>
    <w:rsid w:val="000C12F0"/>
    <w:rsid w:val="000C15EA"/>
    <w:rsid w:val="000C2D28"/>
    <w:rsid w:val="000C309C"/>
    <w:rsid w:val="000C31CF"/>
    <w:rsid w:val="000C5438"/>
    <w:rsid w:val="000C6E71"/>
    <w:rsid w:val="000C7296"/>
    <w:rsid w:val="000C787C"/>
    <w:rsid w:val="000C7B2E"/>
    <w:rsid w:val="000D0265"/>
    <w:rsid w:val="000D150E"/>
    <w:rsid w:val="000D1E11"/>
    <w:rsid w:val="000D30A5"/>
    <w:rsid w:val="000D3C7E"/>
    <w:rsid w:val="000D4779"/>
    <w:rsid w:val="000D54E1"/>
    <w:rsid w:val="000D5D1C"/>
    <w:rsid w:val="000D60DF"/>
    <w:rsid w:val="000D6475"/>
    <w:rsid w:val="000D78F5"/>
    <w:rsid w:val="000D7A6E"/>
    <w:rsid w:val="000E0A89"/>
    <w:rsid w:val="000E101A"/>
    <w:rsid w:val="000E17F2"/>
    <w:rsid w:val="000E3588"/>
    <w:rsid w:val="000E35FF"/>
    <w:rsid w:val="000E4580"/>
    <w:rsid w:val="000E6244"/>
    <w:rsid w:val="000E757C"/>
    <w:rsid w:val="000F0B0A"/>
    <w:rsid w:val="000F0BBC"/>
    <w:rsid w:val="000F0C92"/>
    <w:rsid w:val="000F3C1E"/>
    <w:rsid w:val="000F5805"/>
    <w:rsid w:val="000F6B26"/>
    <w:rsid w:val="00100B3C"/>
    <w:rsid w:val="00100EDD"/>
    <w:rsid w:val="00101102"/>
    <w:rsid w:val="00101B8B"/>
    <w:rsid w:val="00102093"/>
    <w:rsid w:val="00102871"/>
    <w:rsid w:val="00103194"/>
    <w:rsid w:val="0010635D"/>
    <w:rsid w:val="0011036D"/>
    <w:rsid w:val="001126ED"/>
    <w:rsid w:val="0011372C"/>
    <w:rsid w:val="00113DC8"/>
    <w:rsid w:val="0011449C"/>
    <w:rsid w:val="00115BF7"/>
    <w:rsid w:val="001172F5"/>
    <w:rsid w:val="00117408"/>
    <w:rsid w:val="00117AC7"/>
    <w:rsid w:val="00117C4B"/>
    <w:rsid w:val="001203EB"/>
    <w:rsid w:val="00120E8C"/>
    <w:rsid w:val="001210F3"/>
    <w:rsid w:val="00121EA1"/>
    <w:rsid w:val="00123217"/>
    <w:rsid w:val="00124594"/>
    <w:rsid w:val="00125901"/>
    <w:rsid w:val="001262CB"/>
    <w:rsid w:val="00127FB8"/>
    <w:rsid w:val="0013004F"/>
    <w:rsid w:val="001308A6"/>
    <w:rsid w:val="00130EC4"/>
    <w:rsid w:val="00131188"/>
    <w:rsid w:val="00131A4C"/>
    <w:rsid w:val="00132524"/>
    <w:rsid w:val="001351F3"/>
    <w:rsid w:val="0013550C"/>
    <w:rsid w:val="00136FEA"/>
    <w:rsid w:val="00140578"/>
    <w:rsid w:val="001408B8"/>
    <w:rsid w:val="00142227"/>
    <w:rsid w:val="00143787"/>
    <w:rsid w:val="00144F2D"/>
    <w:rsid w:val="0014616A"/>
    <w:rsid w:val="00146B40"/>
    <w:rsid w:val="00146FC8"/>
    <w:rsid w:val="00147D45"/>
    <w:rsid w:val="0015277F"/>
    <w:rsid w:val="001532FA"/>
    <w:rsid w:val="00153EB2"/>
    <w:rsid w:val="00154B0C"/>
    <w:rsid w:val="00155615"/>
    <w:rsid w:val="0015582E"/>
    <w:rsid w:val="00156052"/>
    <w:rsid w:val="0015698F"/>
    <w:rsid w:val="00156A9A"/>
    <w:rsid w:val="001602E0"/>
    <w:rsid w:val="00160899"/>
    <w:rsid w:val="00160926"/>
    <w:rsid w:val="00160CA6"/>
    <w:rsid w:val="00161427"/>
    <w:rsid w:val="00162587"/>
    <w:rsid w:val="00162B41"/>
    <w:rsid w:val="00167C6F"/>
    <w:rsid w:val="00170081"/>
    <w:rsid w:val="00170E6D"/>
    <w:rsid w:val="00171458"/>
    <w:rsid w:val="00171793"/>
    <w:rsid w:val="00171BAC"/>
    <w:rsid w:val="001740F2"/>
    <w:rsid w:val="0017470D"/>
    <w:rsid w:val="00174A09"/>
    <w:rsid w:val="00174D3E"/>
    <w:rsid w:val="00181CC7"/>
    <w:rsid w:val="00186528"/>
    <w:rsid w:val="001866A4"/>
    <w:rsid w:val="00187632"/>
    <w:rsid w:val="00187780"/>
    <w:rsid w:val="00187AD2"/>
    <w:rsid w:val="00190CFE"/>
    <w:rsid w:val="0019169F"/>
    <w:rsid w:val="00192BBD"/>
    <w:rsid w:val="0019354A"/>
    <w:rsid w:val="001941D5"/>
    <w:rsid w:val="00194A9F"/>
    <w:rsid w:val="001958E1"/>
    <w:rsid w:val="0019750F"/>
    <w:rsid w:val="001A1ED6"/>
    <w:rsid w:val="001A23C2"/>
    <w:rsid w:val="001A6288"/>
    <w:rsid w:val="001A67CF"/>
    <w:rsid w:val="001A6EA4"/>
    <w:rsid w:val="001B1360"/>
    <w:rsid w:val="001B1D73"/>
    <w:rsid w:val="001B2266"/>
    <w:rsid w:val="001B247C"/>
    <w:rsid w:val="001B274D"/>
    <w:rsid w:val="001B2B87"/>
    <w:rsid w:val="001B2E43"/>
    <w:rsid w:val="001B3600"/>
    <w:rsid w:val="001B4400"/>
    <w:rsid w:val="001B46FC"/>
    <w:rsid w:val="001B486D"/>
    <w:rsid w:val="001B74F5"/>
    <w:rsid w:val="001C067F"/>
    <w:rsid w:val="001C0CC4"/>
    <w:rsid w:val="001C1378"/>
    <w:rsid w:val="001C1512"/>
    <w:rsid w:val="001C1560"/>
    <w:rsid w:val="001C17BA"/>
    <w:rsid w:val="001C1A95"/>
    <w:rsid w:val="001C2DF0"/>
    <w:rsid w:val="001C5003"/>
    <w:rsid w:val="001C5015"/>
    <w:rsid w:val="001C59C5"/>
    <w:rsid w:val="001C6CB2"/>
    <w:rsid w:val="001C729F"/>
    <w:rsid w:val="001D2085"/>
    <w:rsid w:val="001D213A"/>
    <w:rsid w:val="001D273D"/>
    <w:rsid w:val="001D43C4"/>
    <w:rsid w:val="001D45DC"/>
    <w:rsid w:val="001D4BD2"/>
    <w:rsid w:val="001D4F21"/>
    <w:rsid w:val="001D5B6B"/>
    <w:rsid w:val="001D5E54"/>
    <w:rsid w:val="001D643B"/>
    <w:rsid w:val="001D7E82"/>
    <w:rsid w:val="001E0746"/>
    <w:rsid w:val="001E076A"/>
    <w:rsid w:val="001E184F"/>
    <w:rsid w:val="001E28F8"/>
    <w:rsid w:val="001E5685"/>
    <w:rsid w:val="001E5A8F"/>
    <w:rsid w:val="001E60CD"/>
    <w:rsid w:val="001E6409"/>
    <w:rsid w:val="001E6EE9"/>
    <w:rsid w:val="001E7AD6"/>
    <w:rsid w:val="001F02E4"/>
    <w:rsid w:val="001F3F6F"/>
    <w:rsid w:val="001F462F"/>
    <w:rsid w:val="001F4662"/>
    <w:rsid w:val="001F4878"/>
    <w:rsid w:val="001F4EBA"/>
    <w:rsid w:val="001F5698"/>
    <w:rsid w:val="001F5FA1"/>
    <w:rsid w:val="00200DFB"/>
    <w:rsid w:val="0020327F"/>
    <w:rsid w:val="00206B95"/>
    <w:rsid w:val="0020713C"/>
    <w:rsid w:val="002106C2"/>
    <w:rsid w:val="00211DF5"/>
    <w:rsid w:val="002129B0"/>
    <w:rsid w:val="00213E83"/>
    <w:rsid w:val="00214E12"/>
    <w:rsid w:val="00216D6C"/>
    <w:rsid w:val="00216EA0"/>
    <w:rsid w:val="00220774"/>
    <w:rsid w:val="0022300A"/>
    <w:rsid w:val="0022426E"/>
    <w:rsid w:val="0022579F"/>
    <w:rsid w:val="00230477"/>
    <w:rsid w:val="0023085F"/>
    <w:rsid w:val="002340AE"/>
    <w:rsid w:val="00237447"/>
    <w:rsid w:val="002405E6"/>
    <w:rsid w:val="00241F64"/>
    <w:rsid w:val="00243C13"/>
    <w:rsid w:val="00243DCC"/>
    <w:rsid w:val="0024489B"/>
    <w:rsid w:val="002455EF"/>
    <w:rsid w:val="00245A14"/>
    <w:rsid w:val="00246A54"/>
    <w:rsid w:val="00247226"/>
    <w:rsid w:val="00247E6D"/>
    <w:rsid w:val="00250595"/>
    <w:rsid w:val="002510C6"/>
    <w:rsid w:val="00252643"/>
    <w:rsid w:val="002540BC"/>
    <w:rsid w:val="00255965"/>
    <w:rsid w:val="002561F3"/>
    <w:rsid w:val="00256A1F"/>
    <w:rsid w:val="0025796F"/>
    <w:rsid w:val="0026058D"/>
    <w:rsid w:val="00260F12"/>
    <w:rsid w:val="00261B77"/>
    <w:rsid w:val="00261DF1"/>
    <w:rsid w:val="00261FAD"/>
    <w:rsid w:val="00262174"/>
    <w:rsid w:val="00262D2A"/>
    <w:rsid w:val="0026392A"/>
    <w:rsid w:val="00265616"/>
    <w:rsid w:val="00265957"/>
    <w:rsid w:val="002705A8"/>
    <w:rsid w:val="00272044"/>
    <w:rsid w:val="00272363"/>
    <w:rsid w:val="00272D12"/>
    <w:rsid w:val="00273282"/>
    <w:rsid w:val="00273851"/>
    <w:rsid w:val="00273EE9"/>
    <w:rsid w:val="00273F32"/>
    <w:rsid w:val="002774FF"/>
    <w:rsid w:val="00283023"/>
    <w:rsid w:val="00283783"/>
    <w:rsid w:val="00284967"/>
    <w:rsid w:val="00284E01"/>
    <w:rsid w:val="00285102"/>
    <w:rsid w:val="00285139"/>
    <w:rsid w:val="00286095"/>
    <w:rsid w:val="00286488"/>
    <w:rsid w:val="002874F6"/>
    <w:rsid w:val="002875DE"/>
    <w:rsid w:val="00287ECC"/>
    <w:rsid w:val="002900AD"/>
    <w:rsid w:val="002908AC"/>
    <w:rsid w:val="00290EB9"/>
    <w:rsid w:val="00290F46"/>
    <w:rsid w:val="0029178F"/>
    <w:rsid w:val="00291B17"/>
    <w:rsid w:val="00291C0D"/>
    <w:rsid w:val="00292757"/>
    <w:rsid w:val="00292BD3"/>
    <w:rsid w:val="00293266"/>
    <w:rsid w:val="0029348F"/>
    <w:rsid w:val="002942D3"/>
    <w:rsid w:val="00294CFD"/>
    <w:rsid w:val="002962CF"/>
    <w:rsid w:val="00297B54"/>
    <w:rsid w:val="002A09A5"/>
    <w:rsid w:val="002A0F74"/>
    <w:rsid w:val="002A19E1"/>
    <w:rsid w:val="002A1C86"/>
    <w:rsid w:val="002A2829"/>
    <w:rsid w:val="002A2AF9"/>
    <w:rsid w:val="002A2B90"/>
    <w:rsid w:val="002A2EA1"/>
    <w:rsid w:val="002A658A"/>
    <w:rsid w:val="002A6C3B"/>
    <w:rsid w:val="002A7064"/>
    <w:rsid w:val="002A7E08"/>
    <w:rsid w:val="002B2F9F"/>
    <w:rsid w:val="002B30FE"/>
    <w:rsid w:val="002B439C"/>
    <w:rsid w:val="002B4B15"/>
    <w:rsid w:val="002B4B24"/>
    <w:rsid w:val="002B66E5"/>
    <w:rsid w:val="002B6740"/>
    <w:rsid w:val="002B7AF6"/>
    <w:rsid w:val="002C00B8"/>
    <w:rsid w:val="002C069A"/>
    <w:rsid w:val="002C1426"/>
    <w:rsid w:val="002C32F9"/>
    <w:rsid w:val="002C377F"/>
    <w:rsid w:val="002C3A67"/>
    <w:rsid w:val="002C5EF0"/>
    <w:rsid w:val="002C633A"/>
    <w:rsid w:val="002C640F"/>
    <w:rsid w:val="002C6ADC"/>
    <w:rsid w:val="002C6DF5"/>
    <w:rsid w:val="002C7B4F"/>
    <w:rsid w:val="002D0CB6"/>
    <w:rsid w:val="002D1C8B"/>
    <w:rsid w:val="002D1D25"/>
    <w:rsid w:val="002D22B1"/>
    <w:rsid w:val="002D247C"/>
    <w:rsid w:val="002D3670"/>
    <w:rsid w:val="002D3B53"/>
    <w:rsid w:val="002D73B5"/>
    <w:rsid w:val="002E0267"/>
    <w:rsid w:val="002E06BC"/>
    <w:rsid w:val="002E096C"/>
    <w:rsid w:val="002E1401"/>
    <w:rsid w:val="002E1780"/>
    <w:rsid w:val="002E1CF8"/>
    <w:rsid w:val="002E1DB2"/>
    <w:rsid w:val="002E222D"/>
    <w:rsid w:val="002E26E0"/>
    <w:rsid w:val="002E4436"/>
    <w:rsid w:val="002E4FD8"/>
    <w:rsid w:val="002E56AD"/>
    <w:rsid w:val="002E62FC"/>
    <w:rsid w:val="002E64BE"/>
    <w:rsid w:val="002E679E"/>
    <w:rsid w:val="002F008B"/>
    <w:rsid w:val="002F13F8"/>
    <w:rsid w:val="002F30CC"/>
    <w:rsid w:val="002F3F5A"/>
    <w:rsid w:val="002F3F8F"/>
    <w:rsid w:val="002F60C5"/>
    <w:rsid w:val="002F62DA"/>
    <w:rsid w:val="002F647E"/>
    <w:rsid w:val="002F670A"/>
    <w:rsid w:val="002F680D"/>
    <w:rsid w:val="002F6876"/>
    <w:rsid w:val="003003A5"/>
    <w:rsid w:val="003009C0"/>
    <w:rsid w:val="00301292"/>
    <w:rsid w:val="00302D1C"/>
    <w:rsid w:val="003056A1"/>
    <w:rsid w:val="00305F77"/>
    <w:rsid w:val="00306F5B"/>
    <w:rsid w:val="003113CE"/>
    <w:rsid w:val="00312627"/>
    <w:rsid w:val="00313C37"/>
    <w:rsid w:val="00313DF3"/>
    <w:rsid w:val="00314798"/>
    <w:rsid w:val="00315517"/>
    <w:rsid w:val="00316553"/>
    <w:rsid w:val="003165D4"/>
    <w:rsid w:val="00320193"/>
    <w:rsid w:val="00320CC0"/>
    <w:rsid w:val="00320F30"/>
    <w:rsid w:val="00321091"/>
    <w:rsid w:val="003221D8"/>
    <w:rsid w:val="00322FFC"/>
    <w:rsid w:val="0032419B"/>
    <w:rsid w:val="003241AC"/>
    <w:rsid w:val="00325BA2"/>
    <w:rsid w:val="0032694C"/>
    <w:rsid w:val="003278B3"/>
    <w:rsid w:val="00327A41"/>
    <w:rsid w:val="00330937"/>
    <w:rsid w:val="00330CAF"/>
    <w:rsid w:val="00332EFB"/>
    <w:rsid w:val="003351B6"/>
    <w:rsid w:val="00335861"/>
    <w:rsid w:val="0033613F"/>
    <w:rsid w:val="00336D6F"/>
    <w:rsid w:val="003413B8"/>
    <w:rsid w:val="003419A0"/>
    <w:rsid w:val="003424BF"/>
    <w:rsid w:val="00342FBC"/>
    <w:rsid w:val="003449DA"/>
    <w:rsid w:val="00344CD6"/>
    <w:rsid w:val="00345284"/>
    <w:rsid w:val="003458C2"/>
    <w:rsid w:val="00346301"/>
    <w:rsid w:val="00346358"/>
    <w:rsid w:val="003479BD"/>
    <w:rsid w:val="00350120"/>
    <w:rsid w:val="00351AB4"/>
    <w:rsid w:val="003535B7"/>
    <w:rsid w:val="00354405"/>
    <w:rsid w:val="0035470F"/>
    <w:rsid w:val="00354DFD"/>
    <w:rsid w:val="00355761"/>
    <w:rsid w:val="00356841"/>
    <w:rsid w:val="003577A2"/>
    <w:rsid w:val="00357C40"/>
    <w:rsid w:val="00357E46"/>
    <w:rsid w:val="00361873"/>
    <w:rsid w:val="00361B48"/>
    <w:rsid w:val="00364544"/>
    <w:rsid w:val="00365A35"/>
    <w:rsid w:val="00366C24"/>
    <w:rsid w:val="00367969"/>
    <w:rsid w:val="00367BAA"/>
    <w:rsid w:val="0037024B"/>
    <w:rsid w:val="00370DE3"/>
    <w:rsid w:val="00370F5C"/>
    <w:rsid w:val="003715D7"/>
    <w:rsid w:val="003727A5"/>
    <w:rsid w:val="003729EB"/>
    <w:rsid w:val="00372F7E"/>
    <w:rsid w:val="003762F6"/>
    <w:rsid w:val="00376909"/>
    <w:rsid w:val="00377ECD"/>
    <w:rsid w:val="00377F9B"/>
    <w:rsid w:val="00382DF4"/>
    <w:rsid w:val="00382E0A"/>
    <w:rsid w:val="00383C22"/>
    <w:rsid w:val="00385064"/>
    <w:rsid w:val="0039117C"/>
    <w:rsid w:val="003914D2"/>
    <w:rsid w:val="00391D7E"/>
    <w:rsid w:val="0039244D"/>
    <w:rsid w:val="00392510"/>
    <w:rsid w:val="00392FBD"/>
    <w:rsid w:val="003931BE"/>
    <w:rsid w:val="00394553"/>
    <w:rsid w:val="003945F5"/>
    <w:rsid w:val="00395AE7"/>
    <w:rsid w:val="00396B35"/>
    <w:rsid w:val="003A1213"/>
    <w:rsid w:val="003A1641"/>
    <w:rsid w:val="003A1DDD"/>
    <w:rsid w:val="003A1FAD"/>
    <w:rsid w:val="003A25DD"/>
    <w:rsid w:val="003A2BB7"/>
    <w:rsid w:val="003A5291"/>
    <w:rsid w:val="003A5A91"/>
    <w:rsid w:val="003A732F"/>
    <w:rsid w:val="003A74C7"/>
    <w:rsid w:val="003A7C34"/>
    <w:rsid w:val="003B18E0"/>
    <w:rsid w:val="003B2E90"/>
    <w:rsid w:val="003B3699"/>
    <w:rsid w:val="003B3E57"/>
    <w:rsid w:val="003B3EBB"/>
    <w:rsid w:val="003B5021"/>
    <w:rsid w:val="003B5668"/>
    <w:rsid w:val="003B734E"/>
    <w:rsid w:val="003C0235"/>
    <w:rsid w:val="003C271A"/>
    <w:rsid w:val="003C29C4"/>
    <w:rsid w:val="003C2E0F"/>
    <w:rsid w:val="003C3CC7"/>
    <w:rsid w:val="003C5040"/>
    <w:rsid w:val="003C64F2"/>
    <w:rsid w:val="003C6934"/>
    <w:rsid w:val="003C74DA"/>
    <w:rsid w:val="003C79EE"/>
    <w:rsid w:val="003C7EAA"/>
    <w:rsid w:val="003D1219"/>
    <w:rsid w:val="003D2A5D"/>
    <w:rsid w:val="003D3C28"/>
    <w:rsid w:val="003D40B2"/>
    <w:rsid w:val="003D50BD"/>
    <w:rsid w:val="003D5590"/>
    <w:rsid w:val="003D594B"/>
    <w:rsid w:val="003D5D3C"/>
    <w:rsid w:val="003D6299"/>
    <w:rsid w:val="003D63F2"/>
    <w:rsid w:val="003D7B32"/>
    <w:rsid w:val="003E064A"/>
    <w:rsid w:val="003E2016"/>
    <w:rsid w:val="003E2241"/>
    <w:rsid w:val="003E27DA"/>
    <w:rsid w:val="003E2B35"/>
    <w:rsid w:val="003E31C4"/>
    <w:rsid w:val="003E40F6"/>
    <w:rsid w:val="003E45E8"/>
    <w:rsid w:val="003E49DE"/>
    <w:rsid w:val="003E5523"/>
    <w:rsid w:val="003E580E"/>
    <w:rsid w:val="003E5E12"/>
    <w:rsid w:val="003E6587"/>
    <w:rsid w:val="003E766B"/>
    <w:rsid w:val="003E7D21"/>
    <w:rsid w:val="003F02B6"/>
    <w:rsid w:val="003F0FDE"/>
    <w:rsid w:val="003F1126"/>
    <w:rsid w:val="003F16AB"/>
    <w:rsid w:val="003F26D3"/>
    <w:rsid w:val="003F3415"/>
    <w:rsid w:val="003F4298"/>
    <w:rsid w:val="003F45B7"/>
    <w:rsid w:val="003F510F"/>
    <w:rsid w:val="003F5227"/>
    <w:rsid w:val="003F590D"/>
    <w:rsid w:val="003F692A"/>
    <w:rsid w:val="004006DA"/>
    <w:rsid w:val="004019A4"/>
    <w:rsid w:val="00401BCB"/>
    <w:rsid w:val="004023C3"/>
    <w:rsid w:val="00405258"/>
    <w:rsid w:val="00405394"/>
    <w:rsid w:val="00407B98"/>
    <w:rsid w:val="0041003B"/>
    <w:rsid w:val="004100C2"/>
    <w:rsid w:val="0041176C"/>
    <w:rsid w:val="00411FE3"/>
    <w:rsid w:val="004125C3"/>
    <w:rsid w:val="00412607"/>
    <w:rsid w:val="00412821"/>
    <w:rsid w:val="0041365C"/>
    <w:rsid w:val="0041523D"/>
    <w:rsid w:val="00415E7C"/>
    <w:rsid w:val="00416DC2"/>
    <w:rsid w:val="00417949"/>
    <w:rsid w:val="004201A6"/>
    <w:rsid w:val="004202DA"/>
    <w:rsid w:val="004251A1"/>
    <w:rsid w:val="00425B57"/>
    <w:rsid w:val="00425FE3"/>
    <w:rsid w:val="0042645E"/>
    <w:rsid w:val="004319CC"/>
    <w:rsid w:val="00431F69"/>
    <w:rsid w:val="00432D38"/>
    <w:rsid w:val="00433213"/>
    <w:rsid w:val="00433745"/>
    <w:rsid w:val="004342B3"/>
    <w:rsid w:val="00436214"/>
    <w:rsid w:val="00437667"/>
    <w:rsid w:val="00437998"/>
    <w:rsid w:val="00437FCA"/>
    <w:rsid w:val="00440411"/>
    <w:rsid w:val="004406C4"/>
    <w:rsid w:val="004418CB"/>
    <w:rsid w:val="00443DBF"/>
    <w:rsid w:val="00444991"/>
    <w:rsid w:val="00444A72"/>
    <w:rsid w:val="004451D1"/>
    <w:rsid w:val="00447A3D"/>
    <w:rsid w:val="004506D1"/>
    <w:rsid w:val="00451A57"/>
    <w:rsid w:val="004525A1"/>
    <w:rsid w:val="004528CF"/>
    <w:rsid w:val="00453091"/>
    <w:rsid w:val="00453E87"/>
    <w:rsid w:val="004542AF"/>
    <w:rsid w:val="004543EE"/>
    <w:rsid w:val="00454DA1"/>
    <w:rsid w:val="00454F26"/>
    <w:rsid w:val="004554A2"/>
    <w:rsid w:val="0045608B"/>
    <w:rsid w:val="0045618C"/>
    <w:rsid w:val="00460F95"/>
    <w:rsid w:val="0046139B"/>
    <w:rsid w:val="004613F9"/>
    <w:rsid w:val="00461FCE"/>
    <w:rsid w:val="004625F1"/>
    <w:rsid w:val="00462BB8"/>
    <w:rsid w:val="004636BA"/>
    <w:rsid w:val="0046547C"/>
    <w:rsid w:val="004678BC"/>
    <w:rsid w:val="00467CA3"/>
    <w:rsid w:val="0047166A"/>
    <w:rsid w:val="00471A65"/>
    <w:rsid w:val="004723F8"/>
    <w:rsid w:val="00474A06"/>
    <w:rsid w:val="0047544F"/>
    <w:rsid w:val="00480436"/>
    <w:rsid w:val="00480CFF"/>
    <w:rsid w:val="00481133"/>
    <w:rsid w:val="004824A3"/>
    <w:rsid w:val="004829C8"/>
    <w:rsid w:val="00485079"/>
    <w:rsid w:val="004872F5"/>
    <w:rsid w:val="00487C44"/>
    <w:rsid w:val="004904A9"/>
    <w:rsid w:val="004911F9"/>
    <w:rsid w:val="00491B20"/>
    <w:rsid w:val="0049234B"/>
    <w:rsid w:val="00494265"/>
    <w:rsid w:val="004952A9"/>
    <w:rsid w:val="00495423"/>
    <w:rsid w:val="00495568"/>
    <w:rsid w:val="00496A37"/>
    <w:rsid w:val="00496E03"/>
    <w:rsid w:val="004A04FF"/>
    <w:rsid w:val="004A085E"/>
    <w:rsid w:val="004A4A80"/>
    <w:rsid w:val="004A5619"/>
    <w:rsid w:val="004A5BB9"/>
    <w:rsid w:val="004A6D19"/>
    <w:rsid w:val="004A6D8C"/>
    <w:rsid w:val="004B21AD"/>
    <w:rsid w:val="004B21C1"/>
    <w:rsid w:val="004B3CD7"/>
    <w:rsid w:val="004B61C6"/>
    <w:rsid w:val="004B6BF6"/>
    <w:rsid w:val="004B7FCD"/>
    <w:rsid w:val="004C13F1"/>
    <w:rsid w:val="004C1A71"/>
    <w:rsid w:val="004C31D1"/>
    <w:rsid w:val="004C4504"/>
    <w:rsid w:val="004C53F7"/>
    <w:rsid w:val="004D04B5"/>
    <w:rsid w:val="004D09D0"/>
    <w:rsid w:val="004D0B35"/>
    <w:rsid w:val="004D0D29"/>
    <w:rsid w:val="004D0D49"/>
    <w:rsid w:val="004D175A"/>
    <w:rsid w:val="004D1866"/>
    <w:rsid w:val="004D1D1E"/>
    <w:rsid w:val="004D464F"/>
    <w:rsid w:val="004D675B"/>
    <w:rsid w:val="004D763F"/>
    <w:rsid w:val="004D7668"/>
    <w:rsid w:val="004D76CC"/>
    <w:rsid w:val="004E07F9"/>
    <w:rsid w:val="004E3736"/>
    <w:rsid w:val="004E3BDC"/>
    <w:rsid w:val="004E47B0"/>
    <w:rsid w:val="004E5206"/>
    <w:rsid w:val="004E5BC0"/>
    <w:rsid w:val="004E64AE"/>
    <w:rsid w:val="004E6966"/>
    <w:rsid w:val="004F4602"/>
    <w:rsid w:val="004F49C9"/>
    <w:rsid w:val="004F5A34"/>
    <w:rsid w:val="004F6591"/>
    <w:rsid w:val="004F6749"/>
    <w:rsid w:val="004F7115"/>
    <w:rsid w:val="004F7BB1"/>
    <w:rsid w:val="00500B30"/>
    <w:rsid w:val="005012BA"/>
    <w:rsid w:val="005012C9"/>
    <w:rsid w:val="005031B9"/>
    <w:rsid w:val="00504A74"/>
    <w:rsid w:val="00506E8D"/>
    <w:rsid w:val="00507436"/>
    <w:rsid w:val="0051091D"/>
    <w:rsid w:val="005124F5"/>
    <w:rsid w:val="00512F04"/>
    <w:rsid w:val="00513D17"/>
    <w:rsid w:val="00514690"/>
    <w:rsid w:val="00514964"/>
    <w:rsid w:val="00514B9F"/>
    <w:rsid w:val="00514EA9"/>
    <w:rsid w:val="00516618"/>
    <w:rsid w:val="00516B7C"/>
    <w:rsid w:val="00516DAC"/>
    <w:rsid w:val="00516F5A"/>
    <w:rsid w:val="005200A2"/>
    <w:rsid w:val="0052063A"/>
    <w:rsid w:val="00521298"/>
    <w:rsid w:val="00521862"/>
    <w:rsid w:val="00522611"/>
    <w:rsid w:val="0052592A"/>
    <w:rsid w:val="00525AB5"/>
    <w:rsid w:val="005260BF"/>
    <w:rsid w:val="00527AD8"/>
    <w:rsid w:val="005314EC"/>
    <w:rsid w:val="0053186A"/>
    <w:rsid w:val="005320DE"/>
    <w:rsid w:val="00533D52"/>
    <w:rsid w:val="00534C63"/>
    <w:rsid w:val="0053590E"/>
    <w:rsid w:val="00536C53"/>
    <w:rsid w:val="00537563"/>
    <w:rsid w:val="00542F8A"/>
    <w:rsid w:val="0054350B"/>
    <w:rsid w:val="00543DFB"/>
    <w:rsid w:val="00546A05"/>
    <w:rsid w:val="0054756F"/>
    <w:rsid w:val="00547CDE"/>
    <w:rsid w:val="005505C3"/>
    <w:rsid w:val="00552140"/>
    <w:rsid w:val="005535DA"/>
    <w:rsid w:val="00553639"/>
    <w:rsid w:val="005543FF"/>
    <w:rsid w:val="005545B2"/>
    <w:rsid w:val="005558DB"/>
    <w:rsid w:val="005563D8"/>
    <w:rsid w:val="00560172"/>
    <w:rsid w:val="005604D6"/>
    <w:rsid w:val="005606EF"/>
    <w:rsid w:val="005609C0"/>
    <w:rsid w:val="00560FBC"/>
    <w:rsid w:val="005613F3"/>
    <w:rsid w:val="00563785"/>
    <w:rsid w:val="0056423A"/>
    <w:rsid w:val="0056431F"/>
    <w:rsid w:val="00566229"/>
    <w:rsid w:val="0056629F"/>
    <w:rsid w:val="005669C2"/>
    <w:rsid w:val="0057058A"/>
    <w:rsid w:val="0057105F"/>
    <w:rsid w:val="00572C4E"/>
    <w:rsid w:val="0057392F"/>
    <w:rsid w:val="00573A63"/>
    <w:rsid w:val="00574591"/>
    <w:rsid w:val="00575F23"/>
    <w:rsid w:val="00576633"/>
    <w:rsid w:val="005767CB"/>
    <w:rsid w:val="00577CA1"/>
    <w:rsid w:val="00582F3A"/>
    <w:rsid w:val="00583A84"/>
    <w:rsid w:val="005845A9"/>
    <w:rsid w:val="005871D0"/>
    <w:rsid w:val="00587E27"/>
    <w:rsid w:val="00590636"/>
    <w:rsid w:val="00591CC5"/>
    <w:rsid w:val="00592314"/>
    <w:rsid w:val="00592C25"/>
    <w:rsid w:val="00594E9F"/>
    <w:rsid w:val="00594EA1"/>
    <w:rsid w:val="00595231"/>
    <w:rsid w:val="005954BC"/>
    <w:rsid w:val="00596477"/>
    <w:rsid w:val="005A055C"/>
    <w:rsid w:val="005A0780"/>
    <w:rsid w:val="005A2706"/>
    <w:rsid w:val="005A2BDC"/>
    <w:rsid w:val="005A2BDD"/>
    <w:rsid w:val="005A2E1E"/>
    <w:rsid w:val="005A302C"/>
    <w:rsid w:val="005A4148"/>
    <w:rsid w:val="005B02AF"/>
    <w:rsid w:val="005B0672"/>
    <w:rsid w:val="005B0CF3"/>
    <w:rsid w:val="005B0E8F"/>
    <w:rsid w:val="005B1708"/>
    <w:rsid w:val="005B1C82"/>
    <w:rsid w:val="005B287D"/>
    <w:rsid w:val="005B617F"/>
    <w:rsid w:val="005B6B9B"/>
    <w:rsid w:val="005B70F1"/>
    <w:rsid w:val="005B7A01"/>
    <w:rsid w:val="005B7A4E"/>
    <w:rsid w:val="005C21EC"/>
    <w:rsid w:val="005C40D7"/>
    <w:rsid w:val="005C5343"/>
    <w:rsid w:val="005C56C1"/>
    <w:rsid w:val="005C7738"/>
    <w:rsid w:val="005C78E8"/>
    <w:rsid w:val="005D08EE"/>
    <w:rsid w:val="005D114F"/>
    <w:rsid w:val="005D2225"/>
    <w:rsid w:val="005D3394"/>
    <w:rsid w:val="005D3989"/>
    <w:rsid w:val="005D4789"/>
    <w:rsid w:val="005D5BB4"/>
    <w:rsid w:val="005D62CE"/>
    <w:rsid w:val="005D65DA"/>
    <w:rsid w:val="005D6919"/>
    <w:rsid w:val="005D6DA8"/>
    <w:rsid w:val="005D6E68"/>
    <w:rsid w:val="005E07D5"/>
    <w:rsid w:val="005E2634"/>
    <w:rsid w:val="005E3B69"/>
    <w:rsid w:val="005E49CD"/>
    <w:rsid w:val="005E4DE6"/>
    <w:rsid w:val="005E6165"/>
    <w:rsid w:val="005E72AE"/>
    <w:rsid w:val="005E7CF9"/>
    <w:rsid w:val="005F0337"/>
    <w:rsid w:val="005F1AE2"/>
    <w:rsid w:val="005F3C82"/>
    <w:rsid w:val="005F4266"/>
    <w:rsid w:val="005F4562"/>
    <w:rsid w:val="005F4DCB"/>
    <w:rsid w:val="00600400"/>
    <w:rsid w:val="0060294B"/>
    <w:rsid w:val="00604005"/>
    <w:rsid w:val="0060550C"/>
    <w:rsid w:val="00605AFD"/>
    <w:rsid w:val="00606E60"/>
    <w:rsid w:val="00612A4F"/>
    <w:rsid w:val="00616803"/>
    <w:rsid w:val="00616C0C"/>
    <w:rsid w:val="00617FED"/>
    <w:rsid w:val="00620308"/>
    <w:rsid w:val="00620D5C"/>
    <w:rsid w:val="006214A1"/>
    <w:rsid w:val="00621762"/>
    <w:rsid w:val="0062184C"/>
    <w:rsid w:val="00622D57"/>
    <w:rsid w:val="00625DA9"/>
    <w:rsid w:val="00626473"/>
    <w:rsid w:val="00627165"/>
    <w:rsid w:val="00627189"/>
    <w:rsid w:val="00627853"/>
    <w:rsid w:val="00627FC7"/>
    <w:rsid w:val="00630ABC"/>
    <w:rsid w:val="00630D35"/>
    <w:rsid w:val="00630FF0"/>
    <w:rsid w:val="006323D5"/>
    <w:rsid w:val="00632658"/>
    <w:rsid w:val="006331C9"/>
    <w:rsid w:val="00635D60"/>
    <w:rsid w:val="006376A8"/>
    <w:rsid w:val="00637DC5"/>
    <w:rsid w:val="006431DD"/>
    <w:rsid w:val="00643CDE"/>
    <w:rsid w:val="00645806"/>
    <w:rsid w:val="00645D9D"/>
    <w:rsid w:val="0064651E"/>
    <w:rsid w:val="006504E1"/>
    <w:rsid w:val="006512BB"/>
    <w:rsid w:val="00651F05"/>
    <w:rsid w:val="006531FB"/>
    <w:rsid w:val="006537AA"/>
    <w:rsid w:val="00653BB4"/>
    <w:rsid w:val="00653D44"/>
    <w:rsid w:val="00655165"/>
    <w:rsid w:val="006565FC"/>
    <w:rsid w:val="00657038"/>
    <w:rsid w:val="00660490"/>
    <w:rsid w:val="00660D44"/>
    <w:rsid w:val="0066167C"/>
    <w:rsid w:val="0066189B"/>
    <w:rsid w:val="00662CD8"/>
    <w:rsid w:val="006636C8"/>
    <w:rsid w:val="006647D1"/>
    <w:rsid w:val="006647D6"/>
    <w:rsid w:val="00665239"/>
    <w:rsid w:val="00666EFF"/>
    <w:rsid w:val="00667035"/>
    <w:rsid w:val="00672410"/>
    <w:rsid w:val="00672574"/>
    <w:rsid w:val="00673B56"/>
    <w:rsid w:val="00674C80"/>
    <w:rsid w:val="00674CF2"/>
    <w:rsid w:val="00676456"/>
    <w:rsid w:val="00677EC6"/>
    <w:rsid w:val="0068351B"/>
    <w:rsid w:val="00683B60"/>
    <w:rsid w:val="0068542D"/>
    <w:rsid w:val="006866F5"/>
    <w:rsid w:val="00686B54"/>
    <w:rsid w:val="00686ED3"/>
    <w:rsid w:val="00687577"/>
    <w:rsid w:val="006876AA"/>
    <w:rsid w:val="00687DC9"/>
    <w:rsid w:val="00690B21"/>
    <w:rsid w:val="006915F7"/>
    <w:rsid w:val="006926B3"/>
    <w:rsid w:val="00692DAB"/>
    <w:rsid w:val="0069413E"/>
    <w:rsid w:val="00696146"/>
    <w:rsid w:val="00696197"/>
    <w:rsid w:val="00696AA3"/>
    <w:rsid w:val="00697B20"/>
    <w:rsid w:val="006A02AD"/>
    <w:rsid w:val="006A10AD"/>
    <w:rsid w:val="006A15C7"/>
    <w:rsid w:val="006A21C8"/>
    <w:rsid w:val="006A5B8C"/>
    <w:rsid w:val="006A6976"/>
    <w:rsid w:val="006A77F3"/>
    <w:rsid w:val="006A7D93"/>
    <w:rsid w:val="006A7FD0"/>
    <w:rsid w:val="006B195E"/>
    <w:rsid w:val="006B32FE"/>
    <w:rsid w:val="006B3570"/>
    <w:rsid w:val="006B3FF9"/>
    <w:rsid w:val="006B543B"/>
    <w:rsid w:val="006B59BD"/>
    <w:rsid w:val="006B73B4"/>
    <w:rsid w:val="006C0142"/>
    <w:rsid w:val="006C070C"/>
    <w:rsid w:val="006C22DE"/>
    <w:rsid w:val="006C2642"/>
    <w:rsid w:val="006C3830"/>
    <w:rsid w:val="006C510C"/>
    <w:rsid w:val="006C54A5"/>
    <w:rsid w:val="006C5E78"/>
    <w:rsid w:val="006C6F64"/>
    <w:rsid w:val="006C7CBA"/>
    <w:rsid w:val="006D131B"/>
    <w:rsid w:val="006D226C"/>
    <w:rsid w:val="006D436C"/>
    <w:rsid w:val="006D438F"/>
    <w:rsid w:val="006D60CA"/>
    <w:rsid w:val="006D7EC1"/>
    <w:rsid w:val="006E007F"/>
    <w:rsid w:val="006E03E9"/>
    <w:rsid w:val="006E1E6C"/>
    <w:rsid w:val="006E2A57"/>
    <w:rsid w:val="006E41A3"/>
    <w:rsid w:val="006E4A14"/>
    <w:rsid w:val="006E66CC"/>
    <w:rsid w:val="006E69BE"/>
    <w:rsid w:val="006E6ADD"/>
    <w:rsid w:val="006E79B1"/>
    <w:rsid w:val="006F12FB"/>
    <w:rsid w:val="006F2192"/>
    <w:rsid w:val="006F2908"/>
    <w:rsid w:val="006F2C0D"/>
    <w:rsid w:val="006F310F"/>
    <w:rsid w:val="006F457A"/>
    <w:rsid w:val="006F557D"/>
    <w:rsid w:val="006F57E4"/>
    <w:rsid w:val="006F5BEB"/>
    <w:rsid w:val="006F5C31"/>
    <w:rsid w:val="006F746E"/>
    <w:rsid w:val="00700BEB"/>
    <w:rsid w:val="00701189"/>
    <w:rsid w:val="0070129D"/>
    <w:rsid w:val="00702B2D"/>
    <w:rsid w:val="00702C92"/>
    <w:rsid w:val="00702CB0"/>
    <w:rsid w:val="00703DF4"/>
    <w:rsid w:val="00705801"/>
    <w:rsid w:val="007059EA"/>
    <w:rsid w:val="00705B65"/>
    <w:rsid w:val="0070601F"/>
    <w:rsid w:val="00707F9C"/>
    <w:rsid w:val="007114EC"/>
    <w:rsid w:val="007131DD"/>
    <w:rsid w:val="0071375A"/>
    <w:rsid w:val="00713BC7"/>
    <w:rsid w:val="00714305"/>
    <w:rsid w:val="007151AA"/>
    <w:rsid w:val="00715781"/>
    <w:rsid w:val="00715D5B"/>
    <w:rsid w:val="00716130"/>
    <w:rsid w:val="007204A8"/>
    <w:rsid w:val="00720C20"/>
    <w:rsid w:val="007215AB"/>
    <w:rsid w:val="00721673"/>
    <w:rsid w:val="00721AC2"/>
    <w:rsid w:val="00721B55"/>
    <w:rsid w:val="00722772"/>
    <w:rsid w:val="00722B26"/>
    <w:rsid w:val="00723D8B"/>
    <w:rsid w:val="00726F72"/>
    <w:rsid w:val="0072748D"/>
    <w:rsid w:val="007277DE"/>
    <w:rsid w:val="00733796"/>
    <w:rsid w:val="00733A62"/>
    <w:rsid w:val="00733C2A"/>
    <w:rsid w:val="00734289"/>
    <w:rsid w:val="00734C20"/>
    <w:rsid w:val="00736FA6"/>
    <w:rsid w:val="0074203F"/>
    <w:rsid w:val="00742C2C"/>
    <w:rsid w:val="00743331"/>
    <w:rsid w:val="00743406"/>
    <w:rsid w:val="00743B2A"/>
    <w:rsid w:val="00743C85"/>
    <w:rsid w:val="00743D0E"/>
    <w:rsid w:val="0074403A"/>
    <w:rsid w:val="007444B3"/>
    <w:rsid w:val="0074686C"/>
    <w:rsid w:val="007469EF"/>
    <w:rsid w:val="00747F0A"/>
    <w:rsid w:val="00750413"/>
    <w:rsid w:val="0075437B"/>
    <w:rsid w:val="00754D17"/>
    <w:rsid w:val="00755694"/>
    <w:rsid w:val="00755CEF"/>
    <w:rsid w:val="0075680D"/>
    <w:rsid w:val="00760423"/>
    <w:rsid w:val="0076045E"/>
    <w:rsid w:val="0076061F"/>
    <w:rsid w:val="00760CC6"/>
    <w:rsid w:val="00762560"/>
    <w:rsid w:val="007627CE"/>
    <w:rsid w:val="00763AC7"/>
    <w:rsid w:val="00764200"/>
    <w:rsid w:val="007648FD"/>
    <w:rsid w:val="00765A12"/>
    <w:rsid w:val="00766D8A"/>
    <w:rsid w:val="00767096"/>
    <w:rsid w:val="00767999"/>
    <w:rsid w:val="00770C9C"/>
    <w:rsid w:val="007718BD"/>
    <w:rsid w:val="00773F47"/>
    <w:rsid w:val="0077543A"/>
    <w:rsid w:val="00776532"/>
    <w:rsid w:val="0077659C"/>
    <w:rsid w:val="00777002"/>
    <w:rsid w:val="00781553"/>
    <w:rsid w:val="007820E1"/>
    <w:rsid w:val="00782519"/>
    <w:rsid w:val="00782BD7"/>
    <w:rsid w:val="0078307A"/>
    <w:rsid w:val="00784DA7"/>
    <w:rsid w:val="00784E4F"/>
    <w:rsid w:val="00785510"/>
    <w:rsid w:val="00786B09"/>
    <w:rsid w:val="00787D2A"/>
    <w:rsid w:val="0079110D"/>
    <w:rsid w:val="00791555"/>
    <w:rsid w:val="007924DD"/>
    <w:rsid w:val="00792599"/>
    <w:rsid w:val="007933C3"/>
    <w:rsid w:val="00793999"/>
    <w:rsid w:val="00794CD5"/>
    <w:rsid w:val="007956D4"/>
    <w:rsid w:val="007956E7"/>
    <w:rsid w:val="00797D15"/>
    <w:rsid w:val="007A04AD"/>
    <w:rsid w:val="007A1017"/>
    <w:rsid w:val="007A1838"/>
    <w:rsid w:val="007A20AB"/>
    <w:rsid w:val="007A2F90"/>
    <w:rsid w:val="007A3495"/>
    <w:rsid w:val="007A40B7"/>
    <w:rsid w:val="007A417C"/>
    <w:rsid w:val="007A4229"/>
    <w:rsid w:val="007A4A92"/>
    <w:rsid w:val="007A5A03"/>
    <w:rsid w:val="007A7193"/>
    <w:rsid w:val="007A763B"/>
    <w:rsid w:val="007B0232"/>
    <w:rsid w:val="007B0F9E"/>
    <w:rsid w:val="007B12D3"/>
    <w:rsid w:val="007B17A3"/>
    <w:rsid w:val="007B26FF"/>
    <w:rsid w:val="007B3BE2"/>
    <w:rsid w:val="007B4109"/>
    <w:rsid w:val="007B4821"/>
    <w:rsid w:val="007B5354"/>
    <w:rsid w:val="007B5C57"/>
    <w:rsid w:val="007B5EF2"/>
    <w:rsid w:val="007B63AA"/>
    <w:rsid w:val="007C033A"/>
    <w:rsid w:val="007C0873"/>
    <w:rsid w:val="007C0892"/>
    <w:rsid w:val="007C0F32"/>
    <w:rsid w:val="007C15F6"/>
    <w:rsid w:val="007C1D05"/>
    <w:rsid w:val="007C2922"/>
    <w:rsid w:val="007C3500"/>
    <w:rsid w:val="007C4C49"/>
    <w:rsid w:val="007C5878"/>
    <w:rsid w:val="007C5F92"/>
    <w:rsid w:val="007C6323"/>
    <w:rsid w:val="007C65E4"/>
    <w:rsid w:val="007C7CF7"/>
    <w:rsid w:val="007D07EA"/>
    <w:rsid w:val="007D0894"/>
    <w:rsid w:val="007D08B4"/>
    <w:rsid w:val="007D0ADD"/>
    <w:rsid w:val="007D12AA"/>
    <w:rsid w:val="007D4C59"/>
    <w:rsid w:val="007D5B88"/>
    <w:rsid w:val="007D5BD0"/>
    <w:rsid w:val="007D7601"/>
    <w:rsid w:val="007E0032"/>
    <w:rsid w:val="007E0175"/>
    <w:rsid w:val="007E1751"/>
    <w:rsid w:val="007E4BF1"/>
    <w:rsid w:val="007E5841"/>
    <w:rsid w:val="007E6412"/>
    <w:rsid w:val="007E6600"/>
    <w:rsid w:val="007E664D"/>
    <w:rsid w:val="007E7532"/>
    <w:rsid w:val="007E786D"/>
    <w:rsid w:val="007F103C"/>
    <w:rsid w:val="007F12E7"/>
    <w:rsid w:val="007F2156"/>
    <w:rsid w:val="007F2AEE"/>
    <w:rsid w:val="007F33D2"/>
    <w:rsid w:val="007F3B28"/>
    <w:rsid w:val="007F4D93"/>
    <w:rsid w:val="007F5DBF"/>
    <w:rsid w:val="007F6AF1"/>
    <w:rsid w:val="007F791C"/>
    <w:rsid w:val="007F7F0C"/>
    <w:rsid w:val="007F7FCA"/>
    <w:rsid w:val="0080076C"/>
    <w:rsid w:val="00801156"/>
    <w:rsid w:val="00801CF6"/>
    <w:rsid w:val="00801E26"/>
    <w:rsid w:val="00802D4E"/>
    <w:rsid w:val="008032AA"/>
    <w:rsid w:val="0080448A"/>
    <w:rsid w:val="00805B65"/>
    <w:rsid w:val="00805F81"/>
    <w:rsid w:val="00807A6D"/>
    <w:rsid w:val="00807C85"/>
    <w:rsid w:val="00810699"/>
    <w:rsid w:val="0081080B"/>
    <w:rsid w:val="008122AF"/>
    <w:rsid w:val="00812471"/>
    <w:rsid w:val="008134E7"/>
    <w:rsid w:val="00813636"/>
    <w:rsid w:val="00814132"/>
    <w:rsid w:val="00814948"/>
    <w:rsid w:val="00816740"/>
    <w:rsid w:val="00817D27"/>
    <w:rsid w:val="00821DB1"/>
    <w:rsid w:val="00822656"/>
    <w:rsid w:val="008230F4"/>
    <w:rsid w:val="008236CF"/>
    <w:rsid w:val="008236D2"/>
    <w:rsid w:val="008238DA"/>
    <w:rsid w:val="00823A93"/>
    <w:rsid w:val="00823DBD"/>
    <w:rsid w:val="00824A84"/>
    <w:rsid w:val="00825C2F"/>
    <w:rsid w:val="00826650"/>
    <w:rsid w:val="008302F1"/>
    <w:rsid w:val="0083134D"/>
    <w:rsid w:val="00831C8F"/>
    <w:rsid w:val="0083201E"/>
    <w:rsid w:val="00832983"/>
    <w:rsid w:val="00832BAF"/>
    <w:rsid w:val="00832FA3"/>
    <w:rsid w:val="00834378"/>
    <w:rsid w:val="00834DCC"/>
    <w:rsid w:val="008360DB"/>
    <w:rsid w:val="008368F8"/>
    <w:rsid w:val="008378F5"/>
    <w:rsid w:val="00840FDE"/>
    <w:rsid w:val="00840FE6"/>
    <w:rsid w:val="00841079"/>
    <w:rsid w:val="00842C30"/>
    <w:rsid w:val="00843B73"/>
    <w:rsid w:val="0084424C"/>
    <w:rsid w:val="008442C5"/>
    <w:rsid w:val="008443AC"/>
    <w:rsid w:val="00845976"/>
    <w:rsid w:val="00845DEA"/>
    <w:rsid w:val="00846A58"/>
    <w:rsid w:val="00846F6C"/>
    <w:rsid w:val="00847B13"/>
    <w:rsid w:val="00847D35"/>
    <w:rsid w:val="0085130D"/>
    <w:rsid w:val="00851442"/>
    <w:rsid w:val="008521C6"/>
    <w:rsid w:val="008524E7"/>
    <w:rsid w:val="00855BF4"/>
    <w:rsid w:val="00857534"/>
    <w:rsid w:val="00857F89"/>
    <w:rsid w:val="00860C82"/>
    <w:rsid w:val="00861591"/>
    <w:rsid w:val="00864BA9"/>
    <w:rsid w:val="00866118"/>
    <w:rsid w:val="00867DD8"/>
    <w:rsid w:val="008716E3"/>
    <w:rsid w:val="00871B0D"/>
    <w:rsid w:val="0087212F"/>
    <w:rsid w:val="00873533"/>
    <w:rsid w:val="00874033"/>
    <w:rsid w:val="0087510F"/>
    <w:rsid w:val="00876798"/>
    <w:rsid w:val="00877202"/>
    <w:rsid w:val="0087726E"/>
    <w:rsid w:val="00877699"/>
    <w:rsid w:val="00882D95"/>
    <w:rsid w:val="008845C0"/>
    <w:rsid w:val="008858B9"/>
    <w:rsid w:val="00886480"/>
    <w:rsid w:val="008868C0"/>
    <w:rsid w:val="00887E5D"/>
    <w:rsid w:val="00892BF5"/>
    <w:rsid w:val="008936A7"/>
    <w:rsid w:val="008941FC"/>
    <w:rsid w:val="00894205"/>
    <w:rsid w:val="0089487A"/>
    <w:rsid w:val="00894F85"/>
    <w:rsid w:val="008950C1"/>
    <w:rsid w:val="00895931"/>
    <w:rsid w:val="00895F9D"/>
    <w:rsid w:val="0089645A"/>
    <w:rsid w:val="00897567"/>
    <w:rsid w:val="008A00CE"/>
    <w:rsid w:val="008A07AA"/>
    <w:rsid w:val="008A1C05"/>
    <w:rsid w:val="008A244A"/>
    <w:rsid w:val="008A29C0"/>
    <w:rsid w:val="008A3161"/>
    <w:rsid w:val="008A3388"/>
    <w:rsid w:val="008A3D81"/>
    <w:rsid w:val="008A4E5C"/>
    <w:rsid w:val="008A5A1A"/>
    <w:rsid w:val="008A64A4"/>
    <w:rsid w:val="008A7642"/>
    <w:rsid w:val="008B1ACE"/>
    <w:rsid w:val="008B2256"/>
    <w:rsid w:val="008B45D9"/>
    <w:rsid w:val="008B4E54"/>
    <w:rsid w:val="008B4F34"/>
    <w:rsid w:val="008B53D7"/>
    <w:rsid w:val="008B7598"/>
    <w:rsid w:val="008C0BF8"/>
    <w:rsid w:val="008C16E4"/>
    <w:rsid w:val="008C3CAB"/>
    <w:rsid w:val="008C4237"/>
    <w:rsid w:val="008C426D"/>
    <w:rsid w:val="008C4444"/>
    <w:rsid w:val="008C4C85"/>
    <w:rsid w:val="008C6A6C"/>
    <w:rsid w:val="008C6E57"/>
    <w:rsid w:val="008D03B4"/>
    <w:rsid w:val="008D0B83"/>
    <w:rsid w:val="008D1458"/>
    <w:rsid w:val="008D2058"/>
    <w:rsid w:val="008D27F3"/>
    <w:rsid w:val="008D4113"/>
    <w:rsid w:val="008D42EF"/>
    <w:rsid w:val="008D44E1"/>
    <w:rsid w:val="008D5046"/>
    <w:rsid w:val="008D6C7C"/>
    <w:rsid w:val="008D75F4"/>
    <w:rsid w:val="008E0217"/>
    <w:rsid w:val="008E1A07"/>
    <w:rsid w:val="008E24BF"/>
    <w:rsid w:val="008E2AAA"/>
    <w:rsid w:val="008E3776"/>
    <w:rsid w:val="008E38BD"/>
    <w:rsid w:val="008E43BA"/>
    <w:rsid w:val="008E4652"/>
    <w:rsid w:val="008E62A9"/>
    <w:rsid w:val="008E6325"/>
    <w:rsid w:val="008E7120"/>
    <w:rsid w:val="008F0F06"/>
    <w:rsid w:val="008F11BC"/>
    <w:rsid w:val="008F21FF"/>
    <w:rsid w:val="008F337C"/>
    <w:rsid w:val="008F4017"/>
    <w:rsid w:val="008F4CBB"/>
    <w:rsid w:val="008F502C"/>
    <w:rsid w:val="008F5C5B"/>
    <w:rsid w:val="00900132"/>
    <w:rsid w:val="009001CD"/>
    <w:rsid w:val="0090055F"/>
    <w:rsid w:val="009008D6"/>
    <w:rsid w:val="009008EA"/>
    <w:rsid w:val="00901F6D"/>
    <w:rsid w:val="009020BE"/>
    <w:rsid w:val="00902E5B"/>
    <w:rsid w:val="0090452D"/>
    <w:rsid w:val="00905427"/>
    <w:rsid w:val="00905746"/>
    <w:rsid w:val="0090597E"/>
    <w:rsid w:val="00905987"/>
    <w:rsid w:val="00906811"/>
    <w:rsid w:val="00907745"/>
    <w:rsid w:val="00907A9A"/>
    <w:rsid w:val="00910A57"/>
    <w:rsid w:val="009125EB"/>
    <w:rsid w:val="0091451B"/>
    <w:rsid w:val="00914815"/>
    <w:rsid w:val="009169F8"/>
    <w:rsid w:val="00916E70"/>
    <w:rsid w:val="009173E3"/>
    <w:rsid w:val="00920089"/>
    <w:rsid w:val="00920B33"/>
    <w:rsid w:val="00920E9F"/>
    <w:rsid w:val="00921218"/>
    <w:rsid w:val="009217BA"/>
    <w:rsid w:val="00922986"/>
    <w:rsid w:val="00923759"/>
    <w:rsid w:val="00924807"/>
    <w:rsid w:val="009249E3"/>
    <w:rsid w:val="009270FC"/>
    <w:rsid w:val="00927250"/>
    <w:rsid w:val="009274E9"/>
    <w:rsid w:val="00930CE8"/>
    <w:rsid w:val="009310DF"/>
    <w:rsid w:val="0093114D"/>
    <w:rsid w:val="0093132A"/>
    <w:rsid w:val="0093178A"/>
    <w:rsid w:val="00931B80"/>
    <w:rsid w:val="00931DE0"/>
    <w:rsid w:val="0093261F"/>
    <w:rsid w:val="0093266E"/>
    <w:rsid w:val="00933778"/>
    <w:rsid w:val="009344CC"/>
    <w:rsid w:val="00934994"/>
    <w:rsid w:val="00934E00"/>
    <w:rsid w:val="0094178D"/>
    <w:rsid w:val="00941E95"/>
    <w:rsid w:val="009424E3"/>
    <w:rsid w:val="009427CE"/>
    <w:rsid w:val="009444DF"/>
    <w:rsid w:val="009459D0"/>
    <w:rsid w:val="00947548"/>
    <w:rsid w:val="009478B0"/>
    <w:rsid w:val="00947DBA"/>
    <w:rsid w:val="00950A41"/>
    <w:rsid w:val="0095336A"/>
    <w:rsid w:val="00953817"/>
    <w:rsid w:val="00953E69"/>
    <w:rsid w:val="00953FD5"/>
    <w:rsid w:val="0095690B"/>
    <w:rsid w:val="00957366"/>
    <w:rsid w:val="0096064B"/>
    <w:rsid w:val="00960BD0"/>
    <w:rsid w:val="0096122B"/>
    <w:rsid w:val="009617A4"/>
    <w:rsid w:val="00961866"/>
    <w:rsid w:val="009631EA"/>
    <w:rsid w:val="009636F5"/>
    <w:rsid w:val="0096378B"/>
    <w:rsid w:val="00963C7B"/>
    <w:rsid w:val="0096428F"/>
    <w:rsid w:val="00964632"/>
    <w:rsid w:val="00966214"/>
    <w:rsid w:val="0097095A"/>
    <w:rsid w:val="00971C90"/>
    <w:rsid w:val="00972146"/>
    <w:rsid w:val="00973386"/>
    <w:rsid w:val="00973FC3"/>
    <w:rsid w:val="00973FC4"/>
    <w:rsid w:val="00975893"/>
    <w:rsid w:val="00975E77"/>
    <w:rsid w:val="00975EEF"/>
    <w:rsid w:val="0097677E"/>
    <w:rsid w:val="0097757A"/>
    <w:rsid w:val="00977AD0"/>
    <w:rsid w:val="00977C2A"/>
    <w:rsid w:val="00977CCB"/>
    <w:rsid w:val="009802A4"/>
    <w:rsid w:val="0098090B"/>
    <w:rsid w:val="00980F52"/>
    <w:rsid w:val="00982B86"/>
    <w:rsid w:val="00983755"/>
    <w:rsid w:val="0098721B"/>
    <w:rsid w:val="0099003B"/>
    <w:rsid w:val="00990789"/>
    <w:rsid w:val="009929E0"/>
    <w:rsid w:val="009936C1"/>
    <w:rsid w:val="0099435D"/>
    <w:rsid w:val="00995258"/>
    <w:rsid w:val="009A0B7B"/>
    <w:rsid w:val="009A2B34"/>
    <w:rsid w:val="009A32E5"/>
    <w:rsid w:val="009A367A"/>
    <w:rsid w:val="009A376B"/>
    <w:rsid w:val="009A60E3"/>
    <w:rsid w:val="009A7FEE"/>
    <w:rsid w:val="009B0A93"/>
    <w:rsid w:val="009B1225"/>
    <w:rsid w:val="009B167E"/>
    <w:rsid w:val="009B3A05"/>
    <w:rsid w:val="009B41A2"/>
    <w:rsid w:val="009B4DB2"/>
    <w:rsid w:val="009B57E2"/>
    <w:rsid w:val="009B6100"/>
    <w:rsid w:val="009B6448"/>
    <w:rsid w:val="009C0959"/>
    <w:rsid w:val="009C0C1F"/>
    <w:rsid w:val="009C206B"/>
    <w:rsid w:val="009C232C"/>
    <w:rsid w:val="009C28F8"/>
    <w:rsid w:val="009C2E9A"/>
    <w:rsid w:val="009C3FFB"/>
    <w:rsid w:val="009C410B"/>
    <w:rsid w:val="009C51B2"/>
    <w:rsid w:val="009C5CBC"/>
    <w:rsid w:val="009C6248"/>
    <w:rsid w:val="009C68EB"/>
    <w:rsid w:val="009C6903"/>
    <w:rsid w:val="009C6E6A"/>
    <w:rsid w:val="009C76C2"/>
    <w:rsid w:val="009D1338"/>
    <w:rsid w:val="009D1F21"/>
    <w:rsid w:val="009D3938"/>
    <w:rsid w:val="009D4CDC"/>
    <w:rsid w:val="009D54F2"/>
    <w:rsid w:val="009D6826"/>
    <w:rsid w:val="009D77E1"/>
    <w:rsid w:val="009E0055"/>
    <w:rsid w:val="009E0775"/>
    <w:rsid w:val="009E1C75"/>
    <w:rsid w:val="009E2041"/>
    <w:rsid w:val="009E235E"/>
    <w:rsid w:val="009E3228"/>
    <w:rsid w:val="009E329F"/>
    <w:rsid w:val="009E4DF0"/>
    <w:rsid w:val="009E4F44"/>
    <w:rsid w:val="009E531F"/>
    <w:rsid w:val="009E6F2A"/>
    <w:rsid w:val="009F00A2"/>
    <w:rsid w:val="009F1DB5"/>
    <w:rsid w:val="009F2E47"/>
    <w:rsid w:val="009F3803"/>
    <w:rsid w:val="009F38DE"/>
    <w:rsid w:val="009F3F76"/>
    <w:rsid w:val="009F4FEA"/>
    <w:rsid w:val="009F52FF"/>
    <w:rsid w:val="009F5656"/>
    <w:rsid w:val="009F63ED"/>
    <w:rsid w:val="009F7AE7"/>
    <w:rsid w:val="00A009C8"/>
    <w:rsid w:val="00A01F56"/>
    <w:rsid w:val="00A020CD"/>
    <w:rsid w:val="00A02D0A"/>
    <w:rsid w:val="00A02FBF"/>
    <w:rsid w:val="00A03357"/>
    <w:rsid w:val="00A042E7"/>
    <w:rsid w:val="00A07559"/>
    <w:rsid w:val="00A114C2"/>
    <w:rsid w:val="00A11838"/>
    <w:rsid w:val="00A11B62"/>
    <w:rsid w:val="00A11C51"/>
    <w:rsid w:val="00A123C5"/>
    <w:rsid w:val="00A125FE"/>
    <w:rsid w:val="00A12AE7"/>
    <w:rsid w:val="00A12D04"/>
    <w:rsid w:val="00A13B3E"/>
    <w:rsid w:val="00A14B0C"/>
    <w:rsid w:val="00A14F88"/>
    <w:rsid w:val="00A150A0"/>
    <w:rsid w:val="00A15B10"/>
    <w:rsid w:val="00A15CDB"/>
    <w:rsid w:val="00A169C0"/>
    <w:rsid w:val="00A16C29"/>
    <w:rsid w:val="00A17D21"/>
    <w:rsid w:val="00A20370"/>
    <w:rsid w:val="00A20442"/>
    <w:rsid w:val="00A21995"/>
    <w:rsid w:val="00A21B36"/>
    <w:rsid w:val="00A21F1D"/>
    <w:rsid w:val="00A2232E"/>
    <w:rsid w:val="00A2480F"/>
    <w:rsid w:val="00A24BC5"/>
    <w:rsid w:val="00A24DBA"/>
    <w:rsid w:val="00A256BB"/>
    <w:rsid w:val="00A25AD8"/>
    <w:rsid w:val="00A264F0"/>
    <w:rsid w:val="00A27E4D"/>
    <w:rsid w:val="00A302A1"/>
    <w:rsid w:val="00A30920"/>
    <w:rsid w:val="00A30AC5"/>
    <w:rsid w:val="00A33DF3"/>
    <w:rsid w:val="00A34150"/>
    <w:rsid w:val="00A355C8"/>
    <w:rsid w:val="00A363B0"/>
    <w:rsid w:val="00A36693"/>
    <w:rsid w:val="00A37DD1"/>
    <w:rsid w:val="00A4035F"/>
    <w:rsid w:val="00A40416"/>
    <w:rsid w:val="00A41678"/>
    <w:rsid w:val="00A4215D"/>
    <w:rsid w:val="00A42E65"/>
    <w:rsid w:val="00A44F4F"/>
    <w:rsid w:val="00A4608E"/>
    <w:rsid w:val="00A46CE9"/>
    <w:rsid w:val="00A47EAD"/>
    <w:rsid w:val="00A504A0"/>
    <w:rsid w:val="00A50C7E"/>
    <w:rsid w:val="00A5148F"/>
    <w:rsid w:val="00A52D71"/>
    <w:rsid w:val="00A53121"/>
    <w:rsid w:val="00A546C1"/>
    <w:rsid w:val="00A5589D"/>
    <w:rsid w:val="00A561F7"/>
    <w:rsid w:val="00A572FE"/>
    <w:rsid w:val="00A57533"/>
    <w:rsid w:val="00A577B3"/>
    <w:rsid w:val="00A57BE2"/>
    <w:rsid w:val="00A57BE7"/>
    <w:rsid w:val="00A600E6"/>
    <w:rsid w:val="00A60F10"/>
    <w:rsid w:val="00A6112F"/>
    <w:rsid w:val="00A61716"/>
    <w:rsid w:val="00A62A4D"/>
    <w:rsid w:val="00A63858"/>
    <w:rsid w:val="00A63A74"/>
    <w:rsid w:val="00A64F0F"/>
    <w:rsid w:val="00A65B9B"/>
    <w:rsid w:val="00A65DA9"/>
    <w:rsid w:val="00A66109"/>
    <w:rsid w:val="00A6767B"/>
    <w:rsid w:val="00A67A34"/>
    <w:rsid w:val="00A67B6E"/>
    <w:rsid w:val="00A709D7"/>
    <w:rsid w:val="00A71062"/>
    <w:rsid w:val="00A72F71"/>
    <w:rsid w:val="00A730C7"/>
    <w:rsid w:val="00A76009"/>
    <w:rsid w:val="00A76FFB"/>
    <w:rsid w:val="00A77302"/>
    <w:rsid w:val="00A805A3"/>
    <w:rsid w:val="00A80C32"/>
    <w:rsid w:val="00A82375"/>
    <w:rsid w:val="00A830EE"/>
    <w:rsid w:val="00A83893"/>
    <w:rsid w:val="00A84C7C"/>
    <w:rsid w:val="00A855EF"/>
    <w:rsid w:val="00A863D5"/>
    <w:rsid w:val="00A8685E"/>
    <w:rsid w:val="00A86C16"/>
    <w:rsid w:val="00A87CC2"/>
    <w:rsid w:val="00A93927"/>
    <w:rsid w:val="00A94A7B"/>
    <w:rsid w:val="00A94D70"/>
    <w:rsid w:val="00A95161"/>
    <w:rsid w:val="00A95319"/>
    <w:rsid w:val="00A95E76"/>
    <w:rsid w:val="00A96161"/>
    <w:rsid w:val="00A964E7"/>
    <w:rsid w:val="00AA0181"/>
    <w:rsid w:val="00AA176B"/>
    <w:rsid w:val="00AA24A6"/>
    <w:rsid w:val="00AA3C2F"/>
    <w:rsid w:val="00AA3E05"/>
    <w:rsid w:val="00AA4387"/>
    <w:rsid w:val="00AA5C3B"/>
    <w:rsid w:val="00AA5CA9"/>
    <w:rsid w:val="00AA6AF1"/>
    <w:rsid w:val="00AA7833"/>
    <w:rsid w:val="00AB03BC"/>
    <w:rsid w:val="00AB0D2A"/>
    <w:rsid w:val="00AB1150"/>
    <w:rsid w:val="00AB282A"/>
    <w:rsid w:val="00AB4984"/>
    <w:rsid w:val="00AB4CBD"/>
    <w:rsid w:val="00AB5955"/>
    <w:rsid w:val="00AB5F68"/>
    <w:rsid w:val="00AB7491"/>
    <w:rsid w:val="00AB74EA"/>
    <w:rsid w:val="00AB7ABD"/>
    <w:rsid w:val="00AC0ABB"/>
    <w:rsid w:val="00AC2479"/>
    <w:rsid w:val="00AC3362"/>
    <w:rsid w:val="00AC3BE2"/>
    <w:rsid w:val="00AC3D45"/>
    <w:rsid w:val="00AC43C4"/>
    <w:rsid w:val="00AC4B26"/>
    <w:rsid w:val="00AC4BB3"/>
    <w:rsid w:val="00AC5900"/>
    <w:rsid w:val="00AC62FF"/>
    <w:rsid w:val="00AC6955"/>
    <w:rsid w:val="00AC78DB"/>
    <w:rsid w:val="00AC7E79"/>
    <w:rsid w:val="00AD18E6"/>
    <w:rsid w:val="00AD3F86"/>
    <w:rsid w:val="00AD4318"/>
    <w:rsid w:val="00AD46CF"/>
    <w:rsid w:val="00AD49CA"/>
    <w:rsid w:val="00AD4C1F"/>
    <w:rsid w:val="00AD4DB1"/>
    <w:rsid w:val="00AD5E6D"/>
    <w:rsid w:val="00AD790E"/>
    <w:rsid w:val="00AE04D6"/>
    <w:rsid w:val="00AE15AA"/>
    <w:rsid w:val="00AE1C38"/>
    <w:rsid w:val="00AE21FF"/>
    <w:rsid w:val="00AE2A07"/>
    <w:rsid w:val="00AE39F0"/>
    <w:rsid w:val="00AE408E"/>
    <w:rsid w:val="00AE5281"/>
    <w:rsid w:val="00AE63C5"/>
    <w:rsid w:val="00AE66C3"/>
    <w:rsid w:val="00AE73B3"/>
    <w:rsid w:val="00AF05DF"/>
    <w:rsid w:val="00AF0766"/>
    <w:rsid w:val="00AF0F5E"/>
    <w:rsid w:val="00AF1E6A"/>
    <w:rsid w:val="00AF3B3C"/>
    <w:rsid w:val="00AF3BF0"/>
    <w:rsid w:val="00AF4595"/>
    <w:rsid w:val="00AF4800"/>
    <w:rsid w:val="00AF5016"/>
    <w:rsid w:val="00AF52BC"/>
    <w:rsid w:val="00AF53C6"/>
    <w:rsid w:val="00AF70EA"/>
    <w:rsid w:val="00AF71A9"/>
    <w:rsid w:val="00AF7511"/>
    <w:rsid w:val="00B0053F"/>
    <w:rsid w:val="00B0090F"/>
    <w:rsid w:val="00B00B9E"/>
    <w:rsid w:val="00B0182B"/>
    <w:rsid w:val="00B02827"/>
    <w:rsid w:val="00B02CA2"/>
    <w:rsid w:val="00B04973"/>
    <w:rsid w:val="00B0588D"/>
    <w:rsid w:val="00B06605"/>
    <w:rsid w:val="00B0713D"/>
    <w:rsid w:val="00B101C7"/>
    <w:rsid w:val="00B10851"/>
    <w:rsid w:val="00B10ACA"/>
    <w:rsid w:val="00B121B5"/>
    <w:rsid w:val="00B12C7D"/>
    <w:rsid w:val="00B13680"/>
    <w:rsid w:val="00B14888"/>
    <w:rsid w:val="00B148C3"/>
    <w:rsid w:val="00B1497A"/>
    <w:rsid w:val="00B17323"/>
    <w:rsid w:val="00B2011A"/>
    <w:rsid w:val="00B2108B"/>
    <w:rsid w:val="00B22401"/>
    <w:rsid w:val="00B22A9E"/>
    <w:rsid w:val="00B23535"/>
    <w:rsid w:val="00B24737"/>
    <w:rsid w:val="00B25B8A"/>
    <w:rsid w:val="00B25CE2"/>
    <w:rsid w:val="00B26315"/>
    <w:rsid w:val="00B267E1"/>
    <w:rsid w:val="00B278A6"/>
    <w:rsid w:val="00B30182"/>
    <w:rsid w:val="00B30905"/>
    <w:rsid w:val="00B31E36"/>
    <w:rsid w:val="00B32B7B"/>
    <w:rsid w:val="00B346F5"/>
    <w:rsid w:val="00B34A74"/>
    <w:rsid w:val="00B35D5D"/>
    <w:rsid w:val="00B36E05"/>
    <w:rsid w:val="00B36FAF"/>
    <w:rsid w:val="00B4341D"/>
    <w:rsid w:val="00B44E9A"/>
    <w:rsid w:val="00B457E5"/>
    <w:rsid w:val="00B5107F"/>
    <w:rsid w:val="00B51DF6"/>
    <w:rsid w:val="00B52410"/>
    <w:rsid w:val="00B5376E"/>
    <w:rsid w:val="00B537D5"/>
    <w:rsid w:val="00B538F3"/>
    <w:rsid w:val="00B543AF"/>
    <w:rsid w:val="00B544BE"/>
    <w:rsid w:val="00B54888"/>
    <w:rsid w:val="00B54EA5"/>
    <w:rsid w:val="00B5570D"/>
    <w:rsid w:val="00B57C36"/>
    <w:rsid w:val="00B60B94"/>
    <w:rsid w:val="00B61BED"/>
    <w:rsid w:val="00B62997"/>
    <w:rsid w:val="00B62A14"/>
    <w:rsid w:val="00B62C0E"/>
    <w:rsid w:val="00B65102"/>
    <w:rsid w:val="00B66B31"/>
    <w:rsid w:val="00B67665"/>
    <w:rsid w:val="00B67C33"/>
    <w:rsid w:val="00B70751"/>
    <w:rsid w:val="00B71181"/>
    <w:rsid w:val="00B717F4"/>
    <w:rsid w:val="00B72168"/>
    <w:rsid w:val="00B72298"/>
    <w:rsid w:val="00B7334C"/>
    <w:rsid w:val="00B738E5"/>
    <w:rsid w:val="00B74B98"/>
    <w:rsid w:val="00B75BB0"/>
    <w:rsid w:val="00B75E92"/>
    <w:rsid w:val="00B77845"/>
    <w:rsid w:val="00B8001D"/>
    <w:rsid w:val="00B80BE9"/>
    <w:rsid w:val="00B80C92"/>
    <w:rsid w:val="00B8105A"/>
    <w:rsid w:val="00B81B67"/>
    <w:rsid w:val="00B81D35"/>
    <w:rsid w:val="00B8209E"/>
    <w:rsid w:val="00B82733"/>
    <w:rsid w:val="00B83642"/>
    <w:rsid w:val="00B8399F"/>
    <w:rsid w:val="00B84D2C"/>
    <w:rsid w:val="00B86104"/>
    <w:rsid w:val="00B8610E"/>
    <w:rsid w:val="00B86120"/>
    <w:rsid w:val="00B86387"/>
    <w:rsid w:val="00B90B29"/>
    <w:rsid w:val="00B91C3F"/>
    <w:rsid w:val="00B925CA"/>
    <w:rsid w:val="00B94834"/>
    <w:rsid w:val="00B94962"/>
    <w:rsid w:val="00B9506E"/>
    <w:rsid w:val="00B97D79"/>
    <w:rsid w:val="00BA0152"/>
    <w:rsid w:val="00BA0436"/>
    <w:rsid w:val="00BA16AB"/>
    <w:rsid w:val="00BA1FEB"/>
    <w:rsid w:val="00BA2D74"/>
    <w:rsid w:val="00BA3479"/>
    <w:rsid w:val="00BA4180"/>
    <w:rsid w:val="00BA5433"/>
    <w:rsid w:val="00BA7C95"/>
    <w:rsid w:val="00BB104C"/>
    <w:rsid w:val="00BB1086"/>
    <w:rsid w:val="00BB11DA"/>
    <w:rsid w:val="00BB1FD3"/>
    <w:rsid w:val="00BB2707"/>
    <w:rsid w:val="00BB4B2C"/>
    <w:rsid w:val="00BB4DE3"/>
    <w:rsid w:val="00BB5817"/>
    <w:rsid w:val="00BB67CE"/>
    <w:rsid w:val="00BB6915"/>
    <w:rsid w:val="00BB6989"/>
    <w:rsid w:val="00BC0A7C"/>
    <w:rsid w:val="00BC1369"/>
    <w:rsid w:val="00BC2A8C"/>
    <w:rsid w:val="00BC2DE6"/>
    <w:rsid w:val="00BC3026"/>
    <w:rsid w:val="00BC326C"/>
    <w:rsid w:val="00BC3607"/>
    <w:rsid w:val="00BC3DEA"/>
    <w:rsid w:val="00BC506F"/>
    <w:rsid w:val="00BC743A"/>
    <w:rsid w:val="00BC776B"/>
    <w:rsid w:val="00BC7F60"/>
    <w:rsid w:val="00BD0776"/>
    <w:rsid w:val="00BD0802"/>
    <w:rsid w:val="00BD298D"/>
    <w:rsid w:val="00BD3A2B"/>
    <w:rsid w:val="00BD4C35"/>
    <w:rsid w:val="00BD580F"/>
    <w:rsid w:val="00BD669D"/>
    <w:rsid w:val="00BE0242"/>
    <w:rsid w:val="00BE06F1"/>
    <w:rsid w:val="00BE0F18"/>
    <w:rsid w:val="00BE2D77"/>
    <w:rsid w:val="00BE4143"/>
    <w:rsid w:val="00BE5476"/>
    <w:rsid w:val="00BE5A10"/>
    <w:rsid w:val="00BE5E1A"/>
    <w:rsid w:val="00BE609A"/>
    <w:rsid w:val="00BE72B1"/>
    <w:rsid w:val="00BE74A5"/>
    <w:rsid w:val="00BF026C"/>
    <w:rsid w:val="00BF173A"/>
    <w:rsid w:val="00BF1BE3"/>
    <w:rsid w:val="00BF2717"/>
    <w:rsid w:val="00BF5B8B"/>
    <w:rsid w:val="00BF7854"/>
    <w:rsid w:val="00BF7C6B"/>
    <w:rsid w:val="00C00B7C"/>
    <w:rsid w:val="00C03377"/>
    <w:rsid w:val="00C04E0F"/>
    <w:rsid w:val="00C05723"/>
    <w:rsid w:val="00C05CCE"/>
    <w:rsid w:val="00C06117"/>
    <w:rsid w:val="00C06ABE"/>
    <w:rsid w:val="00C06CF4"/>
    <w:rsid w:val="00C12BDA"/>
    <w:rsid w:val="00C15608"/>
    <w:rsid w:val="00C15D2C"/>
    <w:rsid w:val="00C1784B"/>
    <w:rsid w:val="00C17B27"/>
    <w:rsid w:val="00C17F22"/>
    <w:rsid w:val="00C219E6"/>
    <w:rsid w:val="00C2234B"/>
    <w:rsid w:val="00C22AB4"/>
    <w:rsid w:val="00C23330"/>
    <w:rsid w:val="00C23C72"/>
    <w:rsid w:val="00C241C5"/>
    <w:rsid w:val="00C24278"/>
    <w:rsid w:val="00C2488C"/>
    <w:rsid w:val="00C265CB"/>
    <w:rsid w:val="00C2731F"/>
    <w:rsid w:val="00C27990"/>
    <w:rsid w:val="00C31378"/>
    <w:rsid w:val="00C31AF5"/>
    <w:rsid w:val="00C33AAE"/>
    <w:rsid w:val="00C33B3E"/>
    <w:rsid w:val="00C344D1"/>
    <w:rsid w:val="00C35375"/>
    <w:rsid w:val="00C3580C"/>
    <w:rsid w:val="00C36D88"/>
    <w:rsid w:val="00C37631"/>
    <w:rsid w:val="00C41C70"/>
    <w:rsid w:val="00C41ECC"/>
    <w:rsid w:val="00C42091"/>
    <w:rsid w:val="00C42919"/>
    <w:rsid w:val="00C433E2"/>
    <w:rsid w:val="00C439A3"/>
    <w:rsid w:val="00C44FDB"/>
    <w:rsid w:val="00C46006"/>
    <w:rsid w:val="00C5015D"/>
    <w:rsid w:val="00C507B8"/>
    <w:rsid w:val="00C50C93"/>
    <w:rsid w:val="00C516CF"/>
    <w:rsid w:val="00C51888"/>
    <w:rsid w:val="00C51EAE"/>
    <w:rsid w:val="00C53744"/>
    <w:rsid w:val="00C5495A"/>
    <w:rsid w:val="00C54B60"/>
    <w:rsid w:val="00C55BA2"/>
    <w:rsid w:val="00C56106"/>
    <w:rsid w:val="00C569EB"/>
    <w:rsid w:val="00C5715B"/>
    <w:rsid w:val="00C57255"/>
    <w:rsid w:val="00C578E2"/>
    <w:rsid w:val="00C57C7B"/>
    <w:rsid w:val="00C57DC9"/>
    <w:rsid w:val="00C6048E"/>
    <w:rsid w:val="00C635F3"/>
    <w:rsid w:val="00C64067"/>
    <w:rsid w:val="00C6441E"/>
    <w:rsid w:val="00C65390"/>
    <w:rsid w:val="00C661DC"/>
    <w:rsid w:val="00C66782"/>
    <w:rsid w:val="00C70E67"/>
    <w:rsid w:val="00C71370"/>
    <w:rsid w:val="00C716F6"/>
    <w:rsid w:val="00C7233D"/>
    <w:rsid w:val="00C72BEB"/>
    <w:rsid w:val="00C73554"/>
    <w:rsid w:val="00C7451E"/>
    <w:rsid w:val="00C74644"/>
    <w:rsid w:val="00C74F76"/>
    <w:rsid w:val="00C75F9D"/>
    <w:rsid w:val="00C76B8C"/>
    <w:rsid w:val="00C76EAB"/>
    <w:rsid w:val="00C772A6"/>
    <w:rsid w:val="00C77872"/>
    <w:rsid w:val="00C8074F"/>
    <w:rsid w:val="00C837F1"/>
    <w:rsid w:val="00C83B68"/>
    <w:rsid w:val="00C8495A"/>
    <w:rsid w:val="00C85573"/>
    <w:rsid w:val="00C85E17"/>
    <w:rsid w:val="00C871BC"/>
    <w:rsid w:val="00C90096"/>
    <w:rsid w:val="00C901D0"/>
    <w:rsid w:val="00C949F1"/>
    <w:rsid w:val="00C94A71"/>
    <w:rsid w:val="00C954F0"/>
    <w:rsid w:val="00C95CA6"/>
    <w:rsid w:val="00C975F4"/>
    <w:rsid w:val="00CA1447"/>
    <w:rsid w:val="00CA4BFF"/>
    <w:rsid w:val="00CA4E9F"/>
    <w:rsid w:val="00CA50BB"/>
    <w:rsid w:val="00CA79EA"/>
    <w:rsid w:val="00CB0564"/>
    <w:rsid w:val="00CB1E5B"/>
    <w:rsid w:val="00CB327D"/>
    <w:rsid w:val="00CB4D3A"/>
    <w:rsid w:val="00CB7710"/>
    <w:rsid w:val="00CB79D3"/>
    <w:rsid w:val="00CB7CBE"/>
    <w:rsid w:val="00CB7DBF"/>
    <w:rsid w:val="00CC0E22"/>
    <w:rsid w:val="00CC2325"/>
    <w:rsid w:val="00CC34BE"/>
    <w:rsid w:val="00CC3AC7"/>
    <w:rsid w:val="00CC4589"/>
    <w:rsid w:val="00CC482B"/>
    <w:rsid w:val="00CC632D"/>
    <w:rsid w:val="00CC6845"/>
    <w:rsid w:val="00CC7C12"/>
    <w:rsid w:val="00CD3198"/>
    <w:rsid w:val="00CD33B0"/>
    <w:rsid w:val="00CD359D"/>
    <w:rsid w:val="00CD375D"/>
    <w:rsid w:val="00CD377E"/>
    <w:rsid w:val="00CD4E01"/>
    <w:rsid w:val="00CD577F"/>
    <w:rsid w:val="00CD5BCA"/>
    <w:rsid w:val="00CD693B"/>
    <w:rsid w:val="00CD6E42"/>
    <w:rsid w:val="00CD7A7C"/>
    <w:rsid w:val="00CE2674"/>
    <w:rsid w:val="00CE3150"/>
    <w:rsid w:val="00CE3294"/>
    <w:rsid w:val="00CE45D1"/>
    <w:rsid w:val="00CE58F0"/>
    <w:rsid w:val="00CE5CDB"/>
    <w:rsid w:val="00CE5EBE"/>
    <w:rsid w:val="00CE617D"/>
    <w:rsid w:val="00CE661E"/>
    <w:rsid w:val="00CE6F8E"/>
    <w:rsid w:val="00CE7162"/>
    <w:rsid w:val="00CE724D"/>
    <w:rsid w:val="00CE73DD"/>
    <w:rsid w:val="00CF0352"/>
    <w:rsid w:val="00CF24CA"/>
    <w:rsid w:val="00D027DE"/>
    <w:rsid w:val="00D04B09"/>
    <w:rsid w:val="00D06807"/>
    <w:rsid w:val="00D06A7D"/>
    <w:rsid w:val="00D07818"/>
    <w:rsid w:val="00D105DB"/>
    <w:rsid w:val="00D109A1"/>
    <w:rsid w:val="00D10B06"/>
    <w:rsid w:val="00D10E19"/>
    <w:rsid w:val="00D119B8"/>
    <w:rsid w:val="00D11D7B"/>
    <w:rsid w:val="00D11FE5"/>
    <w:rsid w:val="00D11FFE"/>
    <w:rsid w:val="00D12DFF"/>
    <w:rsid w:val="00D12E9A"/>
    <w:rsid w:val="00D130C0"/>
    <w:rsid w:val="00D135C2"/>
    <w:rsid w:val="00D14E6F"/>
    <w:rsid w:val="00D15005"/>
    <w:rsid w:val="00D16CED"/>
    <w:rsid w:val="00D20B65"/>
    <w:rsid w:val="00D2110C"/>
    <w:rsid w:val="00D21842"/>
    <w:rsid w:val="00D21C45"/>
    <w:rsid w:val="00D21E5A"/>
    <w:rsid w:val="00D22DC8"/>
    <w:rsid w:val="00D24B48"/>
    <w:rsid w:val="00D25780"/>
    <w:rsid w:val="00D27CA9"/>
    <w:rsid w:val="00D31F67"/>
    <w:rsid w:val="00D323A7"/>
    <w:rsid w:val="00D3257F"/>
    <w:rsid w:val="00D340BE"/>
    <w:rsid w:val="00D34189"/>
    <w:rsid w:val="00D34E7C"/>
    <w:rsid w:val="00D351CC"/>
    <w:rsid w:val="00D35BD0"/>
    <w:rsid w:val="00D372E8"/>
    <w:rsid w:val="00D373BC"/>
    <w:rsid w:val="00D37BD6"/>
    <w:rsid w:val="00D40129"/>
    <w:rsid w:val="00D41D7B"/>
    <w:rsid w:val="00D41F2B"/>
    <w:rsid w:val="00D4274C"/>
    <w:rsid w:val="00D42B0E"/>
    <w:rsid w:val="00D42C79"/>
    <w:rsid w:val="00D42D15"/>
    <w:rsid w:val="00D42EC3"/>
    <w:rsid w:val="00D435AA"/>
    <w:rsid w:val="00D44144"/>
    <w:rsid w:val="00D4564E"/>
    <w:rsid w:val="00D46419"/>
    <w:rsid w:val="00D4702C"/>
    <w:rsid w:val="00D47267"/>
    <w:rsid w:val="00D513A5"/>
    <w:rsid w:val="00D5151F"/>
    <w:rsid w:val="00D51FA7"/>
    <w:rsid w:val="00D5280E"/>
    <w:rsid w:val="00D53184"/>
    <w:rsid w:val="00D53291"/>
    <w:rsid w:val="00D536D1"/>
    <w:rsid w:val="00D53DB6"/>
    <w:rsid w:val="00D53E4F"/>
    <w:rsid w:val="00D54593"/>
    <w:rsid w:val="00D5514D"/>
    <w:rsid w:val="00D5517F"/>
    <w:rsid w:val="00D55807"/>
    <w:rsid w:val="00D56D2C"/>
    <w:rsid w:val="00D57181"/>
    <w:rsid w:val="00D577BB"/>
    <w:rsid w:val="00D6168A"/>
    <w:rsid w:val="00D625D4"/>
    <w:rsid w:val="00D62F14"/>
    <w:rsid w:val="00D63E83"/>
    <w:rsid w:val="00D64ACA"/>
    <w:rsid w:val="00D655C3"/>
    <w:rsid w:val="00D66F64"/>
    <w:rsid w:val="00D709FE"/>
    <w:rsid w:val="00D716C5"/>
    <w:rsid w:val="00D71D76"/>
    <w:rsid w:val="00D72945"/>
    <w:rsid w:val="00D72CD8"/>
    <w:rsid w:val="00D73CF1"/>
    <w:rsid w:val="00D745E4"/>
    <w:rsid w:val="00D747B9"/>
    <w:rsid w:val="00D7558F"/>
    <w:rsid w:val="00D76B52"/>
    <w:rsid w:val="00D77039"/>
    <w:rsid w:val="00D77893"/>
    <w:rsid w:val="00D77ECD"/>
    <w:rsid w:val="00D80858"/>
    <w:rsid w:val="00D82F8E"/>
    <w:rsid w:val="00D83360"/>
    <w:rsid w:val="00D83FD2"/>
    <w:rsid w:val="00D85302"/>
    <w:rsid w:val="00D86CC6"/>
    <w:rsid w:val="00D8719F"/>
    <w:rsid w:val="00D8753A"/>
    <w:rsid w:val="00D9063B"/>
    <w:rsid w:val="00D907AE"/>
    <w:rsid w:val="00D90DDA"/>
    <w:rsid w:val="00D916FD"/>
    <w:rsid w:val="00D920CF"/>
    <w:rsid w:val="00D927DF"/>
    <w:rsid w:val="00D94DFF"/>
    <w:rsid w:val="00D95A19"/>
    <w:rsid w:val="00D96FFE"/>
    <w:rsid w:val="00D9743A"/>
    <w:rsid w:val="00D97C3F"/>
    <w:rsid w:val="00DA17E8"/>
    <w:rsid w:val="00DA34ED"/>
    <w:rsid w:val="00DA4FCA"/>
    <w:rsid w:val="00DA6AD9"/>
    <w:rsid w:val="00DB2502"/>
    <w:rsid w:val="00DB43C9"/>
    <w:rsid w:val="00DB4794"/>
    <w:rsid w:val="00DB4939"/>
    <w:rsid w:val="00DB5539"/>
    <w:rsid w:val="00DB65B7"/>
    <w:rsid w:val="00DB69E8"/>
    <w:rsid w:val="00DB6DEE"/>
    <w:rsid w:val="00DB7A60"/>
    <w:rsid w:val="00DC03EA"/>
    <w:rsid w:val="00DC05A8"/>
    <w:rsid w:val="00DC06A8"/>
    <w:rsid w:val="00DC0E90"/>
    <w:rsid w:val="00DC1B88"/>
    <w:rsid w:val="00DC241C"/>
    <w:rsid w:val="00DC2F5F"/>
    <w:rsid w:val="00DC3B55"/>
    <w:rsid w:val="00DC3E73"/>
    <w:rsid w:val="00DC547B"/>
    <w:rsid w:val="00DC716D"/>
    <w:rsid w:val="00DC7879"/>
    <w:rsid w:val="00DD0F36"/>
    <w:rsid w:val="00DD262F"/>
    <w:rsid w:val="00DD26DF"/>
    <w:rsid w:val="00DD28C3"/>
    <w:rsid w:val="00DD3CD4"/>
    <w:rsid w:val="00DD3E81"/>
    <w:rsid w:val="00DD52CB"/>
    <w:rsid w:val="00DD5FEE"/>
    <w:rsid w:val="00DD63CD"/>
    <w:rsid w:val="00DD7085"/>
    <w:rsid w:val="00DD72F2"/>
    <w:rsid w:val="00DE12E6"/>
    <w:rsid w:val="00DE3971"/>
    <w:rsid w:val="00DE3E3B"/>
    <w:rsid w:val="00DE4958"/>
    <w:rsid w:val="00DE4989"/>
    <w:rsid w:val="00DE530A"/>
    <w:rsid w:val="00DE5937"/>
    <w:rsid w:val="00DE5D4C"/>
    <w:rsid w:val="00DE5F9A"/>
    <w:rsid w:val="00DE61BE"/>
    <w:rsid w:val="00DE7B6C"/>
    <w:rsid w:val="00DF0E2C"/>
    <w:rsid w:val="00DF13CC"/>
    <w:rsid w:val="00DF1671"/>
    <w:rsid w:val="00DF189F"/>
    <w:rsid w:val="00DF2A2D"/>
    <w:rsid w:val="00DF2D85"/>
    <w:rsid w:val="00DF2F2C"/>
    <w:rsid w:val="00DF3EA6"/>
    <w:rsid w:val="00DF46EE"/>
    <w:rsid w:val="00DF48D6"/>
    <w:rsid w:val="00DF64B3"/>
    <w:rsid w:val="00E00EBA"/>
    <w:rsid w:val="00E0144E"/>
    <w:rsid w:val="00E01809"/>
    <w:rsid w:val="00E01DB2"/>
    <w:rsid w:val="00E052B2"/>
    <w:rsid w:val="00E0585E"/>
    <w:rsid w:val="00E06371"/>
    <w:rsid w:val="00E10F3B"/>
    <w:rsid w:val="00E117FD"/>
    <w:rsid w:val="00E118C0"/>
    <w:rsid w:val="00E11AA2"/>
    <w:rsid w:val="00E11B77"/>
    <w:rsid w:val="00E12F3A"/>
    <w:rsid w:val="00E13FEE"/>
    <w:rsid w:val="00E150F9"/>
    <w:rsid w:val="00E15282"/>
    <w:rsid w:val="00E15ADE"/>
    <w:rsid w:val="00E17838"/>
    <w:rsid w:val="00E20798"/>
    <w:rsid w:val="00E22137"/>
    <w:rsid w:val="00E2216F"/>
    <w:rsid w:val="00E22C2B"/>
    <w:rsid w:val="00E23446"/>
    <w:rsid w:val="00E23476"/>
    <w:rsid w:val="00E23531"/>
    <w:rsid w:val="00E23D51"/>
    <w:rsid w:val="00E23FD2"/>
    <w:rsid w:val="00E26910"/>
    <w:rsid w:val="00E27435"/>
    <w:rsid w:val="00E30133"/>
    <w:rsid w:val="00E3041A"/>
    <w:rsid w:val="00E308F3"/>
    <w:rsid w:val="00E3262B"/>
    <w:rsid w:val="00E33388"/>
    <w:rsid w:val="00E336FE"/>
    <w:rsid w:val="00E33A8B"/>
    <w:rsid w:val="00E3558A"/>
    <w:rsid w:val="00E3573B"/>
    <w:rsid w:val="00E36C6E"/>
    <w:rsid w:val="00E36FBC"/>
    <w:rsid w:val="00E37395"/>
    <w:rsid w:val="00E40116"/>
    <w:rsid w:val="00E41852"/>
    <w:rsid w:val="00E423DF"/>
    <w:rsid w:val="00E43472"/>
    <w:rsid w:val="00E43E65"/>
    <w:rsid w:val="00E44F69"/>
    <w:rsid w:val="00E462F6"/>
    <w:rsid w:val="00E46517"/>
    <w:rsid w:val="00E474FF"/>
    <w:rsid w:val="00E514C4"/>
    <w:rsid w:val="00E524E1"/>
    <w:rsid w:val="00E525E9"/>
    <w:rsid w:val="00E52F31"/>
    <w:rsid w:val="00E5354C"/>
    <w:rsid w:val="00E53B41"/>
    <w:rsid w:val="00E54CE9"/>
    <w:rsid w:val="00E56154"/>
    <w:rsid w:val="00E62E8F"/>
    <w:rsid w:val="00E64619"/>
    <w:rsid w:val="00E648E9"/>
    <w:rsid w:val="00E67A95"/>
    <w:rsid w:val="00E67CA9"/>
    <w:rsid w:val="00E7079E"/>
    <w:rsid w:val="00E70AB8"/>
    <w:rsid w:val="00E72589"/>
    <w:rsid w:val="00E72C63"/>
    <w:rsid w:val="00E73F55"/>
    <w:rsid w:val="00E746BD"/>
    <w:rsid w:val="00E75807"/>
    <w:rsid w:val="00E7616C"/>
    <w:rsid w:val="00E77944"/>
    <w:rsid w:val="00E80507"/>
    <w:rsid w:val="00E81241"/>
    <w:rsid w:val="00E825FC"/>
    <w:rsid w:val="00E831CC"/>
    <w:rsid w:val="00E837EA"/>
    <w:rsid w:val="00E847AE"/>
    <w:rsid w:val="00E85FE2"/>
    <w:rsid w:val="00E86443"/>
    <w:rsid w:val="00E86702"/>
    <w:rsid w:val="00E87B25"/>
    <w:rsid w:val="00E9047A"/>
    <w:rsid w:val="00E91511"/>
    <w:rsid w:val="00E91B94"/>
    <w:rsid w:val="00E91C3E"/>
    <w:rsid w:val="00E9259F"/>
    <w:rsid w:val="00E92D4D"/>
    <w:rsid w:val="00E92EC7"/>
    <w:rsid w:val="00E92EDC"/>
    <w:rsid w:val="00E93CB4"/>
    <w:rsid w:val="00E94930"/>
    <w:rsid w:val="00E95582"/>
    <w:rsid w:val="00E96358"/>
    <w:rsid w:val="00E970FF"/>
    <w:rsid w:val="00EA0BC3"/>
    <w:rsid w:val="00EA1717"/>
    <w:rsid w:val="00EA3AF8"/>
    <w:rsid w:val="00EA46A9"/>
    <w:rsid w:val="00EA4EFC"/>
    <w:rsid w:val="00EA7424"/>
    <w:rsid w:val="00EA7A5C"/>
    <w:rsid w:val="00EB08E5"/>
    <w:rsid w:val="00EB187D"/>
    <w:rsid w:val="00EB2F0A"/>
    <w:rsid w:val="00EB4D75"/>
    <w:rsid w:val="00EB5293"/>
    <w:rsid w:val="00EB63B7"/>
    <w:rsid w:val="00EC0587"/>
    <w:rsid w:val="00EC15ED"/>
    <w:rsid w:val="00EC1CE4"/>
    <w:rsid w:val="00EC36F9"/>
    <w:rsid w:val="00EC4AC9"/>
    <w:rsid w:val="00EC539C"/>
    <w:rsid w:val="00EC57AA"/>
    <w:rsid w:val="00EC7AFB"/>
    <w:rsid w:val="00ED047F"/>
    <w:rsid w:val="00ED0BA4"/>
    <w:rsid w:val="00ED18A9"/>
    <w:rsid w:val="00ED2961"/>
    <w:rsid w:val="00ED31BC"/>
    <w:rsid w:val="00ED3CC8"/>
    <w:rsid w:val="00ED41FB"/>
    <w:rsid w:val="00ED5996"/>
    <w:rsid w:val="00ED65CB"/>
    <w:rsid w:val="00ED67EA"/>
    <w:rsid w:val="00EE1D89"/>
    <w:rsid w:val="00EE2A79"/>
    <w:rsid w:val="00EE2F7C"/>
    <w:rsid w:val="00EE47E4"/>
    <w:rsid w:val="00EE4872"/>
    <w:rsid w:val="00EE4AB5"/>
    <w:rsid w:val="00EE5F7E"/>
    <w:rsid w:val="00EE706B"/>
    <w:rsid w:val="00EE7228"/>
    <w:rsid w:val="00EF032D"/>
    <w:rsid w:val="00EF10DB"/>
    <w:rsid w:val="00EF151E"/>
    <w:rsid w:val="00EF162E"/>
    <w:rsid w:val="00EF1756"/>
    <w:rsid w:val="00EF26BF"/>
    <w:rsid w:val="00EF3890"/>
    <w:rsid w:val="00EF3AB5"/>
    <w:rsid w:val="00EF442D"/>
    <w:rsid w:val="00EF5799"/>
    <w:rsid w:val="00EF7036"/>
    <w:rsid w:val="00EF7350"/>
    <w:rsid w:val="00EF74E1"/>
    <w:rsid w:val="00EF7F24"/>
    <w:rsid w:val="00F0072B"/>
    <w:rsid w:val="00F00B80"/>
    <w:rsid w:val="00F025EA"/>
    <w:rsid w:val="00F0281F"/>
    <w:rsid w:val="00F02BD9"/>
    <w:rsid w:val="00F03367"/>
    <w:rsid w:val="00F0515B"/>
    <w:rsid w:val="00F0535F"/>
    <w:rsid w:val="00F05D09"/>
    <w:rsid w:val="00F05D34"/>
    <w:rsid w:val="00F06238"/>
    <w:rsid w:val="00F10A8A"/>
    <w:rsid w:val="00F112E3"/>
    <w:rsid w:val="00F11375"/>
    <w:rsid w:val="00F123E9"/>
    <w:rsid w:val="00F12BF4"/>
    <w:rsid w:val="00F13DEC"/>
    <w:rsid w:val="00F13ECC"/>
    <w:rsid w:val="00F13F6B"/>
    <w:rsid w:val="00F15454"/>
    <w:rsid w:val="00F157C0"/>
    <w:rsid w:val="00F1581D"/>
    <w:rsid w:val="00F21226"/>
    <w:rsid w:val="00F21404"/>
    <w:rsid w:val="00F22415"/>
    <w:rsid w:val="00F22AE1"/>
    <w:rsid w:val="00F22BF8"/>
    <w:rsid w:val="00F22C03"/>
    <w:rsid w:val="00F2352D"/>
    <w:rsid w:val="00F23E3C"/>
    <w:rsid w:val="00F23F9B"/>
    <w:rsid w:val="00F25DF4"/>
    <w:rsid w:val="00F26137"/>
    <w:rsid w:val="00F26386"/>
    <w:rsid w:val="00F26C09"/>
    <w:rsid w:val="00F26C6F"/>
    <w:rsid w:val="00F27D87"/>
    <w:rsid w:val="00F30843"/>
    <w:rsid w:val="00F30AD9"/>
    <w:rsid w:val="00F310C3"/>
    <w:rsid w:val="00F31ABD"/>
    <w:rsid w:val="00F321B1"/>
    <w:rsid w:val="00F336D0"/>
    <w:rsid w:val="00F35183"/>
    <w:rsid w:val="00F36621"/>
    <w:rsid w:val="00F4021E"/>
    <w:rsid w:val="00F4039B"/>
    <w:rsid w:val="00F414F6"/>
    <w:rsid w:val="00F4176D"/>
    <w:rsid w:val="00F42595"/>
    <w:rsid w:val="00F4267D"/>
    <w:rsid w:val="00F42C08"/>
    <w:rsid w:val="00F4339C"/>
    <w:rsid w:val="00F43A46"/>
    <w:rsid w:val="00F453E4"/>
    <w:rsid w:val="00F46421"/>
    <w:rsid w:val="00F468E6"/>
    <w:rsid w:val="00F47FC0"/>
    <w:rsid w:val="00F47FC5"/>
    <w:rsid w:val="00F506AA"/>
    <w:rsid w:val="00F53227"/>
    <w:rsid w:val="00F53266"/>
    <w:rsid w:val="00F54C78"/>
    <w:rsid w:val="00F55425"/>
    <w:rsid w:val="00F56913"/>
    <w:rsid w:val="00F611DF"/>
    <w:rsid w:val="00F614CB"/>
    <w:rsid w:val="00F62DC8"/>
    <w:rsid w:val="00F63B15"/>
    <w:rsid w:val="00F645ED"/>
    <w:rsid w:val="00F64BBA"/>
    <w:rsid w:val="00F659C5"/>
    <w:rsid w:val="00F65E01"/>
    <w:rsid w:val="00F66108"/>
    <w:rsid w:val="00F66AD8"/>
    <w:rsid w:val="00F67B1F"/>
    <w:rsid w:val="00F702F0"/>
    <w:rsid w:val="00F713C4"/>
    <w:rsid w:val="00F716BD"/>
    <w:rsid w:val="00F719C5"/>
    <w:rsid w:val="00F72E30"/>
    <w:rsid w:val="00F7312C"/>
    <w:rsid w:val="00F737BB"/>
    <w:rsid w:val="00F74942"/>
    <w:rsid w:val="00F77342"/>
    <w:rsid w:val="00F80E76"/>
    <w:rsid w:val="00F80EB0"/>
    <w:rsid w:val="00F81555"/>
    <w:rsid w:val="00F82F59"/>
    <w:rsid w:val="00F8378C"/>
    <w:rsid w:val="00F83B52"/>
    <w:rsid w:val="00F87724"/>
    <w:rsid w:val="00F877F6"/>
    <w:rsid w:val="00F9003D"/>
    <w:rsid w:val="00F92534"/>
    <w:rsid w:val="00F927B8"/>
    <w:rsid w:val="00F946AB"/>
    <w:rsid w:val="00F94B71"/>
    <w:rsid w:val="00F94BB1"/>
    <w:rsid w:val="00F94E24"/>
    <w:rsid w:val="00F96304"/>
    <w:rsid w:val="00F963EE"/>
    <w:rsid w:val="00FA034B"/>
    <w:rsid w:val="00FA08F2"/>
    <w:rsid w:val="00FA1714"/>
    <w:rsid w:val="00FA2AC7"/>
    <w:rsid w:val="00FA2D89"/>
    <w:rsid w:val="00FA332B"/>
    <w:rsid w:val="00FA367B"/>
    <w:rsid w:val="00FA3862"/>
    <w:rsid w:val="00FA468A"/>
    <w:rsid w:val="00FA5CDF"/>
    <w:rsid w:val="00FA5D2E"/>
    <w:rsid w:val="00FA5DD6"/>
    <w:rsid w:val="00FA6A65"/>
    <w:rsid w:val="00FA6C72"/>
    <w:rsid w:val="00FA7CF1"/>
    <w:rsid w:val="00FB163B"/>
    <w:rsid w:val="00FB2721"/>
    <w:rsid w:val="00FB5441"/>
    <w:rsid w:val="00FB5621"/>
    <w:rsid w:val="00FB665D"/>
    <w:rsid w:val="00FB7F4A"/>
    <w:rsid w:val="00FC10B8"/>
    <w:rsid w:val="00FC1481"/>
    <w:rsid w:val="00FC2CFE"/>
    <w:rsid w:val="00FC5755"/>
    <w:rsid w:val="00FC6179"/>
    <w:rsid w:val="00FC66E2"/>
    <w:rsid w:val="00FC6D61"/>
    <w:rsid w:val="00FC7D89"/>
    <w:rsid w:val="00FD059F"/>
    <w:rsid w:val="00FD09E0"/>
    <w:rsid w:val="00FD0CEF"/>
    <w:rsid w:val="00FD1FEA"/>
    <w:rsid w:val="00FD318A"/>
    <w:rsid w:val="00FD3B1F"/>
    <w:rsid w:val="00FD4E4A"/>
    <w:rsid w:val="00FE17B6"/>
    <w:rsid w:val="00FE2056"/>
    <w:rsid w:val="00FE2174"/>
    <w:rsid w:val="00FE4034"/>
    <w:rsid w:val="00FE4DE7"/>
    <w:rsid w:val="00FE5E37"/>
    <w:rsid w:val="00FE6257"/>
    <w:rsid w:val="00FE6BD6"/>
    <w:rsid w:val="00FF1D88"/>
    <w:rsid w:val="00FF3E51"/>
    <w:rsid w:val="00FF3E7F"/>
    <w:rsid w:val="00FF46C5"/>
    <w:rsid w:val="00FF5A58"/>
    <w:rsid w:val="00FF5B1A"/>
    <w:rsid w:val="00FF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A05B9"/>
  <w15:chartTrackingRefBased/>
  <w15:docId w15:val="{99DE2E75-BA8A-4B4A-8283-0D5A4F8B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NormalWeb">
    <w:name w:val="Normal (Web)"/>
    <w:basedOn w:val="Normal"/>
    <w:uiPriority w:val="99"/>
    <w:unhideWhenUsed/>
    <w:rsid w:val="00B8105A"/>
    <w:pPr>
      <w:spacing w:before="100" w:beforeAutospacing="1" w:after="100" w:afterAutospacing="1"/>
    </w:pPr>
    <w:rPr>
      <w:lang w:eastAsia="en-GB"/>
    </w:rPr>
  </w:style>
  <w:style w:type="paragraph" w:customStyle="1" w:styleId="eMailBlock">
    <w:name w:val="eMailBlock"/>
    <w:basedOn w:val="Title"/>
    <w:rPr>
      <w:sz w:val="26"/>
    </w:rPr>
  </w:style>
  <w:style w:type="character" w:styleId="Hyperlink">
    <w:name w:val="Hyperlink"/>
    <w:uiPriority w:val="99"/>
    <w:unhideWhenUsed/>
    <w:rsid w:val="00BC1369"/>
    <w:rPr>
      <w:color w:val="0000FF"/>
      <w:u w:val="single"/>
    </w:rPr>
  </w:style>
  <w:style w:type="paragraph" w:styleId="BalloonText">
    <w:name w:val="Balloon Text"/>
    <w:basedOn w:val="Normal"/>
    <w:link w:val="BalloonTextChar"/>
    <w:rsid w:val="002E64BE"/>
    <w:rPr>
      <w:rFonts w:ascii="Segoe UI" w:hAnsi="Segoe UI" w:cs="Segoe UI"/>
      <w:sz w:val="18"/>
      <w:szCs w:val="18"/>
    </w:rPr>
  </w:style>
  <w:style w:type="character" w:customStyle="1" w:styleId="BalloonTextChar">
    <w:name w:val="Balloon Text Char"/>
    <w:link w:val="BalloonText"/>
    <w:rsid w:val="002E64BE"/>
    <w:rPr>
      <w:rFonts w:ascii="Segoe UI" w:hAnsi="Segoe UI" w:cs="Segoe UI"/>
      <w:sz w:val="18"/>
      <w:szCs w:val="18"/>
      <w:lang w:eastAsia="en-US"/>
    </w:rPr>
  </w:style>
  <w:style w:type="character" w:styleId="CommentReference">
    <w:name w:val="annotation reference"/>
    <w:rsid w:val="00B8001D"/>
    <w:rPr>
      <w:sz w:val="16"/>
      <w:szCs w:val="16"/>
    </w:rPr>
  </w:style>
  <w:style w:type="paragraph" w:styleId="CommentText">
    <w:name w:val="annotation text"/>
    <w:basedOn w:val="Normal"/>
    <w:link w:val="CommentTextChar"/>
    <w:rsid w:val="00B8001D"/>
    <w:rPr>
      <w:sz w:val="20"/>
      <w:szCs w:val="20"/>
    </w:rPr>
  </w:style>
  <w:style w:type="character" w:customStyle="1" w:styleId="CommentTextChar">
    <w:name w:val="Comment Text Char"/>
    <w:link w:val="CommentText"/>
    <w:rsid w:val="00B8001D"/>
    <w:rPr>
      <w:lang w:eastAsia="en-US"/>
    </w:rPr>
  </w:style>
  <w:style w:type="paragraph" w:styleId="CommentSubject">
    <w:name w:val="annotation subject"/>
    <w:basedOn w:val="CommentText"/>
    <w:next w:val="CommentText"/>
    <w:link w:val="CommentSubjectChar"/>
    <w:rsid w:val="00B8001D"/>
    <w:rPr>
      <w:b/>
      <w:bCs/>
    </w:rPr>
  </w:style>
  <w:style w:type="character" w:customStyle="1" w:styleId="CommentSubjectChar">
    <w:name w:val="Comment Subject Char"/>
    <w:link w:val="CommentSubject"/>
    <w:rsid w:val="00B8001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539717">
      <w:bodyDiv w:val="1"/>
      <w:marLeft w:val="0"/>
      <w:marRight w:val="0"/>
      <w:marTop w:val="0"/>
      <w:marBottom w:val="0"/>
      <w:divBdr>
        <w:top w:val="none" w:sz="0" w:space="0" w:color="auto"/>
        <w:left w:val="none" w:sz="0" w:space="0" w:color="auto"/>
        <w:bottom w:val="none" w:sz="0" w:space="0" w:color="auto"/>
        <w:right w:val="none" w:sz="0" w:space="0" w:color="auto"/>
      </w:divBdr>
      <w:divsChild>
        <w:div w:id="1823428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6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53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042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943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63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892748">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5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07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89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53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58087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75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92190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77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396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4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980112">
      <w:bodyDiv w:val="1"/>
      <w:marLeft w:val="0"/>
      <w:marRight w:val="0"/>
      <w:marTop w:val="0"/>
      <w:marBottom w:val="0"/>
      <w:divBdr>
        <w:top w:val="none" w:sz="0" w:space="0" w:color="auto"/>
        <w:left w:val="none" w:sz="0" w:space="0" w:color="auto"/>
        <w:bottom w:val="none" w:sz="0" w:space="0" w:color="auto"/>
        <w:right w:val="none" w:sz="0" w:space="0" w:color="auto"/>
      </w:divBdr>
      <w:divsChild>
        <w:div w:id="64979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39669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752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15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57824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469827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14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83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6835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62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60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218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282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558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57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6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474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72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284582">
      <w:bodyDiv w:val="1"/>
      <w:marLeft w:val="0"/>
      <w:marRight w:val="0"/>
      <w:marTop w:val="0"/>
      <w:marBottom w:val="0"/>
      <w:divBdr>
        <w:top w:val="none" w:sz="0" w:space="0" w:color="auto"/>
        <w:left w:val="none" w:sz="0" w:space="0" w:color="auto"/>
        <w:bottom w:val="none" w:sz="0" w:space="0" w:color="auto"/>
        <w:right w:val="none" w:sz="0" w:space="0" w:color="auto"/>
      </w:divBdr>
      <w:divsChild>
        <w:div w:id="445007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31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23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643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679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56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59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08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070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9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913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810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00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559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734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630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912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777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803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92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868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2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031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5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0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745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56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04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89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384122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44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99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61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85045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632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87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254871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4189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3967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515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94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364079">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89929">
          <w:blockQuote w:val="1"/>
          <w:marLeft w:val="720"/>
          <w:marRight w:val="720"/>
          <w:marTop w:val="100"/>
          <w:marBottom w:val="100"/>
          <w:divBdr>
            <w:top w:val="none" w:sz="0" w:space="0" w:color="auto"/>
            <w:left w:val="none" w:sz="0" w:space="0" w:color="auto"/>
            <w:bottom w:val="none" w:sz="0" w:space="0" w:color="auto"/>
            <w:right w:val="none" w:sz="0" w:space="0" w:color="auto"/>
          </w:divBdr>
        </w:div>
        <w:div w:id="446660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5">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03937">
          <w:blockQuote w:val="1"/>
          <w:marLeft w:val="720"/>
          <w:marRight w:val="720"/>
          <w:marTop w:val="100"/>
          <w:marBottom w:val="100"/>
          <w:divBdr>
            <w:top w:val="none" w:sz="0" w:space="0" w:color="auto"/>
            <w:left w:val="none" w:sz="0" w:space="0" w:color="auto"/>
            <w:bottom w:val="none" w:sz="0" w:space="0" w:color="auto"/>
            <w:right w:val="none" w:sz="0" w:space="0" w:color="auto"/>
          </w:divBdr>
        </w:div>
        <w:div w:id="30743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244540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9" ma:contentTypeDescription="Create a new document." ma:contentTypeScope="" ma:versionID="7cdbfe521cef7b1058c3f6202e9bfb85">
  <xsd:schema xmlns:xsd="http://www.w3.org/2001/XMLSchema" xmlns:xs="http://www.w3.org/2001/XMLSchema" xmlns:p="http://schemas.microsoft.com/office/2006/metadata/properties" xmlns:ns3="53e55bc2-bcf2-46e4-8e0c-ad6567d2e6a8" targetNamespace="http://schemas.microsoft.com/office/2006/metadata/properties" ma:root="true" ma:fieldsID="61fd66444598dc74c4f6a5109c7111b8" ns3:_="">
    <xsd:import namespace="53e55bc2-bcf2-46e4-8e0c-ad6567d2e6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E730E-55C4-482B-BFEF-82E13EAC7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33289-BEAA-4D4E-8D85-AEB136658C8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3e55bc2-bcf2-46e4-8e0c-ad6567d2e6a8"/>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1C7A18A-CF41-4C08-861A-8A28EB33CAF5}">
  <ds:schemaRefs>
    <ds:schemaRef ds:uri="http://schemas.microsoft.com/sharepoint/v3/contenttype/forms"/>
  </ds:schemaRefs>
</ds:datastoreItem>
</file>

<file path=customXml/itemProps4.xml><?xml version="1.0" encoding="utf-8"?>
<ds:datastoreItem xmlns:ds="http://schemas.openxmlformats.org/officeDocument/2006/customXml" ds:itemID="{661DF71D-51F9-4140-9639-8789C763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0</TotalTime>
  <Pages>21</Pages>
  <Words>9270</Words>
  <Characters>52845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61992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dc:description/>
  <cp:lastModifiedBy>Faint, Julie</cp:lastModifiedBy>
  <cp:revision>2</cp:revision>
  <cp:lastPrinted>2020-03-23T11:32:00Z</cp:lastPrinted>
  <dcterms:created xsi:type="dcterms:W3CDTF">2020-04-06T09:55:00Z</dcterms:created>
  <dcterms:modified xsi:type="dcterms:W3CDTF">2020-04-06T09:55:00Z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0x010100805099C6743EED4CA9C17E54D9094940</vt:lpwstr>
  </property>
  <property fmtid="{D5CDD505-2E9C-101B-9397-08002B2CF9AE}" pid="9" name="NCJudgeDate">
    <vt:lpwstr>07/04/2020</vt:lpwstr>
  </property>
  <property fmtid="{D5CDD505-2E9C-101B-9397-08002B2CF9AE}" pid="10" name="NCNumber">
    <vt:lpwstr>[2020] EWCA Civ 503</vt:lpwstr>
  </property>
</Properties>
</file>