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CF3E" w14:textId="15895FDD" w:rsidR="00C75327" w:rsidRPr="002453C7" w:rsidRDefault="00826771" w:rsidP="007033B5">
      <w:pPr>
        <w:pStyle w:val="ParaLevel1"/>
        <w:spacing w:line="360" w:lineRule="auto"/>
        <w:ind w:left="927"/>
        <w:rPr>
          <w:sz w:val="32"/>
          <w:szCs w:val="32"/>
          <w:u w:val="single"/>
        </w:rPr>
      </w:pPr>
      <w:r>
        <w:t xml:space="preserve">   </w:t>
      </w:r>
      <w:r>
        <w:tab/>
      </w:r>
      <w:r w:rsidR="008B2757">
        <w:tab/>
      </w:r>
      <w:r w:rsidR="006900FB" w:rsidRPr="008B2757">
        <w:rPr>
          <w:b/>
          <w:bCs/>
          <w:sz w:val="32"/>
          <w:szCs w:val="32"/>
          <w:u w:val="single"/>
        </w:rPr>
        <w:t>The Mareva at 50: a midlife crisis?</w:t>
      </w:r>
      <w:r w:rsidR="00CE33C9" w:rsidRPr="008B2757">
        <w:rPr>
          <w:b/>
          <w:bCs/>
          <w:sz w:val="32"/>
          <w:szCs w:val="32"/>
          <w:u w:val="single"/>
        </w:rPr>
        <w:t xml:space="preserve"> </w:t>
      </w:r>
    </w:p>
    <w:p w14:paraId="2D516E0C" w14:textId="012B9E59" w:rsidR="00C75327" w:rsidRPr="00D26BF2" w:rsidRDefault="006900FB" w:rsidP="006326D7">
      <w:pPr>
        <w:pStyle w:val="ParaLevel1"/>
        <w:spacing w:line="360" w:lineRule="auto"/>
        <w:rPr>
          <w:i/>
          <w:iCs/>
        </w:rPr>
      </w:pPr>
      <w:r w:rsidRPr="00D26BF2">
        <w:rPr>
          <w:i/>
          <w:iCs/>
        </w:rPr>
        <w:t>Intro</w:t>
      </w:r>
      <w:r w:rsidR="00F55614" w:rsidRPr="00D26BF2">
        <w:rPr>
          <w:i/>
          <w:iCs/>
        </w:rPr>
        <w:t>duction</w:t>
      </w:r>
    </w:p>
    <w:p w14:paraId="1C2F0398" w14:textId="7130CE56" w:rsidR="002711D5" w:rsidRDefault="0049625A" w:rsidP="0072082E">
      <w:pPr>
        <w:pStyle w:val="ParaLevel1"/>
        <w:numPr>
          <w:ilvl w:val="0"/>
          <w:numId w:val="1"/>
        </w:numPr>
        <w:spacing w:line="360" w:lineRule="auto"/>
      </w:pPr>
      <w:r>
        <w:t xml:space="preserve">1975 was a good year for the common law. </w:t>
      </w:r>
      <w:r w:rsidR="008A14E2">
        <w:t xml:space="preserve">On </w:t>
      </w:r>
      <w:r w:rsidR="00B16123">
        <w:t xml:space="preserve">17 July, </w:t>
      </w:r>
      <w:r>
        <w:t>Jonathan Hirst</w:t>
      </w:r>
      <w:r w:rsidR="00654BDE">
        <w:t xml:space="preserve"> </w:t>
      </w:r>
      <w:r>
        <w:t>was c</w:t>
      </w:r>
      <w:r w:rsidR="00654BDE">
        <w:t>a</w:t>
      </w:r>
      <w:r>
        <w:t>lled to the Bar</w:t>
      </w:r>
      <w:r w:rsidR="00655801">
        <w:t>.</w:t>
      </w:r>
      <w:r w:rsidR="00AF0D43">
        <w:t xml:space="preserve"> </w:t>
      </w:r>
      <w:r w:rsidR="00921C28">
        <w:t xml:space="preserve">I am </w:t>
      </w:r>
      <w:r w:rsidR="002E510B">
        <w:t xml:space="preserve">very pleased and </w:t>
      </w:r>
      <w:r w:rsidR="00921C28">
        <w:t xml:space="preserve">privileged to have been asked to say something </w:t>
      </w:r>
      <w:r w:rsidR="00EA50DE">
        <w:t xml:space="preserve">in a </w:t>
      </w:r>
      <w:r w:rsidR="00D81533">
        <w:t xml:space="preserve">talk </w:t>
      </w:r>
      <w:r w:rsidR="00921C28">
        <w:t xml:space="preserve">dedicated to the memory of </w:t>
      </w:r>
      <w:r w:rsidR="00320008">
        <w:t>such a</w:t>
      </w:r>
      <w:r w:rsidR="00B16123">
        <w:t>n irrepressibl</w:t>
      </w:r>
      <w:r w:rsidR="00C667AD">
        <w:t xml:space="preserve">e </w:t>
      </w:r>
      <w:r w:rsidR="00B672AE">
        <w:t xml:space="preserve">and </w:t>
      </w:r>
      <w:r w:rsidR="00320008">
        <w:t>generous spirited man</w:t>
      </w:r>
      <w:r w:rsidR="00AC5DE0">
        <w:t xml:space="preserve">, </w:t>
      </w:r>
      <w:r w:rsidR="00244482">
        <w:t xml:space="preserve">a powerful </w:t>
      </w:r>
      <w:r w:rsidR="00612941">
        <w:t xml:space="preserve">advocate and </w:t>
      </w:r>
      <w:r w:rsidR="00AC5DE0">
        <w:t xml:space="preserve">a </w:t>
      </w:r>
      <w:r w:rsidR="00320008">
        <w:t xml:space="preserve">staunch </w:t>
      </w:r>
      <w:r w:rsidR="00B672AE">
        <w:t xml:space="preserve">champion </w:t>
      </w:r>
      <w:r w:rsidR="00320008">
        <w:t>of the common law and the traditions of the Bar</w:t>
      </w:r>
      <w:r w:rsidR="00071EB7">
        <w:t>.</w:t>
      </w:r>
      <w:r w:rsidR="00392DC4">
        <w:t xml:space="preserve"> </w:t>
      </w:r>
      <w:r w:rsidR="00AE50B3">
        <w:t>1975 was also the year in which the Mareva injunction was born</w:t>
      </w:r>
      <w:r w:rsidR="006106B4" w:rsidRPr="006106B4">
        <w:t xml:space="preserve">. </w:t>
      </w:r>
      <w:r w:rsidR="009E224E">
        <w:t xml:space="preserve">Jonathan was </w:t>
      </w:r>
      <w:r w:rsidR="00D931C2">
        <w:t xml:space="preserve">of course </w:t>
      </w:r>
      <w:r w:rsidR="009E224E">
        <w:t>involved with ma</w:t>
      </w:r>
      <w:r w:rsidR="001D4D38">
        <w:t>n</w:t>
      </w:r>
      <w:r w:rsidR="009E224E">
        <w:t>y Mareva</w:t>
      </w:r>
      <w:r w:rsidR="00AF0D43">
        <w:t>-</w:t>
      </w:r>
      <w:r w:rsidR="009E224E">
        <w:t xml:space="preserve">related </w:t>
      </w:r>
      <w:r w:rsidR="00B7798B">
        <w:t>cases.</w:t>
      </w:r>
      <w:r w:rsidR="00AF0D43">
        <w:t xml:space="preserve"> </w:t>
      </w:r>
      <w:r w:rsidR="009E224E">
        <w:t>In one</w:t>
      </w:r>
      <w:r w:rsidR="007968B5">
        <w:t>,</w:t>
      </w:r>
      <w:r w:rsidR="002A673F">
        <w:rPr>
          <w:rStyle w:val="FootnoteReference"/>
        </w:rPr>
        <w:footnoteReference w:id="2"/>
      </w:r>
      <w:r w:rsidR="007968B5">
        <w:t xml:space="preserve"> </w:t>
      </w:r>
      <w:r w:rsidR="009E224E">
        <w:t xml:space="preserve">Lord Justice Kerr </w:t>
      </w:r>
      <w:r w:rsidR="007968B5">
        <w:t xml:space="preserve">referred to his </w:t>
      </w:r>
      <w:r w:rsidR="00E50F29">
        <w:t xml:space="preserve">submissions as </w:t>
      </w:r>
      <w:r w:rsidR="006C3438">
        <w:t xml:space="preserve">lucid and forceful, </w:t>
      </w:r>
      <w:r w:rsidR="00E50F29">
        <w:t xml:space="preserve">and said he found them most helpful, </w:t>
      </w:r>
      <w:r w:rsidR="0055644C">
        <w:t xml:space="preserve">….. </w:t>
      </w:r>
      <w:r w:rsidR="002A673F">
        <w:t>before rejecting them.</w:t>
      </w:r>
    </w:p>
    <w:p w14:paraId="29B9B29A" w14:textId="575C3951" w:rsidR="00160C1E" w:rsidRDefault="00C811A9" w:rsidP="00C1720C">
      <w:pPr>
        <w:pStyle w:val="ParaLevel1"/>
        <w:numPr>
          <w:ilvl w:val="0"/>
          <w:numId w:val="1"/>
        </w:numPr>
        <w:spacing w:line="360" w:lineRule="auto"/>
      </w:pPr>
      <w:r>
        <w:t>I shall refer to it as the Mareva injunction, not as it has become following the</w:t>
      </w:r>
      <w:r w:rsidR="00A54F44">
        <w:t xml:space="preserve"> Woolf re</w:t>
      </w:r>
      <w:r w:rsidR="00B27E78">
        <w:t>f</w:t>
      </w:r>
      <w:r w:rsidR="00A54F44">
        <w:t xml:space="preserve">orms </w:t>
      </w:r>
      <w:r w:rsidR="006E7E3E">
        <w:t>a</w:t>
      </w:r>
      <w:r w:rsidR="00A54F44">
        <w:t xml:space="preserve"> freezing order.</w:t>
      </w:r>
      <w:r w:rsidR="001D37CB">
        <w:t xml:space="preserve"> </w:t>
      </w:r>
      <w:r w:rsidR="00A54F44">
        <w:t>That is not because I am an old dog who has trouble learning new tricks, although I am that; but rat</w:t>
      </w:r>
      <w:r w:rsidR="00320008">
        <w:t>h</w:t>
      </w:r>
      <w:r w:rsidR="00A54F44">
        <w:t>er because freezing orders also encompass propriet</w:t>
      </w:r>
      <w:r w:rsidR="00B27E78">
        <w:t>ary injunctions, which are simply a species of American Cyanamid</w:t>
      </w:r>
      <w:r w:rsidR="00D1201F">
        <w:rPr>
          <w:rStyle w:val="FootnoteReference"/>
        </w:rPr>
        <w:footnoteReference w:id="3"/>
      </w:r>
      <w:r w:rsidR="00B27E78">
        <w:t xml:space="preserve"> interim injunction to which different considerations apply</w:t>
      </w:r>
      <w:r w:rsidR="008F0218">
        <w:t xml:space="preserve">. To </w:t>
      </w:r>
      <w:r w:rsidR="00C57ADD">
        <w:t xml:space="preserve">refer to freezing orders </w:t>
      </w:r>
      <w:r w:rsidR="008F0218">
        <w:t xml:space="preserve">in what I have to say </w:t>
      </w:r>
      <w:r w:rsidR="00C57ADD">
        <w:t>would risk confusion.</w:t>
      </w:r>
      <w:r w:rsidR="001D37CB">
        <w:t xml:space="preserve"> </w:t>
      </w:r>
      <w:r w:rsidR="000B3B24">
        <w:t xml:space="preserve">And </w:t>
      </w:r>
      <w:r w:rsidR="00434770">
        <w:t>the expression n</w:t>
      </w:r>
      <w:r w:rsidR="000B3B24">
        <w:t xml:space="preserve">on-proprietary freezing order is </w:t>
      </w:r>
      <w:r w:rsidR="007E123E">
        <w:t>still not quite accurate</w:t>
      </w:r>
      <w:r w:rsidR="00DD150A">
        <w:rPr>
          <w:rStyle w:val="FootnoteReference"/>
        </w:rPr>
        <w:footnoteReference w:id="4"/>
      </w:r>
      <w:r w:rsidR="007E123E">
        <w:t xml:space="preserve"> and is </w:t>
      </w:r>
      <w:r w:rsidR="000B3B24">
        <w:t xml:space="preserve">less catchy than </w:t>
      </w:r>
      <w:r w:rsidR="001D37CB">
        <w:t>M</w:t>
      </w:r>
      <w:r w:rsidR="000B3B24">
        <w:t>areva.</w:t>
      </w:r>
      <w:r w:rsidR="001D37CB">
        <w:t xml:space="preserve"> </w:t>
      </w:r>
      <w:r w:rsidR="00F65845">
        <w:t xml:space="preserve">Not the only example of how the </w:t>
      </w:r>
      <w:r w:rsidR="008B4CCC">
        <w:t>well</w:t>
      </w:r>
      <w:r w:rsidR="000B3B24">
        <w:t>-</w:t>
      </w:r>
      <w:r w:rsidR="008B4CCC">
        <w:t xml:space="preserve">meaning Woolf reforms have left us with </w:t>
      </w:r>
      <w:r w:rsidR="00216A7B">
        <w:t xml:space="preserve">infelicities of </w:t>
      </w:r>
      <w:r w:rsidR="008B4CCC">
        <w:t>language.</w:t>
      </w:r>
      <w:r w:rsidR="001D37CB">
        <w:t xml:space="preserve"> </w:t>
      </w:r>
      <w:r w:rsidR="008B4CCC">
        <w:t>The without</w:t>
      </w:r>
      <w:r w:rsidR="00B700CB">
        <w:t xml:space="preserve"> notice application on notice is a</w:t>
      </w:r>
      <w:r w:rsidR="00DF31A6">
        <w:t xml:space="preserve"> particular bugbear.</w:t>
      </w:r>
      <w:r w:rsidR="00B700CB">
        <w:t xml:space="preserve">  </w:t>
      </w:r>
    </w:p>
    <w:p w14:paraId="11E1EADB" w14:textId="0EDA7BF2" w:rsidR="007033B5" w:rsidRDefault="007033B5" w:rsidP="007033B5">
      <w:pPr>
        <w:pStyle w:val="ParaLevel1"/>
        <w:numPr>
          <w:ilvl w:val="0"/>
          <w:numId w:val="1"/>
        </w:numPr>
        <w:spacing w:line="360" w:lineRule="auto"/>
      </w:pPr>
      <w:r>
        <w:t xml:space="preserve">I have unashamedly taken the first half of the title for this talk from a seminar organised in the Business and </w:t>
      </w:r>
      <w:r w:rsidR="00DF31A6">
        <w:t>P</w:t>
      </w:r>
      <w:r>
        <w:t xml:space="preserve">roperty </w:t>
      </w:r>
      <w:r w:rsidR="000B3B24">
        <w:t>C</w:t>
      </w:r>
      <w:r>
        <w:t xml:space="preserve">ourts </w:t>
      </w:r>
      <w:r w:rsidR="00D02C02">
        <w:t xml:space="preserve">on 25 </w:t>
      </w:r>
      <w:r w:rsidR="000A2405">
        <w:t xml:space="preserve">June </w:t>
      </w:r>
      <w:r w:rsidR="00D02C02">
        <w:t>of this year</w:t>
      </w:r>
      <w:r w:rsidR="00DF1A76">
        <w:t xml:space="preserve">, 50 years almost to the day </w:t>
      </w:r>
      <w:r w:rsidR="00BB0E49">
        <w:t xml:space="preserve">after the Court of Appeal decision from which </w:t>
      </w:r>
      <w:r w:rsidR="00EB5F2C">
        <w:t xml:space="preserve">the Mareva </w:t>
      </w:r>
      <w:r w:rsidR="00BB0E49">
        <w:t>takes its name</w:t>
      </w:r>
      <w:r w:rsidR="00900872">
        <w:t>.</w:t>
      </w:r>
      <w:r w:rsidR="00ED2911">
        <w:rPr>
          <w:rStyle w:val="FootnoteReference"/>
        </w:rPr>
        <w:footnoteReference w:id="5"/>
      </w:r>
      <w:r w:rsidR="001D37CB">
        <w:t xml:space="preserve"> </w:t>
      </w:r>
      <w:r w:rsidR="00C1720C">
        <w:t xml:space="preserve">It was in fact born </w:t>
      </w:r>
      <w:r w:rsidR="006709F1">
        <w:t>under the midwifery of Lord Denning</w:t>
      </w:r>
      <w:r w:rsidR="00C8460B">
        <w:t xml:space="preserve"> MR</w:t>
      </w:r>
      <w:r w:rsidR="006709F1">
        <w:t xml:space="preserve"> </w:t>
      </w:r>
      <w:r w:rsidR="00900872">
        <w:t>a month earlier</w:t>
      </w:r>
      <w:r w:rsidR="007E0D7B">
        <w:t xml:space="preserve"> in </w:t>
      </w:r>
      <w:r w:rsidR="00656E36" w:rsidRPr="00392DC4">
        <w:rPr>
          <w:i/>
          <w:iCs/>
        </w:rPr>
        <w:t>N</w:t>
      </w:r>
      <w:r w:rsidR="007E0D7B" w:rsidRPr="00392DC4">
        <w:rPr>
          <w:i/>
          <w:iCs/>
        </w:rPr>
        <w:t xml:space="preserve">YK v </w:t>
      </w:r>
      <w:proofErr w:type="spellStart"/>
      <w:r w:rsidR="007E0D7B" w:rsidRPr="00392DC4">
        <w:rPr>
          <w:i/>
          <w:iCs/>
        </w:rPr>
        <w:t>Karageorg</w:t>
      </w:r>
      <w:r w:rsidR="00B73CD8">
        <w:rPr>
          <w:i/>
          <w:iCs/>
        </w:rPr>
        <w:t>i</w:t>
      </w:r>
      <w:r w:rsidR="007E0D7B" w:rsidRPr="00392DC4">
        <w:rPr>
          <w:i/>
          <w:iCs/>
        </w:rPr>
        <w:t>s</w:t>
      </w:r>
      <w:proofErr w:type="spellEnd"/>
      <w:r w:rsidR="00F16344">
        <w:t>,</w:t>
      </w:r>
      <w:r w:rsidR="00587225">
        <w:rPr>
          <w:rStyle w:val="FootnoteReference"/>
        </w:rPr>
        <w:footnoteReference w:id="6"/>
      </w:r>
      <w:r w:rsidR="005170F2">
        <w:t xml:space="preserve"> </w:t>
      </w:r>
      <w:r w:rsidR="003457DC">
        <w:t xml:space="preserve">but </w:t>
      </w:r>
      <w:r w:rsidR="006709F1">
        <w:t xml:space="preserve">it took its name from the </w:t>
      </w:r>
      <w:r w:rsidR="003457DC">
        <w:t xml:space="preserve">second case, </w:t>
      </w:r>
      <w:r w:rsidR="006709F1">
        <w:t>also presided over by Lord Denning</w:t>
      </w:r>
      <w:r w:rsidR="001D37CB">
        <w:t>.</w:t>
      </w:r>
      <w:r w:rsidR="003457DC">
        <w:t xml:space="preserve"> </w:t>
      </w:r>
    </w:p>
    <w:p w14:paraId="4009485E" w14:textId="3E3B5A56" w:rsidR="001115BB" w:rsidRDefault="003F2552" w:rsidP="00A14411">
      <w:pPr>
        <w:pStyle w:val="ParaLevel1"/>
        <w:numPr>
          <w:ilvl w:val="0"/>
          <w:numId w:val="1"/>
        </w:numPr>
        <w:spacing w:line="360" w:lineRule="auto"/>
      </w:pPr>
      <w:r>
        <w:t>The Mareva is a remarkable creation of the common law</w:t>
      </w:r>
      <w:r w:rsidR="00896CF9">
        <w:t xml:space="preserve">. </w:t>
      </w:r>
      <w:r w:rsidR="00F90782">
        <w:t xml:space="preserve"> </w:t>
      </w:r>
      <w:r w:rsidR="00127323">
        <w:t>It</w:t>
      </w:r>
      <w:r w:rsidR="00B01535">
        <w:t xml:space="preserve"> plays a </w:t>
      </w:r>
      <w:r w:rsidR="00B60106">
        <w:t xml:space="preserve">significant </w:t>
      </w:r>
      <w:r w:rsidR="00B01535">
        <w:t>role in civil litigation</w:t>
      </w:r>
      <w:r w:rsidR="000B3B24">
        <w:t>,</w:t>
      </w:r>
      <w:r w:rsidR="00B01535">
        <w:t xml:space="preserve"> and</w:t>
      </w:r>
      <w:r w:rsidR="000B3B24">
        <w:t>,</w:t>
      </w:r>
      <w:r w:rsidR="00B01535">
        <w:t xml:space="preserve"> I am inclined to think</w:t>
      </w:r>
      <w:r w:rsidR="000B3B24">
        <w:t>,</w:t>
      </w:r>
      <w:r w:rsidR="00B01535">
        <w:t xml:space="preserve"> in making England and Wales a</w:t>
      </w:r>
      <w:r w:rsidR="00F14889">
        <w:t xml:space="preserve">n </w:t>
      </w:r>
      <w:r w:rsidR="00B01535">
        <w:t>attractive</w:t>
      </w:r>
      <w:r w:rsidR="004928D0">
        <w:t xml:space="preserve"> forum</w:t>
      </w:r>
      <w:r w:rsidR="00B01535">
        <w:t>, with the consequent economic benefit for the country which that entails.</w:t>
      </w:r>
      <w:r w:rsidR="00604EED">
        <w:t xml:space="preserve"> </w:t>
      </w:r>
      <w:r w:rsidR="000D61E0">
        <w:t xml:space="preserve">In 1980, </w:t>
      </w:r>
      <w:r w:rsidR="0055740B">
        <w:t>when it was still in</w:t>
      </w:r>
      <w:r w:rsidR="001F65D5">
        <w:t xml:space="preserve"> </w:t>
      </w:r>
      <w:r w:rsidR="0055740B">
        <w:t xml:space="preserve">short trousers, </w:t>
      </w:r>
      <w:r w:rsidR="00C54047">
        <w:t>Lord Denning</w:t>
      </w:r>
      <w:r w:rsidR="00FF089D">
        <w:t xml:space="preserve">, now in his eighties but not yet retired, </w:t>
      </w:r>
      <w:r w:rsidR="00C54047">
        <w:t>described the order as “the greatest piece of judicial law reform in my time”</w:t>
      </w:r>
      <w:r w:rsidR="00A53957">
        <w:t>.</w:t>
      </w:r>
      <w:r w:rsidR="00E66440">
        <w:rPr>
          <w:rStyle w:val="FootnoteReference"/>
        </w:rPr>
        <w:footnoteReference w:id="7"/>
      </w:r>
      <w:r w:rsidR="00604EED">
        <w:t xml:space="preserve"> </w:t>
      </w:r>
      <w:r w:rsidR="00C8460B">
        <w:t xml:space="preserve">Lord Denning’s star has </w:t>
      </w:r>
      <w:r w:rsidR="00747B20">
        <w:t xml:space="preserve">waned </w:t>
      </w:r>
      <w:r w:rsidR="00464063">
        <w:t xml:space="preserve">a little </w:t>
      </w:r>
      <w:r w:rsidR="00747B20">
        <w:t xml:space="preserve">over the years, but of this </w:t>
      </w:r>
      <w:r w:rsidR="009E1CFC">
        <w:t xml:space="preserve">innovative judicial lawmaking </w:t>
      </w:r>
      <w:r w:rsidR="00747B20">
        <w:t xml:space="preserve">he </w:t>
      </w:r>
      <w:r w:rsidR="00417DBD">
        <w:t xml:space="preserve">could </w:t>
      </w:r>
      <w:r w:rsidR="0055074C">
        <w:t xml:space="preserve">undoubtedly </w:t>
      </w:r>
      <w:r w:rsidR="00417DBD">
        <w:t xml:space="preserve">be </w:t>
      </w:r>
      <w:r w:rsidR="00747B20">
        <w:t>proud</w:t>
      </w:r>
      <w:r w:rsidR="009E1CFC">
        <w:t xml:space="preserve">. </w:t>
      </w:r>
    </w:p>
    <w:p w14:paraId="753838B6" w14:textId="243464C7" w:rsidR="0055798E" w:rsidRDefault="000D61E0" w:rsidP="00A14411">
      <w:pPr>
        <w:pStyle w:val="ParaLevel1"/>
        <w:numPr>
          <w:ilvl w:val="0"/>
          <w:numId w:val="1"/>
        </w:numPr>
        <w:spacing w:line="360" w:lineRule="auto"/>
      </w:pPr>
      <w:r>
        <w:t>In 1982, Donaldson LJ</w:t>
      </w:r>
      <w:r w:rsidR="008D2440">
        <w:t>, who succeed</w:t>
      </w:r>
      <w:r w:rsidR="004B6FDF">
        <w:t>ed</w:t>
      </w:r>
      <w:r w:rsidR="008D2440">
        <w:t xml:space="preserve"> Lord Denning as MR a few months later, </w:t>
      </w:r>
      <w:r>
        <w:t xml:space="preserve">famously described the Mareva, then </w:t>
      </w:r>
      <w:r w:rsidR="00417DBD">
        <w:t xml:space="preserve">barely </w:t>
      </w:r>
      <w:r>
        <w:t>of primary school age, as one of the law</w:t>
      </w:r>
      <w:r w:rsidR="00464063">
        <w:t>’</w:t>
      </w:r>
      <w:r>
        <w:t>s two "nuclear weapons"</w:t>
      </w:r>
      <w:r w:rsidR="00655838">
        <w:t>.</w:t>
      </w:r>
      <w:r w:rsidR="004B6FDF">
        <w:rPr>
          <w:rStyle w:val="FootnoteReference"/>
        </w:rPr>
        <w:footnoteReference w:id="8"/>
      </w:r>
      <w:r w:rsidR="00655838">
        <w:t xml:space="preserve">  It was,</w:t>
      </w:r>
      <w:r w:rsidR="0080160C">
        <w:t xml:space="preserve"> perhaps</w:t>
      </w:r>
      <w:r w:rsidR="00655838">
        <w:t>,</w:t>
      </w:r>
      <w:r w:rsidR="0080160C">
        <w:t xml:space="preserve"> n</w:t>
      </w:r>
      <w:r w:rsidR="00A14411">
        <w:t>o</w:t>
      </w:r>
      <w:r w:rsidR="0080160C">
        <w:t>t the most a</w:t>
      </w:r>
      <w:r w:rsidR="00655838">
        <w:t xml:space="preserve">pposite of </w:t>
      </w:r>
      <w:r w:rsidR="0080160C">
        <w:t xml:space="preserve">metaphors given that </w:t>
      </w:r>
      <w:r w:rsidR="00655838">
        <w:t xml:space="preserve">some </w:t>
      </w:r>
      <w:r w:rsidR="00AE76E5">
        <w:t xml:space="preserve">three </w:t>
      </w:r>
      <w:r w:rsidR="0080160C">
        <w:t>years earlier Mustill J had</w:t>
      </w:r>
      <w:r w:rsidR="00F95C4D">
        <w:t xml:space="preserve"> observed that applications were running at about 20 per month and almost all were gra</w:t>
      </w:r>
      <w:r w:rsidR="00525F5E">
        <w:t>nted.</w:t>
      </w:r>
      <w:r w:rsidR="00A14411">
        <w:rPr>
          <w:rStyle w:val="FootnoteReference"/>
        </w:rPr>
        <w:footnoteReference w:id="9"/>
      </w:r>
      <w:r w:rsidR="007A5467">
        <w:t xml:space="preserve"> </w:t>
      </w:r>
      <w:r w:rsidR="00686930">
        <w:t>I had instinctively thought that the numbe</w:t>
      </w:r>
      <w:r w:rsidR="00D20F03">
        <w:t>r</w:t>
      </w:r>
      <w:r w:rsidR="00686930">
        <w:t xml:space="preserve"> of </w:t>
      </w:r>
      <w:proofErr w:type="spellStart"/>
      <w:r w:rsidR="007A5467">
        <w:t>M</w:t>
      </w:r>
      <w:r w:rsidR="00686930">
        <w:t>arevas</w:t>
      </w:r>
      <w:proofErr w:type="spellEnd"/>
      <w:r w:rsidR="00686930">
        <w:t xml:space="preserve"> </w:t>
      </w:r>
      <w:r w:rsidR="00464063">
        <w:t xml:space="preserve">sought and granted </w:t>
      </w:r>
      <w:r w:rsidR="00686930">
        <w:t xml:space="preserve">had been </w:t>
      </w:r>
      <w:r w:rsidR="006D0003">
        <w:t xml:space="preserve">continually </w:t>
      </w:r>
      <w:r w:rsidR="00686930">
        <w:t>growing since then</w:t>
      </w:r>
      <w:r w:rsidR="00D20F03">
        <w:t>,</w:t>
      </w:r>
      <w:r w:rsidR="00686930">
        <w:t xml:space="preserve"> </w:t>
      </w:r>
      <w:r w:rsidR="0063721F">
        <w:t>but perhaps not</w:t>
      </w:r>
      <w:r w:rsidR="00464063">
        <w:t>.</w:t>
      </w:r>
      <w:r w:rsidR="007A5467">
        <w:t xml:space="preserve"> </w:t>
      </w:r>
      <w:r w:rsidR="00094B9A">
        <w:t xml:space="preserve">There are no current statistics available but </w:t>
      </w:r>
      <w:r w:rsidR="0063721F">
        <w:t>20 per month is almost 5 a week</w:t>
      </w:r>
      <w:r w:rsidR="00686930">
        <w:t xml:space="preserve">, </w:t>
      </w:r>
      <w:r w:rsidR="00094B9A">
        <w:t xml:space="preserve">and Mustill J’s figures may </w:t>
      </w:r>
      <w:r w:rsidR="000C5ABB">
        <w:t>well have been for th</w:t>
      </w:r>
      <w:r w:rsidR="00FF386A">
        <w:t>e</w:t>
      </w:r>
      <w:r w:rsidR="000C5ABB">
        <w:t xml:space="preserve"> Commercial Court alone.</w:t>
      </w:r>
      <w:r w:rsidR="007A5467">
        <w:t xml:space="preserve"> </w:t>
      </w:r>
      <w:r w:rsidR="000C5ABB">
        <w:t xml:space="preserve">What is </w:t>
      </w:r>
      <w:r w:rsidR="00FF386A">
        <w:t>undoubtedly</w:t>
      </w:r>
      <w:r w:rsidR="000C5ABB">
        <w:t xml:space="preserve"> true, however, is that the jurisdiction ha</w:t>
      </w:r>
      <w:r w:rsidR="00FF386A">
        <w:t xml:space="preserve">s developed from what were then often simple </w:t>
      </w:r>
      <w:r w:rsidR="00E44A70">
        <w:t>disputes in shipping cases in which the assets in question were bank accounts</w:t>
      </w:r>
      <w:r w:rsidR="003037C3">
        <w:t>,</w:t>
      </w:r>
      <w:r w:rsidR="00E44A70">
        <w:t xml:space="preserve"> to one involving </w:t>
      </w:r>
      <w:r w:rsidR="006B2179">
        <w:t xml:space="preserve">complex disputes in many fields </w:t>
      </w:r>
      <w:r w:rsidR="00AD362C">
        <w:t xml:space="preserve">of civil law, </w:t>
      </w:r>
      <w:r w:rsidR="006B2179">
        <w:t xml:space="preserve">with orders aimed at a wide variety of assets and </w:t>
      </w:r>
      <w:r w:rsidR="00833BD0">
        <w:t xml:space="preserve">with </w:t>
      </w:r>
      <w:r w:rsidR="006B2179">
        <w:t>ever</w:t>
      </w:r>
      <w:r w:rsidR="007A5467">
        <w:t>-</w:t>
      </w:r>
      <w:r w:rsidR="006B2179">
        <w:t>extending jurisdictional scope.</w:t>
      </w:r>
      <w:r w:rsidR="007A5467">
        <w:t xml:space="preserve"> </w:t>
      </w:r>
      <w:r w:rsidR="00F34554">
        <w:t xml:space="preserve">The Mareva </w:t>
      </w:r>
      <w:r w:rsidR="00187D35">
        <w:t xml:space="preserve">has </w:t>
      </w:r>
      <w:r w:rsidR="00B02BF0">
        <w:t xml:space="preserve">become far more extensive and intrusive than was </w:t>
      </w:r>
      <w:r w:rsidR="00AE6177">
        <w:t>anticipated by those attendant at</w:t>
      </w:r>
      <w:r w:rsidR="00801896">
        <w:t xml:space="preserve"> </w:t>
      </w:r>
      <w:r w:rsidR="00187D35">
        <w:t xml:space="preserve">its </w:t>
      </w:r>
      <w:r w:rsidR="00801896">
        <w:t xml:space="preserve">birth.  </w:t>
      </w:r>
    </w:p>
    <w:p w14:paraId="52437C3F" w14:textId="418DF49F" w:rsidR="003449B5" w:rsidRDefault="00833BD0" w:rsidP="00AA3D36">
      <w:pPr>
        <w:pStyle w:val="ParaLevel1"/>
        <w:numPr>
          <w:ilvl w:val="0"/>
          <w:numId w:val="1"/>
        </w:numPr>
        <w:spacing w:line="360" w:lineRule="auto"/>
      </w:pPr>
      <w:r>
        <w:t>T</w:t>
      </w:r>
      <w:r w:rsidR="00303B02">
        <w:t xml:space="preserve">he </w:t>
      </w:r>
      <w:r w:rsidR="003C141C">
        <w:t xml:space="preserve">recent seminar was striking for the views it </w:t>
      </w:r>
      <w:r w:rsidR="007F7FA7">
        <w:t>revealed.</w:t>
      </w:r>
      <w:r w:rsidR="003C141C">
        <w:t xml:space="preserve">  The</w:t>
      </w:r>
      <w:r w:rsidR="00846323">
        <w:t xml:space="preserve"> large audience </w:t>
      </w:r>
      <w:r w:rsidR="00CE29C4">
        <w:t xml:space="preserve">of </w:t>
      </w:r>
      <w:r w:rsidR="00CE29C4" w:rsidRPr="007A5467">
        <w:t>J</w:t>
      </w:r>
      <w:r w:rsidR="00CE29C4">
        <w:t xml:space="preserve">udges, barristers and solicitors, with </w:t>
      </w:r>
      <w:r w:rsidR="006A0B31">
        <w:t xml:space="preserve">fulsome experience </w:t>
      </w:r>
      <w:r w:rsidR="00BB6B99">
        <w:t>o</w:t>
      </w:r>
      <w:r w:rsidR="006A0B31">
        <w:t xml:space="preserve">f the </w:t>
      </w:r>
      <w:r w:rsidR="00AD362C">
        <w:t xml:space="preserve">grant and </w:t>
      </w:r>
      <w:r w:rsidR="006A0B31">
        <w:t xml:space="preserve">operation of </w:t>
      </w:r>
      <w:proofErr w:type="spellStart"/>
      <w:r w:rsidR="007A5467">
        <w:t>Marevas</w:t>
      </w:r>
      <w:proofErr w:type="spellEnd"/>
      <w:r w:rsidR="007A5467">
        <w:t xml:space="preserve"> </w:t>
      </w:r>
      <w:r w:rsidR="006A0B31">
        <w:t xml:space="preserve">in practice, was </w:t>
      </w:r>
      <w:r w:rsidR="00AD362C">
        <w:t xml:space="preserve">regularly </w:t>
      </w:r>
      <w:r w:rsidR="006A0B31">
        <w:t>polled</w:t>
      </w:r>
      <w:r w:rsidR="00292CED">
        <w:t xml:space="preserve"> by a show of hands throughout the seminar.</w:t>
      </w:r>
      <w:r w:rsidR="007A5467">
        <w:t xml:space="preserve"> </w:t>
      </w:r>
      <w:r w:rsidR="003449B5">
        <w:t xml:space="preserve">The </w:t>
      </w:r>
      <w:r w:rsidR="00187D35">
        <w:t xml:space="preserve">distinct </w:t>
      </w:r>
      <w:r w:rsidR="003449B5">
        <w:t xml:space="preserve">mood of the audience was that </w:t>
      </w:r>
      <w:proofErr w:type="spellStart"/>
      <w:r w:rsidR="007A5467">
        <w:t>Marevas</w:t>
      </w:r>
      <w:proofErr w:type="spellEnd"/>
      <w:r w:rsidR="007A5467">
        <w:t xml:space="preserve"> </w:t>
      </w:r>
      <w:r w:rsidR="003449B5">
        <w:t>were being granted too readily; and that they often operated unfairly on defendants</w:t>
      </w:r>
      <w:r w:rsidR="00AA3D36">
        <w:t>.</w:t>
      </w:r>
    </w:p>
    <w:p w14:paraId="68A0DCD9" w14:textId="1EF8A921" w:rsidR="00BF676A" w:rsidRDefault="00F543A8" w:rsidP="00CA670A">
      <w:pPr>
        <w:pStyle w:val="ParaLevel1"/>
        <w:numPr>
          <w:ilvl w:val="0"/>
          <w:numId w:val="1"/>
        </w:numPr>
        <w:spacing w:line="360" w:lineRule="auto"/>
      </w:pPr>
      <w:r>
        <w:t xml:space="preserve">I would like to explore </w:t>
      </w:r>
      <w:r w:rsidR="00833BD0">
        <w:t xml:space="preserve">some aspects of </w:t>
      </w:r>
      <w:r>
        <w:t xml:space="preserve">how and in what ways this </w:t>
      </w:r>
      <w:r w:rsidR="00833BD0">
        <w:t xml:space="preserve">may be </w:t>
      </w:r>
      <w:r>
        <w:t xml:space="preserve">so, and </w:t>
      </w:r>
      <w:r w:rsidR="00BF676A">
        <w:t xml:space="preserve">consider </w:t>
      </w:r>
      <w:r>
        <w:t xml:space="preserve">some ideas </w:t>
      </w:r>
      <w:r w:rsidR="00037394">
        <w:t xml:space="preserve">about what </w:t>
      </w:r>
      <w:r w:rsidR="00CD71F5">
        <w:t xml:space="preserve">might </w:t>
      </w:r>
      <w:r w:rsidR="00037394">
        <w:t>be done about it</w:t>
      </w:r>
      <w:r w:rsidR="001B13B6">
        <w:t xml:space="preserve"> if something needs to be done</w:t>
      </w:r>
      <w:r w:rsidR="00037394">
        <w:t xml:space="preserve">.  </w:t>
      </w:r>
      <w:r w:rsidR="00CD71F5">
        <w:t xml:space="preserve">It is not my purpose to advocate any particular reforms, but rather to highlight areas which might merit consideration. </w:t>
      </w:r>
    </w:p>
    <w:p w14:paraId="6A7972D5" w14:textId="0390EB89" w:rsidR="00CA670A" w:rsidRDefault="00CA670A" w:rsidP="00CA670A">
      <w:pPr>
        <w:pStyle w:val="ParaLevel1"/>
        <w:numPr>
          <w:ilvl w:val="0"/>
          <w:numId w:val="1"/>
        </w:numPr>
        <w:spacing w:line="360" w:lineRule="auto"/>
      </w:pPr>
      <w:r>
        <w:t>This is much too large a topic for a single lecture.</w:t>
      </w:r>
      <w:r w:rsidR="00C303E4">
        <w:t xml:space="preserve"> </w:t>
      </w:r>
      <w:r w:rsidR="00031803">
        <w:t>T</w:t>
      </w:r>
      <w:r w:rsidR="003E3838">
        <w:t>here is a</w:t>
      </w:r>
      <w:r w:rsidR="00561143">
        <w:t xml:space="preserve">lways room for incremental development by tinkering with </w:t>
      </w:r>
      <w:r w:rsidR="00F714A9">
        <w:t>particular as</w:t>
      </w:r>
      <w:r w:rsidR="0032147E">
        <w:t xml:space="preserve">pects at the fringes </w:t>
      </w:r>
      <w:r w:rsidR="00891648">
        <w:t xml:space="preserve">or drafting changes to the wording of orders. </w:t>
      </w:r>
      <w:r w:rsidR="00F714A9">
        <w:t xml:space="preserve">But I want to explore whether it is worth reassessing </w:t>
      </w:r>
      <w:r w:rsidR="008B74A0">
        <w:t>some of the fundament</w:t>
      </w:r>
      <w:r w:rsidR="000A61E0">
        <w:t xml:space="preserve">als which are now entrenched: </w:t>
      </w:r>
      <w:r>
        <w:t>so I will confine myself to three central aspects of the exercise of the jurisdiction:</w:t>
      </w:r>
    </w:p>
    <w:p w14:paraId="5037477E" w14:textId="05EE2FA4" w:rsidR="00CA670A" w:rsidRDefault="00752DA8" w:rsidP="00CA670A">
      <w:pPr>
        <w:pStyle w:val="ParaLevel1"/>
        <w:numPr>
          <w:ilvl w:val="1"/>
          <w:numId w:val="1"/>
        </w:numPr>
        <w:spacing w:line="360" w:lineRule="auto"/>
      </w:pPr>
      <w:r>
        <w:t>t</w:t>
      </w:r>
      <w:r w:rsidR="00031803">
        <w:t>he merits</w:t>
      </w:r>
      <w:r w:rsidR="00CA670A">
        <w:t xml:space="preserve"> test</w:t>
      </w:r>
      <w:r>
        <w:t>;</w:t>
      </w:r>
    </w:p>
    <w:p w14:paraId="73BE9F1C" w14:textId="78420C43" w:rsidR="00CA670A" w:rsidRDefault="00752DA8" w:rsidP="00CA670A">
      <w:pPr>
        <w:pStyle w:val="ParaLevel1"/>
        <w:numPr>
          <w:ilvl w:val="1"/>
          <w:numId w:val="1"/>
        </w:numPr>
        <w:spacing w:line="360" w:lineRule="auto"/>
      </w:pPr>
      <w:r>
        <w:t>r</w:t>
      </w:r>
      <w:r w:rsidR="00CA670A">
        <w:t>isk of dissipation</w:t>
      </w:r>
      <w:r>
        <w:t>; and</w:t>
      </w:r>
    </w:p>
    <w:p w14:paraId="72EAFC6A" w14:textId="7F39A31C" w:rsidR="00CA670A" w:rsidRDefault="00752DA8" w:rsidP="00CA670A">
      <w:pPr>
        <w:pStyle w:val="ParaLevel1"/>
        <w:numPr>
          <w:ilvl w:val="1"/>
          <w:numId w:val="1"/>
        </w:numPr>
        <w:spacing w:line="360" w:lineRule="auto"/>
      </w:pPr>
      <w:r>
        <w:t>d</w:t>
      </w:r>
      <w:r w:rsidR="00CA670A">
        <w:t xml:space="preserve">isclosure </w:t>
      </w:r>
      <w:r w:rsidR="002D6305">
        <w:t>of assets</w:t>
      </w:r>
      <w:r>
        <w:t>.</w:t>
      </w:r>
    </w:p>
    <w:p w14:paraId="1075E974" w14:textId="3FF8ED81" w:rsidR="008E288E" w:rsidRDefault="00037394" w:rsidP="00A14411">
      <w:pPr>
        <w:pStyle w:val="ParaLevel1"/>
        <w:numPr>
          <w:ilvl w:val="0"/>
          <w:numId w:val="1"/>
        </w:numPr>
        <w:spacing w:line="360" w:lineRule="auto"/>
      </w:pPr>
      <w:r>
        <w:t xml:space="preserve">I recognise, of course, that </w:t>
      </w:r>
      <w:r w:rsidR="00FD5C4C">
        <w:t xml:space="preserve">the more readily available the remedy, the more attractive that might make </w:t>
      </w:r>
      <w:r w:rsidR="00464791">
        <w:t xml:space="preserve">England and Wales </w:t>
      </w:r>
      <w:r w:rsidR="003B1690">
        <w:t xml:space="preserve">seem as </w:t>
      </w:r>
      <w:r w:rsidR="00FD5C4C">
        <w:t xml:space="preserve">a </w:t>
      </w:r>
      <w:r w:rsidR="00464791">
        <w:t xml:space="preserve">forum </w:t>
      </w:r>
      <w:r w:rsidR="003B1690">
        <w:t xml:space="preserve">to </w:t>
      </w:r>
      <w:r w:rsidR="0068727C">
        <w:t>claimants</w:t>
      </w:r>
      <w:r w:rsidR="00144469">
        <w:t xml:space="preserve">.  In </w:t>
      </w:r>
      <w:r w:rsidR="00FB0474">
        <w:t xml:space="preserve">the </w:t>
      </w:r>
      <w:r w:rsidR="00144469">
        <w:t xml:space="preserve">development of our commercial law and practice it is legitimate to take account of </w:t>
      </w:r>
      <w:r w:rsidR="00FB0474">
        <w:t xml:space="preserve">its impact </w:t>
      </w:r>
      <w:r w:rsidR="00B6578D">
        <w:t xml:space="preserve">on the economy. We are in a competitive marketplace. </w:t>
      </w:r>
      <w:r w:rsidR="00C5563B">
        <w:t xml:space="preserve">But jurisdiction clauses are bilateral affairs </w:t>
      </w:r>
      <w:r w:rsidR="00B20841">
        <w:t xml:space="preserve">agreed at a time when </w:t>
      </w:r>
      <w:r w:rsidR="00C5563B">
        <w:t>parties do not know whether they will be claimant or defendant</w:t>
      </w:r>
      <w:r w:rsidR="00B20841">
        <w:t xml:space="preserve"> in any dispute</w:t>
      </w:r>
      <w:r w:rsidR="00C5563B">
        <w:t xml:space="preserve">; and if a </w:t>
      </w:r>
      <w:r w:rsidR="003C0C66">
        <w:t xml:space="preserve">particular </w:t>
      </w:r>
      <w:r w:rsidR="00C5563B">
        <w:t xml:space="preserve">jurisdiction has a procedure which is </w:t>
      </w:r>
      <w:r w:rsidR="003C0C66">
        <w:t xml:space="preserve">regarded as </w:t>
      </w:r>
      <w:r w:rsidR="00C5563B">
        <w:t xml:space="preserve">oppressive or unfair to defendants, that </w:t>
      </w:r>
      <w:r w:rsidR="003C0C66">
        <w:t xml:space="preserve">may be a </w:t>
      </w:r>
      <w:r w:rsidR="002C6912">
        <w:t xml:space="preserve">disincentive to </w:t>
      </w:r>
      <w:r w:rsidR="00407B21">
        <w:t>selecting that forum</w:t>
      </w:r>
      <w:r w:rsidR="0099520C">
        <w:t xml:space="preserve">, </w:t>
      </w:r>
      <w:r w:rsidR="00131CC0">
        <w:t xml:space="preserve">whether </w:t>
      </w:r>
      <w:r w:rsidR="0099520C">
        <w:t>directly in a jurisdiction clause or indirectly in an arbitration clause</w:t>
      </w:r>
      <w:r w:rsidR="00131CC0">
        <w:t>.</w:t>
      </w:r>
      <w:r w:rsidR="00330986">
        <w:t xml:space="preserve">  And as Lawton LJ</w:t>
      </w:r>
      <w:r w:rsidR="000A62CE">
        <w:t>, said in the early days</w:t>
      </w:r>
      <w:r w:rsidR="007D2D01">
        <w:t>:</w:t>
      </w:r>
      <w:r w:rsidR="00E43D74" w:rsidRPr="00E43D74">
        <w:rPr>
          <w:rStyle w:val="FootnoteReference"/>
        </w:rPr>
        <w:t xml:space="preserve"> </w:t>
      </w:r>
    </w:p>
    <w:p w14:paraId="30330E15" w14:textId="434286BA" w:rsidR="008E288E" w:rsidRDefault="008E288E" w:rsidP="00752DA8">
      <w:pPr>
        <w:pStyle w:val="ParaLevel1"/>
        <w:spacing w:line="240" w:lineRule="auto"/>
        <w:ind w:left="774"/>
      </w:pPr>
      <w:r>
        <w:t>“Even if a plaintiff has good reason for thinking that a defendant intends to dispose of assets so as to deprive him of his anticipated judgment, the court must always remember that rogues have to live and that all orders, particularly interlocutory ones, should as far as possible do justice to all parties.”</w:t>
      </w:r>
      <w:r w:rsidR="007129BE" w:rsidRPr="007129BE">
        <w:rPr>
          <w:rStyle w:val="FootnoteReference"/>
        </w:rPr>
        <w:t xml:space="preserve"> </w:t>
      </w:r>
      <w:r w:rsidR="007129BE">
        <w:rPr>
          <w:rStyle w:val="FootnoteReference"/>
        </w:rPr>
        <w:footnoteReference w:id="10"/>
      </w:r>
    </w:p>
    <w:p w14:paraId="6C7A36A8" w14:textId="6AD0D677" w:rsidR="008B2757" w:rsidRPr="00752DA8" w:rsidRDefault="000B7441" w:rsidP="000B7441">
      <w:pPr>
        <w:pStyle w:val="ParaLevel1"/>
        <w:spacing w:line="360" w:lineRule="auto"/>
        <w:rPr>
          <w:i/>
          <w:iCs/>
        </w:rPr>
      </w:pPr>
      <w:r w:rsidRPr="00752DA8">
        <w:rPr>
          <w:i/>
          <w:iCs/>
        </w:rPr>
        <w:t>The merits test</w:t>
      </w:r>
    </w:p>
    <w:p w14:paraId="437080D2" w14:textId="268A4738" w:rsidR="001D77EB" w:rsidRDefault="00F71F35" w:rsidP="00801F03">
      <w:pPr>
        <w:pStyle w:val="ParaLevel1"/>
        <w:numPr>
          <w:ilvl w:val="0"/>
          <w:numId w:val="1"/>
        </w:numPr>
        <w:spacing w:line="360" w:lineRule="auto"/>
      </w:pPr>
      <w:r>
        <w:t>After some initial uncertainty, the merits test was settled in</w:t>
      </w:r>
      <w:r w:rsidR="00B314F0">
        <w:t xml:space="preserve"> </w:t>
      </w:r>
      <w:r w:rsidR="00EE7AFE" w:rsidRPr="00582D2D">
        <w:rPr>
          <w:i/>
          <w:iCs/>
        </w:rPr>
        <w:t>T</w:t>
      </w:r>
      <w:r w:rsidR="00B314F0" w:rsidRPr="00392DC4">
        <w:rPr>
          <w:i/>
          <w:iCs/>
        </w:rPr>
        <w:t>he Niedersachsen</w:t>
      </w:r>
      <w:r w:rsidR="00752DA8">
        <w:t>,</w:t>
      </w:r>
      <w:r w:rsidR="00B314F0">
        <w:t xml:space="preserve"> </w:t>
      </w:r>
      <w:r w:rsidR="00A20E24">
        <w:t xml:space="preserve">in a </w:t>
      </w:r>
      <w:r w:rsidR="00070AD7">
        <w:t>j</w:t>
      </w:r>
      <w:r w:rsidR="00A20E24">
        <w:t>udgment of Musti</w:t>
      </w:r>
      <w:r w:rsidR="00CC03E5">
        <w:t>ll J endorsed by the Court of Appeal</w:t>
      </w:r>
      <w:r w:rsidR="00752DA8">
        <w:t>,</w:t>
      </w:r>
      <w:r w:rsidR="00CC03E5">
        <w:t xml:space="preserve"> </w:t>
      </w:r>
      <w:r w:rsidR="00EB7D79">
        <w:t>as being a good arguable case,</w:t>
      </w:r>
      <w:r w:rsidR="00752DA8">
        <w:t xml:space="preserve"> </w:t>
      </w:r>
      <w:r w:rsidR="00EB7D79">
        <w:t xml:space="preserve">meaning </w:t>
      </w:r>
      <w:r w:rsidR="00E02D4A">
        <w:t>“a case which is more than barely capable of serious argument</w:t>
      </w:r>
      <w:r w:rsidR="00461449">
        <w:t>, and yet not necessarily one which the judge believes to have better than 50% chance of success”</w:t>
      </w:r>
      <w:r w:rsidR="00E43D74">
        <w:t>.</w:t>
      </w:r>
      <w:r w:rsidR="00E43D74">
        <w:rPr>
          <w:rStyle w:val="FootnoteReference"/>
        </w:rPr>
        <w:footnoteReference w:id="11"/>
      </w:r>
      <w:r w:rsidR="007129BE">
        <w:t xml:space="preserve"> </w:t>
      </w:r>
      <w:r w:rsidR="0087464A">
        <w:t xml:space="preserve">That was the test regularly applied </w:t>
      </w:r>
      <w:r w:rsidR="00A46CB7">
        <w:t>in t</w:t>
      </w:r>
      <w:r w:rsidR="0087464A">
        <w:t xml:space="preserve">he Commercial Court for decades, but it was thrown into doubt by the fact that </w:t>
      </w:r>
      <w:r w:rsidR="00917288">
        <w:t xml:space="preserve">it had its origins in </w:t>
      </w:r>
      <w:r w:rsidR="00752DA8">
        <w:t>a</w:t>
      </w:r>
      <w:r w:rsidR="00917288">
        <w:t xml:space="preserve"> merits test of good arguable case for jurisdiction purposes</w:t>
      </w:r>
      <w:r w:rsidR="00E85D2A">
        <w:t xml:space="preserve">, </w:t>
      </w:r>
      <w:r w:rsidR="006501B9">
        <w:t xml:space="preserve">which in that context </w:t>
      </w:r>
      <w:r w:rsidR="00E85D2A">
        <w:t xml:space="preserve">had been taking on a different complexion in </w:t>
      </w:r>
      <w:r w:rsidR="004B5700">
        <w:t>successive cases w</w:t>
      </w:r>
      <w:r w:rsidR="00E85D2A">
        <w:t>hich resulted in it meaning the better of the arguments, with developed jurisprudence as to how to address disputed evidence at the interlocutory stage</w:t>
      </w:r>
      <w:r w:rsidR="00F074EA">
        <w:t>.</w:t>
      </w:r>
      <w:r w:rsidR="006A05EC">
        <w:rPr>
          <w:rStyle w:val="FootnoteReference"/>
        </w:rPr>
        <w:footnoteReference w:id="12"/>
      </w:r>
      <w:r w:rsidR="007129BE">
        <w:t xml:space="preserve"> </w:t>
      </w:r>
      <w:r w:rsidR="00E85D2A">
        <w:t xml:space="preserve">This was a different and higher threshold than what </w:t>
      </w:r>
      <w:r w:rsidR="004B50E7" w:rsidRPr="00582D2D">
        <w:rPr>
          <w:i/>
          <w:iCs/>
        </w:rPr>
        <w:t>T</w:t>
      </w:r>
      <w:r w:rsidR="00E3394E" w:rsidRPr="00392DC4">
        <w:rPr>
          <w:i/>
          <w:iCs/>
        </w:rPr>
        <w:t>he Niedersachsen</w:t>
      </w:r>
      <w:r w:rsidR="00E3394E">
        <w:t xml:space="preserve"> had determined to be the merits </w:t>
      </w:r>
      <w:r w:rsidR="00FF57A2">
        <w:t xml:space="preserve">test </w:t>
      </w:r>
      <w:r w:rsidR="00E3394E">
        <w:t xml:space="preserve">for a </w:t>
      </w:r>
      <w:r w:rsidR="007129BE">
        <w:t>Mareva</w:t>
      </w:r>
      <w:r w:rsidR="00E3394E">
        <w:t xml:space="preserve">, </w:t>
      </w:r>
      <w:r w:rsidR="00243BBC">
        <w:t xml:space="preserve">notwithstanding that both used the </w:t>
      </w:r>
      <w:r w:rsidR="00434C82">
        <w:t xml:space="preserve">expression </w:t>
      </w:r>
      <w:r w:rsidR="00D02055">
        <w:t xml:space="preserve">“good arguable case” to define </w:t>
      </w:r>
      <w:r w:rsidR="00434C82">
        <w:t xml:space="preserve">the test. </w:t>
      </w:r>
      <w:r w:rsidR="00D02055" w:rsidRPr="00F074EA">
        <w:t>The</w:t>
      </w:r>
      <w:r w:rsidR="00D02055" w:rsidRPr="00392DC4">
        <w:rPr>
          <w:i/>
          <w:iCs/>
        </w:rPr>
        <w:t xml:space="preserve"> </w:t>
      </w:r>
      <w:r w:rsidR="00243BBC" w:rsidRPr="00392DC4">
        <w:rPr>
          <w:i/>
          <w:iCs/>
        </w:rPr>
        <w:t>Niedersachsen</w:t>
      </w:r>
      <w:r w:rsidR="00243BBC">
        <w:t xml:space="preserve"> test </w:t>
      </w:r>
      <w:r w:rsidR="00FF57A2">
        <w:t xml:space="preserve">for </w:t>
      </w:r>
      <w:proofErr w:type="spellStart"/>
      <w:r w:rsidR="007129BE">
        <w:t>Marevas</w:t>
      </w:r>
      <w:proofErr w:type="spellEnd"/>
      <w:r w:rsidR="007129BE">
        <w:t xml:space="preserve"> </w:t>
      </w:r>
      <w:r w:rsidR="00243BBC">
        <w:t xml:space="preserve">was thrown into doubt by the Court of Appeal decision in 2020 in </w:t>
      </w:r>
      <w:proofErr w:type="spellStart"/>
      <w:r w:rsidR="00243BBC" w:rsidRPr="002B2132">
        <w:rPr>
          <w:i/>
          <w:iCs/>
        </w:rPr>
        <w:t>Lakatamia</w:t>
      </w:r>
      <w:proofErr w:type="spellEnd"/>
      <w:r w:rsidR="00243BBC" w:rsidRPr="002B2132">
        <w:rPr>
          <w:i/>
          <w:iCs/>
        </w:rPr>
        <w:t xml:space="preserve"> v </w:t>
      </w:r>
      <w:r w:rsidR="00A10BAB" w:rsidRPr="002B2132">
        <w:rPr>
          <w:i/>
          <w:iCs/>
        </w:rPr>
        <w:t>Morimoto</w:t>
      </w:r>
      <w:r w:rsidR="00243BBC">
        <w:t>,</w:t>
      </w:r>
      <w:r w:rsidR="009A00DA">
        <w:rPr>
          <w:rStyle w:val="FootnoteReference"/>
        </w:rPr>
        <w:footnoteReference w:id="13"/>
      </w:r>
      <w:r w:rsidR="00243BBC">
        <w:t xml:space="preserve"> in which Haddon</w:t>
      </w:r>
      <w:r w:rsidR="004D074F">
        <w:t>-</w:t>
      </w:r>
      <w:r w:rsidR="00243BBC">
        <w:t>Cave LJ appeared to equate the Mareva test with the jurisdictional</w:t>
      </w:r>
      <w:r w:rsidR="00D02055">
        <w:t xml:space="preserve"> test</w:t>
      </w:r>
      <w:r w:rsidR="00243BBC">
        <w:t xml:space="preserve">, </w:t>
      </w:r>
      <w:r w:rsidR="00E94CE2">
        <w:t>whilst at the same time describing it as not very onerous.</w:t>
      </w:r>
      <w:r w:rsidR="00641C5A">
        <w:t xml:space="preserve"> </w:t>
      </w:r>
      <w:r w:rsidR="001D77EB">
        <w:t>The position was re-examined in the recent C</w:t>
      </w:r>
      <w:r w:rsidR="006501B9">
        <w:t xml:space="preserve">ourt of Appeal </w:t>
      </w:r>
      <w:r w:rsidR="001D77EB">
        <w:t xml:space="preserve">decision in </w:t>
      </w:r>
      <w:r w:rsidR="001D77EB" w:rsidRPr="00434E1E">
        <w:rPr>
          <w:i/>
          <w:iCs/>
        </w:rPr>
        <w:t xml:space="preserve">Dos Santos v </w:t>
      </w:r>
      <w:proofErr w:type="spellStart"/>
      <w:r w:rsidR="001D77EB" w:rsidRPr="00434E1E">
        <w:rPr>
          <w:i/>
          <w:iCs/>
        </w:rPr>
        <w:t>Unitel</w:t>
      </w:r>
      <w:proofErr w:type="spellEnd"/>
      <w:r w:rsidR="001D77EB" w:rsidRPr="00434E1E">
        <w:t>,</w:t>
      </w:r>
      <w:r w:rsidR="0088568C" w:rsidRPr="00434E1E">
        <w:rPr>
          <w:rStyle w:val="FootnoteReference"/>
        </w:rPr>
        <w:footnoteReference w:id="14"/>
      </w:r>
      <w:r w:rsidR="001D77EB">
        <w:t xml:space="preserve"> in which the Court</w:t>
      </w:r>
      <w:r w:rsidR="00EF4A98">
        <w:t xml:space="preserve">, of which I was a member, </w:t>
      </w:r>
      <w:r w:rsidR="001D77EB">
        <w:t xml:space="preserve">confirmed that the merits test for </w:t>
      </w:r>
      <w:proofErr w:type="spellStart"/>
      <w:r w:rsidR="00641C5A">
        <w:t>Marevas</w:t>
      </w:r>
      <w:proofErr w:type="spellEnd"/>
      <w:r w:rsidR="00641C5A">
        <w:t xml:space="preserve"> </w:t>
      </w:r>
      <w:r w:rsidR="001D77EB">
        <w:t xml:space="preserve">remained </w:t>
      </w:r>
      <w:r w:rsidR="002B378D" w:rsidRPr="00582D2D">
        <w:rPr>
          <w:i/>
          <w:iCs/>
        </w:rPr>
        <w:t>T</w:t>
      </w:r>
      <w:r w:rsidR="001D77EB" w:rsidRPr="00392DC4">
        <w:rPr>
          <w:i/>
          <w:iCs/>
        </w:rPr>
        <w:t>he Niedersachsen</w:t>
      </w:r>
      <w:r w:rsidR="001D77EB">
        <w:t xml:space="preserve"> test, not the test of good arguable case for jurisdiction purposes. </w:t>
      </w:r>
    </w:p>
    <w:p w14:paraId="7A1B8750" w14:textId="26D7E2AA" w:rsidR="0043568C" w:rsidRPr="00202FDD" w:rsidRDefault="001D77EB" w:rsidP="00801F03">
      <w:pPr>
        <w:pStyle w:val="ParaLevel1"/>
        <w:numPr>
          <w:ilvl w:val="0"/>
          <w:numId w:val="1"/>
        </w:numPr>
        <w:spacing w:line="360" w:lineRule="auto"/>
        <w:rPr>
          <w:b/>
          <w:bCs/>
        </w:rPr>
      </w:pPr>
      <w:r>
        <w:t xml:space="preserve">That </w:t>
      </w:r>
      <w:r w:rsidR="00F02D60">
        <w:t xml:space="preserve">aspect of the </w:t>
      </w:r>
      <w:r w:rsidR="00821577">
        <w:t xml:space="preserve">decision </w:t>
      </w:r>
      <w:r w:rsidR="00F02D60">
        <w:t>was not, I think, regarded as particularly controversial by practitioners.</w:t>
      </w:r>
      <w:r w:rsidR="00641C5A">
        <w:t xml:space="preserve"> </w:t>
      </w:r>
      <w:r w:rsidR="00F02D60">
        <w:t xml:space="preserve">What </w:t>
      </w:r>
      <w:r w:rsidR="008959AA">
        <w:t>has been received with greater criticism</w:t>
      </w:r>
      <w:r w:rsidR="002E5894">
        <w:rPr>
          <w:rStyle w:val="FootnoteReference"/>
        </w:rPr>
        <w:footnoteReference w:id="15"/>
      </w:r>
      <w:r w:rsidR="008959AA">
        <w:t xml:space="preserve"> is</w:t>
      </w:r>
      <w:r w:rsidR="00E21394">
        <w:t xml:space="preserve"> </w:t>
      </w:r>
      <w:r w:rsidR="008959AA">
        <w:t xml:space="preserve">what I said in a concurring </w:t>
      </w:r>
      <w:r w:rsidR="00D56290">
        <w:t>j</w:t>
      </w:r>
      <w:r w:rsidR="008959AA">
        <w:t>udgment</w:t>
      </w:r>
      <w:r w:rsidR="00E21394">
        <w:t>, with which Sir Julian Flaux C and Falk LJ agreed</w:t>
      </w:r>
      <w:r w:rsidR="00905AB8">
        <w:t>:</w:t>
      </w:r>
    </w:p>
    <w:p w14:paraId="49D80EF7" w14:textId="10E70D12" w:rsidR="0043568C" w:rsidRDefault="00E06F46" w:rsidP="00905AB8">
      <w:pPr>
        <w:pStyle w:val="ParaLevel1"/>
        <w:spacing w:line="240" w:lineRule="auto"/>
        <w:ind w:left="1134"/>
      </w:pPr>
      <w:r>
        <w:t>“</w:t>
      </w:r>
      <w:r w:rsidR="0043568C">
        <w:t xml:space="preserve">the time has come, in my view, to recognise that the </w:t>
      </w:r>
      <w:r w:rsidR="0043568C" w:rsidRPr="00E46A62">
        <w:rPr>
          <w:i/>
          <w:iCs/>
        </w:rPr>
        <w:t>gateway</w:t>
      </w:r>
      <w:r w:rsidR="0043568C">
        <w:t xml:space="preserve"> merits test for a freezing order is and</w:t>
      </w:r>
      <w:r w:rsidR="00D56290">
        <w:t xml:space="preserve"> </w:t>
      </w:r>
      <w:r w:rsidR="0043568C">
        <w:t xml:space="preserve">should be the same as that for interim injunctions generally, namely whether there is a serious issue to be tried. That is so both as a matter of principle and because it is no </w:t>
      </w:r>
      <w:r w:rsidR="004B03FA">
        <w:t xml:space="preserve">different </w:t>
      </w:r>
      <w:r w:rsidR="0043568C">
        <w:t>in substance from the test applicable to freezing</w:t>
      </w:r>
      <w:r w:rsidR="004B03FA">
        <w:t xml:space="preserve"> </w:t>
      </w:r>
      <w:r w:rsidR="0043568C">
        <w:t>orders of good arguable case, in the sense de</w:t>
      </w:r>
      <w:r>
        <w:t>fi</w:t>
      </w:r>
      <w:r w:rsidR="0043568C">
        <w:t xml:space="preserve">ned in </w:t>
      </w:r>
      <w:r w:rsidR="0043568C" w:rsidRPr="00392DC4">
        <w:rPr>
          <w:i/>
          <w:iCs/>
        </w:rPr>
        <w:t>The Niedersachsen</w:t>
      </w:r>
      <w:r>
        <w:t>”</w:t>
      </w:r>
      <w:r w:rsidR="004D7E9B">
        <w:t>.</w:t>
      </w:r>
      <w:r w:rsidR="004D7E9B">
        <w:rPr>
          <w:rStyle w:val="FootnoteReference"/>
        </w:rPr>
        <w:footnoteReference w:id="16"/>
      </w:r>
      <w:r>
        <w:t xml:space="preserve"> </w:t>
      </w:r>
    </w:p>
    <w:p w14:paraId="12878173" w14:textId="34B1AD4B" w:rsidR="009518D0" w:rsidRDefault="00DB7A24" w:rsidP="00C2339D">
      <w:pPr>
        <w:pStyle w:val="ParaLevel1"/>
        <w:numPr>
          <w:ilvl w:val="0"/>
          <w:numId w:val="1"/>
        </w:numPr>
        <w:spacing w:line="360" w:lineRule="auto"/>
      </w:pPr>
      <w:r>
        <w:t>T</w:t>
      </w:r>
      <w:r w:rsidR="00B2168B">
        <w:t>he serious issue to be tried test</w:t>
      </w:r>
      <w:r w:rsidR="004B06FB">
        <w:t xml:space="preserve"> for interim injunctions generally </w:t>
      </w:r>
      <w:r w:rsidR="00B2168B">
        <w:t>has been equated with the test for summary judgment</w:t>
      </w:r>
      <w:r w:rsidR="00516002">
        <w:t>,</w:t>
      </w:r>
      <w:r w:rsidR="00B2168B">
        <w:t xml:space="preserve"> namely whether there is a real prospect of success.</w:t>
      </w:r>
      <w:r w:rsidR="00F61248">
        <w:rPr>
          <w:rStyle w:val="FootnoteReference"/>
        </w:rPr>
        <w:footnoteReference w:id="17"/>
      </w:r>
      <w:r w:rsidR="00B2168B">
        <w:t xml:space="preserve"> </w:t>
      </w:r>
      <w:r w:rsidR="003C5154">
        <w:t>The case law</w:t>
      </w:r>
      <w:r w:rsidR="00C46FD8" w:rsidRPr="00F61248">
        <w:t xml:space="preserve"> </w:t>
      </w:r>
      <w:r w:rsidR="00707951" w:rsidRPr="00F61248">
        <w:t>has</w:t>
      </w:r>
      <w:r w:rsidR="00707951">
        <w:t xml:space="preserve"> emphasised that this means</w:t>
      </w:r>
      <w:r w:rsidR="00C2339D">
        <w:t xml:space="preserve"> </w:t>
      </w:r>
      <w:r w:rsidR="00C46FD8">
        <w:t xml:space="preserve">a claim which </w:t>
      </w:r>
      <w:r w:rsidR="00BB5D30">
        <w:t>“</w:t>
      </w:r>
      <w:r w:rsidR="00C46FD8">
        <w:t xml:space="preserve">is </w:t>
      </w:r>
      <w:r w:rsidR="00C46FD8" w:rsidRPr="00C2339D">
        <w:rPr>
          <w:i/>
          <w:iCs/>
        </w:rPr>
        <w:t>more</w:t>
      </w:r>
      <w:r w:rsidR="00C46FD8">
        <w:t xml:space="preserve"> than merely arguable and which carries </w:t>
      </w:r>
      <w:r w:rsidR="00C46FD8" w:rsidRPr="00C2339D">
        <w:rPr>
          <w:i/>
          <w:iCs/>
        </w:rPr>
        <w:t>some degree of conviction</w:t>
      </w:r>
      <w:r w:rsidR="009518D0">
        <w:t>”</w:t>
      </w:r>
      <w:r w:rsidR="00A466DB">
        <w:t xml:space="preserve"> (my emphasis).</w:t>
      </w:r>
      <w:r w:rsidR="00F61248">
        <w:rPr>
          <w:rStyle w:val="FootnoteReference"/>
        </w:rPr>
        <w:footnoteReference w:id="18"/>
      </w:r>
    </w:p>
    <w:p w14:paraId="5D1E6F90" w14:textId="2A7ED3FC" w:rsidR="00FE423D" w:rsidRDefault="00C46FD8" w:rsidP="009518D0">
      <w:pPr>
        <w:pStyle w:val="ParaLevel1"/>
        <w:numPr>
          <w:ilvl w:val="0"/>
          <w:numId w:val="1"/>
        </w:numPr>
        <w:spacing w:line="360" w:lineRule="auto"/>
      </w:pPr>
      <w:r>
        <w:t xml:space="preserve"> </w:t>
      </w:r>
      <w:r w:rsidR="008161FF">
        <w:t xml:space="preserve">In </w:t>
      </w:r>
      <w:r w:rsidR="008161FF" w:rsidRPr="006113D1">
        <w:rPr>
          <w:i/>
          <w:iCs/>
        </w:rPr>
        <w:t>Dos Santos</w:t>
      </w:r>
      <w:r w:rsidR="008161FF">
        <w:t xml:space="preserve">, the Court said </w:t>
      </w:r>
      <w:r>
        <w:t xml:space="preserve">that </w:t>
      </w:r>
      <w:r w:rsidR="006D3B9F">
        <w:t xml:space="preserve">that was no </w:t>
      </w:r>
      <w:r>
        <w:t>di</w:t>
      </w:r>
      <w:r w:rsidR="006D3B9F">
        <w:t>ff</w:t>
      </w:r>
      <w:r>
        <w:t xml:space="preserve">erent in substance from one which is </w:t>
      </w:r>
      <w:r w:rsidRPr="004A01F2">
        <w:rPr>
          <w:i/>
          <w:iCs/>
        </w:rPr>
        <w:t>more than</w:t>
      </w:r>
      <w:r>
        <w:t xml:space="preserve"> barely capable of serious argument</w:t>
      </w:r>
      <w:r w:rsidR="002F5CCB">
        <w:t>, reflecting a similar comment by the Chancellor in an earlier case.</w:t>
      </w:r>
      <w:r w:rsidR="00A30F89">
        <w:t xml:space="preserve"> </w:t>
      </w:r>
      <w:r w:rsidR="006113D1">
        <w:t>In other words</w:t>
      </w:r>
      <w:r w:rsidR="00FE423D">
        <w:t xml:space="preserve"> </w:t>
      </w:r>
      <w:r w:rsidR="00F074EA" w:rsidRPr="00582D2D">
        <w:t>t</w:t>
      </w:r>
      <w:r w:rsidR="00FE423D" w:rsidRPr="00F074EA">
        <w:t xml:space="preserve">he </w:t>
      </w:r>
      <w:r w:rsidR="00FE423D" w:rsidRPr="00392DC4">
        <w:rPr>
          <w:i/>
          <w:iCs/>
        </w:rPr>
        <w:t>Niedersachsen</w:t>
      </w:r>
      <w:r w:rsidR="00FE423D">
        <w:t xml:space="preserve"> test </w:t>
      </w:r>
      <w:r w:rsidR="009D35E7">
        <w:t>is</w:t>
      </w:r>
      <w:r w:rsidR="002E0FED">
        <w:t>, in</w:t>
      </w:r>
      <w:r w:rsidR="009D35E7">
        <w:t xml:space="preserve"> </w:t>
      </w:r>
      <w:r w:rsidR="00FE423D">
        <w:t>substance</w:t>
      </w:r>
      <w:r w:rsidR="002E0FED">
        <w:t>,</w:t>
      </w:r>
      <w:r w:rsidR="00FE423D">
        <w:t xml:space="preserve"> the same as serious issue to be tried</w:t>
      </w:r>
      <w:r w:rsidR="00BD32F9">
        <w:t>.</w:t>
      </w:r>
    </w:p>
    <w:p w14:paraId="75DB1170" w14:textId="736D5A8A" w:rsidR="00897C9F" w:rsidRDefault="005F6695" w:rsidP="00927A9E">
      <w:pPr>
        <w:pStyle w:val="ParaLevel1"/>
        <w:numPr>
          <w:ilvl w:val="0"/>
          <w:numId w:val="1"/>
        </w:numPr>
        <w:spacing w:line="360" w:lineRule="auto"/>
      </w:pPr>
      <w:r>
        <w:t xml:space="preserve">I don’t want to be detained for too long on </w:t>
      </w:r>
      <w:r w:rsidR="00C71E1C">
        <w:t xml:space="preserve">whether the two tests are the same. </w:t>
      </w:r>
      <w:r w:rsidR="00536076">
        <w:t>Views differ on that.</w:t>
      </w:r>
      <w:r w:rsidR="00A30F89">
        <w:t xml:space="preserve"> </w:t>
      </w:r>
      <w:r w:rsidR="009F62B7">
        <w:t xml:space="preserve">What matters for present purposes is whether the </w:t>
      </w:r>
      <w:r w:rsidR="00917CC6">
        <w:t xml:space="preserve">test </w:t>
      </w:r>
      <w:r w:rsidR="00917CC6" w:rsidRPr="00927A9E">
        <w:rPr>
          <w:i/>
          <w:iCs/>
        </w:rPr>
        <w:t>should be</w:t>
      </w:r>
      <w:r w:rsidR="00917CC6">
        <w:t xml:space="preserve"> higher for </w:t>
      </w:r>
      <w:proofErr w:type="spellStart"/>
      <w:r w:rsidR="00A30F89" w:rsidRPr="00392DC4">
        <w:t>M</w:t>
      </w:r>
      <w:r w:rsidR="00917CC6">
        <w:t>arevas</w:t>
      </w:r>
      <w:proofErr w:type="spellEnd"/>
      <w:r w:rsidR="00917CC6">
        <w:t>.</w:t>
      </w:r>
      <w:r w:rsidR="00127A7C">
        <w:t xml:space="preserve"> </w:t>
      </w:r>
      <w:r w:rsidR="00DB6F31">
        <w:t xml:space="preserve">The Court in </w:t>
      </w:r>
      <w:r w:rsidR="00917CC6" w:rsidRPr="00927A9E">
        <w:rPr>
          <w:i/>
          <w:iCs/>
        </w:rPr>
        <w:t xml:space="preserve">Dos Santos </w:t>
      </w:r>
      <w:r w:rsidR="00917CC6">
        <w:t>advance</w:t>
      </w:r>
      <w:r w:rsidR="00DB6F31">
        <w:t>d</w:t>
      </w:r>
      <w:r w:rsidR="00917CC6">
        <w:t xml:space="preserve"> </w:t>
      </w:r>
      <w:r w:rsidR="00E568C5">
        <w:t>a number of arguments why not, of which I want to mention two:</w:t>
      </w:r>
    </w:p>
    <w:p w14:paraId="7E585884" w14:textId="3693A833" w:rsidR="00C73728" w:rsidRDefault="003A4EAF" w:rsidP="00944549">
      <w:pPr>
        <w:pStyle w:val="ParaLevel1"/>
        <w:numPr>
          <w:ilvl w:val="1"/>
          <w:numId w:val="1"/>
        </w:numPr>
        <w:spacing w:line="360" w:lineRule="auto"/>
      </w:pPr>
      <w:r>
        <w:t xml:space="preserve">The first rests upon the nature of the right being protected by a Mareva. Following </w:t>
      </w:r>
      <w:r w:rsidR="00EC21AD">
        <w:rPr>
          <w:i/>
          <w:iCs/>
        </w:rPr>
        <w:t>T</w:t>
      </w:r>
      <w:r w:rsidRPr="00EC21AD">
        <w:rPr>
          <w:i/>
          <w:iCs/>
        </w:rPr>
        <w:t xml:space="preserve">he </w:t>
      </w:r>
      <w:proofErr w:type="spellStart"/>
      <w:r w:rsidRPr="00EC21AD">
        <w:rPr>
          <w:i/>
          <w:iCs/>
        </w:rPr>
        <w:t>Siskina</w:t>
      </w:r>
      <w:proofErr w:type="spellEnd"/>
      <w:r w:rsidR="00EC21AD" w:rsidRPr="00392DC4">
        <w:rPr>
          <w:rStyle w:val="FootnoteReference"/>
        </w:rPr>
        <w:footnoteReference w:id="19"/>
      </w:r>
      <w:r w:rsidR="00FE423D">
        <w:rPr>
          <w:i/>
          <w:iCs/>
        </w:rPr>
        <w:t xml:space="preserve"> </w:t>
      </w:r>
      <w:r w:rsidR="00C56CFD" w:rsidRPr="00C56CFD">
        <w:t>i</w:t>
      </w:r>
      <w:r w:rsidRPr="00C56CFD">
        <w:t>t</w:t>
      </w:r>
      <w:r>
        <w:t xml:space="preserve"> was long thought that a Mareva could only be granted in support of another existing substantive right and that</w:t>
      </w:r>
      <w:r w:rsidR="00583DDF">
        <w:t xml:space="preserve"> it was that </w:t>
      </w:r>
      <w:r w:rsidR="00536076">
        <w:t xml:space="preserve">existing </w:t>
      </w:r>
      <w:r>
        <w:t xml:space="preserve">substantive right </w:t>
      </w:r>
      <w:r w:rsidR="001A3876">
        <w:t xml:space="preserve">which the </w:t>
      </w:r>
      <w:r>
        <w:t>injunction was protecting.</w:t>
      </w:r>
      <w:r w:rsidR="00127A7C">
        <w:t xml:space="preserve"> </w:t>
      </w:r>
      <w:r>
        <w:t xml:space="preserve">However, </w:t>
      </w:r>
      <w:r w:rsidR="00D40B09">
        <w:t xml:space="preserve">the Mareva </w:t>
      </w:r>
      <w:r w:rsidR="00382631" w:rsidRPr="00382631">
        <w:t>now has its justi</w:t>
      </w:r>
      <w:r w:rsidR="00382631">
        <w:t>fi</w:t>
      </w:r>
      <w:r w:rsidR="00382631" w:rsidRPr="00382631">
        <w:t xml:space="preserve">cation </w:t>
      </w:r>
      <w:r w:rsidR="00382631">
        <w:t>fir</w:t>
      </w:r>
      <w:r w:rsidR="00382631" w:rsidRPr="00382631">
        <w:t xml:space="preserve">mly rooted in the protection of prospective rights and interests in what is termed the enforcement principle, as the Privy Council explained in </w:t>
      </w:r>
      <w:r w:rsidR="00944549" w:rsidRPr="00E15B93">
        <w:rPr>
          <w:i/>
          <w:iCs/>
        </w:rPr>
        <w:t>Broad Idea International Ltd v Convoy Collateral</w:t>
      </w:r>
      <w:r w:rsidR="00944549" w:rsidRPr="00E15B93">
        <w:t xml:space="preserve"> </w:t>
      </w:r>
      <w:r w:rsidR="00944549" w:rsidRPr="00392DC4">
        <w:rPr>
          <w:i/>
          <w:iCs/>
        </w:rPr>
        <w:t>Ltd</w:t>
      </w:r>
      <w:r w:rsidR="00536076">
        <w:t>.</w:t>
      </w:r>
      <w:r w:rsidR="00905461">
        <w:rPr>
          <w:rStyle w:val="FootnoteReference"/>
        </w:rPr>
        <w:footnoteReference w:id="20"/>
      </w:r>
      <w:r w:rsidR="00536076">
        <w:t xml:space="preserve"> And</w:t>
      </w:r>
      <w:r w:rsidR="00905461">
        <w:t>,</w:t>
      </w:r>
      <w:r w:rsidR="00536076">
        <w:t xml:space="preserve"> </w:t>
      </w:r>
      <w:r w:rsidR="00382631" w:rsidRPr="00382631">
        <w:t xml:space="preserve">although there are </w:t>
      </w:r>
      <w:r w:rsidR="00382631">
        <w:t xml:space="preserve">some </w:t>
      </w:r>
      <w:r w:rsidR="00382631" w:rsidRPr="00382631">
        <w:t>important di</w:t>
      </w:r>
      <w:r w:rsidR="002F05FA">
        <w:t>ff</w:t>
      </w:r>
      <w:r w:rsidR="00382631" w:rsidRPr="00382631">
        <w:t xml:space="preserve">erences between </w:t>
      </w:r>
      <w:proofErr w:type="spellStart"/>
      <w:r w:rsidR="00127A7C" w:rsidRPr="00582D2D">
        <w:t>M</w:t>
      </w:r>
      <w:r w:rsidR="00382631" w:rsidRPr="00127A7C">
        <w:t>a</w:t>
      </w:r>
      <w:r w:rsidR="00382631">
        <w:t>revas</w:t>
      </w:r>
      <w:proofErr w:type="spellEnd"/>
      <w:r w:rsidR="00382631">
        <w:t xml:space="preserve"> </w:t>
      </w:r>
      <w:r w:rsidR="00382631" w:rsidRPr="00382631">
        <w:t>and other forms of interim injunctions, the</w:t>
      </w:r>
      <w:r w:rsidR="00940B1D">
        <w:t xml:space="preserve"> nature of the interest being protected in each case is not such as to justify a difference in the merits test. F</w:t>
      </w:r>
      <w:r w:rsidR="00382631" w:rsidRPr="00382631">
        <w:t xml:space="preserve">or interim injunctions the </w:t>
      </w:r>
      <w:r w:rsidR="008E1BA3">
        <w:t xml:space="preserve">apparent </w:t>
      </w:r>
      <w:r w:rsidR="00382631" w:rsidRPr="00382631">
        <w:t>right being protected is a</w:t>
      </w:r>
      <w:r w:rsidR="008E1BA3">
        <w:t xml:space="preserve">n existing </w:t>
      </w:r>
      <w:r w:rsidR="00382631" w:rsidRPr="00382631">
        <w:t xml:space="preserve">substantive legal right, </w:t>
      </w:r>
      <w:r w:rsidR="002421F2">
        <w:t>which has a</w:t>
      </w:r>
      <w:r w:rsidR="004754E9">
        <w:t xml:space="preserve"> sufficient prospect of being </w:t>
      </w:r>
      <w:r w:rsidR="008E1BA3">
        <w:t xml:space="preserve">established </w:t>
      </w:r>
      <w:r w:rsidR="00382631" w:rsidRPr="00382631">
        <w:t xml:space="preserve">at trial </w:t>
      </w:r>
      <w:r w:rsidR="00856A92">
        <w:t xml:space="preserve">resulting in a judgment; </w:t>
      </w:r>
      <w:r w:rsidR="00382631" w:rsidRPr="00382631">
        <w:t xml:space="preserve">for freezing orders it is a legally protected interest in a judgment being enforceable, again on the assumption that there is </w:t>
      </w:r>
      <w:r w:rsidR="003B090B">
        <w:t xml:space="preserve">or will be </w:t>
      </w:r>
      <w:r w:rsidR="00382631" w:rsidRPr="00382631">
        <w:t xml:space="preserve">a substantive </w:t>
      </w:r>
      <w:r w:rsidR="001315BE">
        <w:t xml:space="preserve">legal </w:t>
      </w:r>
      <w:r w:rsidR="00382631" w:rsidRPr="00382631">
        <w:t>right</w:t>
      </w:r>
      <w:r w:rsidR="00856A92" w:rsidRPr="00382631">
        <w:t xml:space="preserve">, </w:t>
      </w:r>
      <w:r w:rsidR="00856A92">
        <w:t xml:space="preserve">which has a sufficient prospect of being established </w:t>
      </w:r>
      <w:r w:rsidR="00856A92" w:rsidRPr="00382631">
        <w:t xml:space="preserve">at trial </w:t>
      </w:r>
      <w:r w:rsidR="00856A92">
        <w:t>resulting in a judgment</w:t>
      </w:r>
      <w:r w:rsidR="001315BE">
        <w:t>.</w:t>
      </w:r>
      <w:r w:rsidR="00824A47">
        <w:t xml:space="preserve"> </w:t>
      </w:r>
      <w:r w:rsidR="001315BE">
        <w:t>The nature of the interest being protected in each case suggest</w:t>
      </w:r>
      <w:r w:rsidR="00D624FA">
        <w:t>s</w:t>
      </w:r>
      <w:r w:rsidR="001315BE">
        <w:t xml:space="preserve"> that the </w:t>
      </w:r>
      <w:r w:rsidR="00382631" w:rsidRPr="00382631">
        <w:t xml:space="preserve">same </w:t>
      </w:r>
      <w:r w:rsidR="00940B1D">
        <w:t xml:space="preserve">probability </w:t>
      </w:r>
      <w:r w:rsidR="00382631" w:rsidRPr="00382631">
        <w:t>of establishing the substantive right at trial should stand as the merits threshold for both</w:t>
      </w:r>
      <w:r w:rsidR="00917CC6">
        <w:t xml:space="preserve">. </w:t>
      </w:r>
    </w:p>
    <w:p w14:paraId="7AED8829" w14:textId="692D5691" w:rsidR="00AD534F" w:rsidRDefault="007E6976" w:rsidP="000F614A">
      <w:pPr>
        <w:pStyle w:val="ParaLevel1"/>
        <w:numPr>
          <w:ilvl w:val="1"/>
          <w:numId w:val="1"/>
        </w:numPr>
        <w:spacing w:line="360" w:lineRule="auto"/>
      </w:pPr>
      <w:r>
        <w:t xml:space="preserve">Secondly, </w:t>
      </w:r>
      <w:r w:rsidR="002E5053">
        <w:t>the Court said that t</w:t>
      </w:r>
      <w:r>
        <w:t>here is no logic in using a</w:t>
      </w:r>
      <w:r w:rsidR="0040730D">
        <w:t xml:space="preserve"> heightened merits test </w:t>
      </w:r>
      <w:r w:rsidR="009446EC">
        <w:t xml:space="preserve">as </w:t>
      </w:r>
      <w:r w:rsidR="009446EC" w:rsidRPr="002E5053">
        <w:rPr>
          <w:i/>
          <w:iCs/>
        </w:rPr>
        <w:t>a threshold requirement</w:t>
      </w:r>
      <w:r w:rsidR="009446EC">
        <w:t xml:space="preserve"> </w:t>
      </w:r>
      <w:r w:rsidR="0040730D">
        <w:t xml:space="preserve">to protect against the invasive nature of relief: </w:t>
      </w:r>
      <w:r w:rsidR="00BB2DCE">
        <w:t>i</w:t>
      </w:r>
      <w:r w:rsidR="00E17D12">
        <w:t xml:space="preserve">f a case </w:t>
      </w:r>
      <w:r w:rsidR="00374A86">
        <w:t xml:space="preserve">appears </w:t>
      </w:r>
      <w:r w:rsidR="00E17D12">
        <w:t>sufficiently meritorious to warrant going to trial</w:t>
      </w:r>
      <w:r w:rsidR="00941112">
        <w:t xml:space="preserve">, </w:t>
      </w:r>
      <w:r w:rsidR="0059151A">
        <w:t xml:space="preserve">and therefore has a sufficient </w:t>
      </w:r>
      <w:r w:rsidR="00941112">
        <w:t>pro</w:t>
      </w:r>
      <w:r w:rsidR="005B58A0">
        <w:t>s</w:t>
      </w:r>
      <w:r w:rsidR="004E255A">
        <w:t>p</w:t>
      </w:r>
      <w:r w:rsidR="00941112">
        <w:t xml:space="preserve">ect of a judgment requiring enforcement, the principles which govern whether enforcement should be supported by protective relief ought to at </w:t>
      </w:r>
      <w:r w:rsidR="005B58A0">
        <w:t>least to start f</w:t>
      </w:r>
      <w:r w:rsidR="00741A3D">
        <w:t xml:space="preserve">rom </w:t>
      </w:r>
      <w:r w:rsidR="005B58A0">
        <w:t xml:space="preserve">the position that a claim </w:t>
      </w:r>
      <w:r w:rsidR="003256FB">
        <w:t xml:space="preserve">which has a </w:t>
      </w:r>
      <w:r w:rsidR="0033082E">
        <w:t xml:space="preserve">real prospect of succeeding </w:t>
      </w:r>
      <w:r w:rsidR="005B58A0">
        <w:t xml:space="preserve">may be just as </w:t>
      </w:r>
      <w:r w:rsidR="00490508">
        <w:t xml:space="preserve">deserving of </w:t>
      </w:r>
      <w:r w:rsidR="005B58A0">
        <w:t xml:space="preserve">protection as </w:t>
      </w:r>
      <w:r w:rsidR="0033082E">
        <w:t>a claim with a higher probability of succeeding.</w:t>
      </w:r>
      <w:r w:rsidR="007F17C0">
        <w:t xml:space="preserve"> </w:t>
      </w:r>
      <w:r w:rsidR="00502CDB">
        <w:t xml:space="preserve">If a </w:t>
      </w:r>
      <w:r w:rsidR="00FA290E">
        <w:t xml:space="preserve">heightened merits test </w:t>
      </w:r>
      <w:r w:rsidR="00490508">
        <w:t xml:space="preserve">is to be used </w:t>
      </w:r>
      <w:r w:rsidR="00FA290E">
        <w:t xml:space="preserve">as a mechanism for restricting the invasive nature of the </w:t>
      </w:r>
      <w:r w:rsidR="00DA0441">
        <w:t xml:space="preserve">relief, that </w:t>
      </w:r>
      <w:r w:rsidR="004A2DA0">
        <w:t xml:space="preserve">should not be </w:t>
      </w:r>
      <w:r w:rsidR="003B2FFD">
        <w:t xml:space="preserve">as a threshold requirement, but can </w:t>
      </w:r>
      <w:r w:rsidR="000D069F">
        <w:t xml:space="preserve">be </w:t>
      </w:r>
      <w:r w:rsidR="00DA0441">
        <w:t>considered at the third stage of the test</w:t>
      </w:r>
      <w:r w:rsidR="000E6024">
        <w:t xml:space="preserve">, namely whether it is just and convenient to make the order. </w:t>
      </w:r>
      <w:r w:rsidR="000E6024" w:rsidRPr="000E6024">
        <w:t xml:space="preserve">It is by reference to the just and convenient criterion that the apparent strength of the claim may fall again for consideration, just as it does </w:t>
      </w:r>
      <w:r w:rsidR="00120CDE">
        <w:t xml:space="preserve">sometimes for </w:t>
      </w:r>
      <w:r w:rsidR="000E6024" w:rsidRPr="000E6024">
        <w:t>interim injunctions</w:t>
      </w:r>
      <w:r w:rsidR="00120CDE">
        <w:t>, for example where they may be finally determinative</w:t>
      </w:r>
      <w:r w:rsidR="00A161D8">
        <w:t>.</w:t>
      </w:r>
      <w:r w:rsidR="00A7431B">
        <w:rPr>
          <w:rStyle w:val="FootnoteReference"/>
        </w:rPr>
        <w:footnoteReference w:id="21"/>
      </w:r>
      <w:r w:rsidR="007F17C0">
        <w:t xml:space="preserve"> </w:t>
      </w:r>
      <w:r w:rsidR="00134AE7">
        <w:t>It is wo</w:t>
      </w:r>
      <w:r w:rsidR="007C609E">
        <w:t xml:space="preserve">rth </w:t>
      </w:r>
      <w:r w:rsidR="00134AE7">
        <w:t xml:space="preserve">emphasising that </w:t>
      </w:r>
      <w:r w:rsidR="00F73A89">
        <w:t xml:space="preserve">in </w:t>
      </w:r>
      <w:r w:rsidR="00762F98" w:rsidRPr="002E5053">
        <w:rPr>
          <w:i/>
          <w:iCs/>
        </w:rPr>
        <w:t>Dos Santos</w:t>
      </w:r>
      <w:r w:rsidR="00762F98">
        <w:t xml:space="preserve"> the Court was not </w:t>
      </w:r>
      <w:r w:rsidR="00322212">
        <w:t>saying anything new</w:t>
      </w:r>
      <w:r w:rsidR="00762F98">
        <w:t xml:space="preserve"> in this respect</w:t>
      </w:r>
      <w:r w:rsidR="00322212">
        <w:t xml:space="preserve">. </w:t>
      </w:r>
      <w:r w:rsidR="00BA1877">
        <w:t>I</w:t>
      </w:r>
      <w:r w:rsidR="00BA1877" w:rsidRPr="000E6024">
        <w:t xml:space="preserve">n </w:t>
      </w:r>
      <w:r w:rsidR="00E15B93" w:rsidRPr="00392DC4">
        <w:rPr>
          <w:i/>
          <w:iCs/>
        </w:rPr>
        <w:t>The</w:t>
      </w:r>
      <w:r w:rsidR="00E15B93" w:rsidRPr="00E15B93">
        <w:t xml:space="preserve"> </w:t>
      </w:r>
      <w:r w:rsidR="00BA1877" w:rsidRPr="00E15B93">
        <w:rPr>
          <w:i/>
          <w:iCs/>
        </w:rPr>
        <w:t>Niedersachsen</w:t>
      </w:r>
      <w:r w:rsidR="00BA1877" w:rsidRPr="00E15B93">
        <w:t>,</w:t>
      </w:r>
      <w:r w:rsidR="00BA1877">
        <w:t xml:space="preserve"> both </w:t>
      </w:r>
      <w:r w:rsidR="00322212" w:rsidRPr="000E6024">
        <w:t xml:space="preserve">Mustill J </w:t>
      </w:r>
      <w:r w:rsidR="00BA1877">
        <w:t>at first instance</w:t>
      </w:r>
      <w:r w:rsidR="00F87518">
        <w:rPr>
          <w:rStyle w:val="FootnoteReference"/>
        </w:rPr>
        <w:footnoteReference w:id="22"/>
      </w:r>
      <w:r w:rsidR="00BA1877">
        <w:t xml:space="preserve"> and </w:t>
      </w:r>
      <w:r w:rsidR="00322212" w:rsidRPr="000E6024">
        <w:t xml:space="preserve">Kerr LJ </w:t>
      </w:r>
      <w:r w:rsidR="00BA1877">
        <w:t>in the CA</w:t>
      </w:r>
      <w:r w:rsidR="00F87518">
        <w:rPr>
          <w:rStyle w:val="FootnoteReference"/>
        </w:rPr>
        <w:footnoteReference w:id="23"/>
      </w:r>
      <w:r w:rsidR="00BA1877">
        <w:t xml:space="preserve"> said the same thing</w:t>
      </w:r>
      <w:r w:rsidR="003B72EA">
        <w:t>.</w:t>
      </w:r>
      <w:r w:rsidR="00F87518">
        <w:t xml:space="preserve"> </w:t>
      </w:r>
    </w:p>
    <w:p w14:paraId="1D24B7E3" w14:textId="011326FF" w:rsidR="00577169" w:rsidRDefault="007A5604" w:rsidP="00AD534F">
      <w:pPr>
        <w:pStyle w:val="ParaLevel1"/>
        <w:spacing w:line="360" w:lineRule="auto"/>
        <w:ind w:left="720"/>
      </w:pPr>
      <w:r>
        <w:t xml:space="preserve">Some have </w:t>
      </w:r>
      <w:r w:rsidR="00AD534F">
        <w:t xml:space="preserve">argued </w:t>
      </w:r>
      <w:r>
        <w:t>that this</w:t>
      </w:r>
      <w:r w:rsidR="00707614">
        <w:t xml:space="preserve"> approach </w:t>
      </w:r>
      <w:r w:rsidR="00366767">
        <w:t xml:space="preserve">lacks clear guidelines or limits, </w:t>
      </w:r>
      <w:r>
        <w:t>but that is perhaps because th</w:t>
      </w:r>
      <w:r w:rsidR="00381A39">
        <w:t>e third limb of the test rarely receives any attention</w:t>
      </w:r>
      <w:r w:rsidR="00BB1327">
        <w:t xml:space="preserve">. </w:t>
      </w:r>
      <w:r w:rsidR="004E24D2">
        <w:t>Once</w:t>
      </w:r>
      <w:r w:rsidR="006A5BE8">
        <w:t xml:space="preserve"> a good arguable case and a real risk of dissipation are established, the Mareva is usually granted or maintained as a matter of course without any </w:t>
      </w:r>
      <w:r w:rsidR="002E19BE">
        <w:t>independ</w:t>
      </w:r>
      <w:r w:rsidR="005D2784">
        <w:t xml:space="preserve">ent </w:t>
      </w:r>
      <w:r w:rsidR="006A5BE8">
        <w:t>consideration of the third limb</w:t>
      </w:r>
      <w:r w:rsidR="00601056">
        <w:t>. Th</w:t>
      </w:r>
      <w:r w:rsidR="00621E37">
        <w:t xml:space="preserve">at may be </w:t>
      </w:r>
      <w:r w:rsidR="00601056">
        <w:t xml:space="preserve">unfortunate, </w:t>
      </w:r>
      <w:r w:rsidR="00E50A10">
        <w:t>because the just and convenient test is the si</w:t>
      </w:r>
      <w:r w:rsidR="00335C82">
        <w:t>n</w:t>
      </w:r>
      <w:r w:rsidR="00E50A10">
        <w:t xml:space="preserve">gle </w:t>
      </w:r>
      <w:r w:rsidR="009922A5">
        <w:t xml:space="preserve">and sole </w:t>
      </w:r>
      <w:r w:rsidR="00E50A10">
        <w:t xml:space="preserve">test </w:t>
      </w:r>
      <w:r w:rsidR="006A5BE8">
        <w:t>in the jurisdictional foundation for the Mareva in s.</w:t>
      </w:r>
      <w:r w:rsidR="00927A9E">
        <w:t xml:space="preserve">37 </w:t>
      </w:r>
      <w:r w:rsidR="009922A5">
        <w:t xml:space="preserve">of the </w:t>
      </w:r>
      <w:r w:rsidR="00927A9E">
        <w:t>Senior Courts Act 1981</w:t>
      </w:r>
      <w:r w:rsidR="00BD3885">
        <w:t xml:space="preserve">. What the Mareva jurisdiction envisaged </w:t>
      </w:r>
      <w:r w:rsidR="00FB397D">
        <w:t>in its original conception was that the merits should not only be used as a threshold condition, but as part of the wider</w:t>
      </w:r>
      <w:r w:rsidR="00787535">
        <w:t xml:space="preserve"> exercise of discretion.</w:t>
      </w:r>
      <w:r w:rsidR="00826D69">
        <w:t xml:space="preserve"> </w:t>
      </w:r>
      <w:r w:rsidR="00787535">
        <w:t xml:space="preserve">That </w:t>
      </w:r>
      <w:r w:rsidR="00335C82">
        <w:t xml:space="preserve">approach seems to have </w:t>
      </w:r>
      <w:r w:rsidR="00B92325">
        <w:t xml:space="preserve">disappeared. </w:t>
      </w:r>
      <w:r w:rsidR="00787535">
        <w:t xml:space="preserve">  </w:t>
      </w:r>
    </w:p>
    <w:p w14:paraId="50D8C994" w14:textId="5FEC470A" w:rsidR="006273DE" w:rsidRDefault="004E29A1" w:rsidP="00FF7E5B">
      <w:pPr>
        <w:pStyle w:val="ParaLevel1"/>
        <w:numPr>
          <w:ilvl w:val="0"/>
          <w:numId w:val="1"/>
        </w:numPr>
        <w:spacing w:line="360" w:lineRule="auto"/>
      </w:pPr>
      <w:r>
        <w:t xml:space="preserve">There </w:t>
      </w:r>
      <w:r w:rsidR="006273DE">
        <w:t xml:space="preserve">have been counter arguments advanced. </w:t>
      </w:r>
      <w:r w:rsidR="00B46E9C">
        <w:t>Foxton J said in a talk last year</w:t>
      </w:r>
      <w:r w:rsidR="00222311">
        <w:t xml:space="preserve"> that a principled basis </w:t>
      </w:r>
      <w:r w:rsidR="006273DE">
        <w:t xml:space="preserve">for </w:t>
      </w:r>
      <w:r w:rsidR="00222311">
        <w:t xml:space="preserve">a higher merits test </w:t>
      </w:r>
      <w:r w:rsidR="006273DE">
        <w:t xml:space="preserve">for </w:t>
      </w:r>
      <w:proofErr w:type="spellStart"/>
      <w:r w:rsidR="00826D69">
        <w:t>M</w:t>
      </w:r>
      <w:r w:rsidR="006273DE">
        <w:t>arevas</w:t>
      </w:r>
      <w:proofErr w:type="spellEnd"/>
      <w:r w:rsidR="006273DE">
        <w:t xml:space="preserve"> might be </w:t>
      </w:r>
      <w:r w:rsidR="00105926">
        <w:t>this</w:t>
      </w:r>
      <w:r w:rsidR="00B46E9C">
        <w:t>:</w:t>
      </w:r>
      <w:r w:rsidR="00222311" w:rsidRPr="00222311">
        <w:t xml:space="preserve"> </w:t>
      </w:r>
    </w:p>
    <w:p w14:paraId="34F89524" w14:textId="48EBEBBF" w:rsidR="009721B4" w:rsidRDefault="009721B4" w:rsidP="00336AC8">
      <w:pPr>
        <w:pStyle w:val="ParaLevel1"/>
        <w:spacing w:line="240" w:lineRule="auto"/>
        <w:ind w:left="1134"/>
      </w:pPr>
      <w:r>
        <w:t>“</w:t>
      </w:r>
      <w:r w:rsidR="00B46E9C" w:rsidRPr="009A6611">
        <w:t>What is unique about search and freezing orders is that the legal right relied upon to obtain the injunction is not a right pre-existing the commencement of legal or arbitral proceedings and arising under general principles of private law, but a right arising from the commitment to commence legal or arbitral proceedings in pursuit of an award of monetary relief, which subsists only for so long as those proceedings are in contemplation or underway, or have succeeded.</w:t>
      </w:r>
      <w:r>
        <w:t>”</w:t>
      </w:r>
      <w:r w:rsidR="006D1103">
        <w:rPr>
          <w:rStyle w:val="FootnoteReference"/>
        </w:rPr>
        <w:footnoteReference w:id="24"/>
      </w:r>
    </w:p>
    <w:p w14:paraId="0B28C6C4" w14:textId="358ECFF8" w:rsidR="00FD20CA" w:rsidRPr="008D6F0C" w:rsidRDefault="004E29A1" w:rsidP="009721B4">
      <w:pPr>
        <w:pStyle w:val="ParaLevel1"/>
        <w:numPr>
          <w:ilvl w:val="0"/>
          <w:numId w:val="1"/>
        </w:numPr>
        <w:spacing w:line="360" w:lineRule="auto"/>
      </w:pPr>
      <w:r>
        <w:t xml:space="preserve">But I </w:t>
      </w:r>
      <w:r w:rsidR="009B5E22">
        <w:t xml:space="preserve">wonder </w:t>
      </w:r>
      <w:r w:rsidR="003F1543">
        <w:t xml:space="preserve">how much it </w:t>
      </w:r>
      <w:r w:rsidR="009B5E22">
        <w:t xml:space="preserve">matters </w:t>
      </w:r>
      <w:r>
        <w:t>in practice</w:t>
      </w:r>
      <w:r w:rsidR="00DC69F0">
        <w:t xml:space="preserve">. </w:t>
      </w:r>
      <w:r w:rsidRPr="00856478">
        <w:t>If</w:t>
      </w:r>
      <w:r>
        <w:t xml:space="preserve"> </w:t>
      </w:r>
      <w:r w:rsidRPr="00E15B93">
        <w:t xml:space="preserve">the </w:t>
      </w:r>
      <w:r w:rsidRPr="00392DC4">
        <w:rPr>
          <w:i/>
          <w:iCs/>
        </w:rPr>
        <w:t>Niedersachsen</w:t>
      </w:r>
      <w:r>
        <w:t xml:space="preserve"> test imposed a higher merits threshold than serious issue </w:t>
      </w:r>
      <w:r w:rsidR="00B861A8">
        <w:t xml:space="preserve">to </w:t>
      </w:r>
      <w:r>
        <w:t>be tried it was not by much</w:t>
      </w:r>
      <w:r w:rsidR="00727FC9">
        <w:t xml:space="preserve">, and my own experience, at least, has been that </w:t>
      </w:r>
      <w:r w:rsidR="005D5F59">
        <w:t>it</w:t>
      </w:r>
      <w:r w:rsidR="00315CBF">
        <w:t xml:space="preserve"> would rarely have made a difference to the outcome.</w:t>
      </w:r>
      <w:r w:rsidR="00826D69">
        <w:t xml:space="preserve"> </w:t>
      </w:r>
      <w:r w:rsidR="00B6142A">
        <w:t xml:space="preserve">To borrow from </w:t>
      </w:r>
      <w:bookmarkStart w:id="0" w:name="_Hlk214374473"/>
      <w:r w:rsidR="00B6142A" w:rsidRPr="00B6142A">
        <w:t xml:space="preserve">Jeffrey Berryman, </w:t>
      </w:r>
      <w:bookmarkEnd w:id="0"/>
      <w:r w:rsidR="00B6142A">
        <w:t>commenting on the Canadian jurisprudence</w:t>
      </w:r>
      <w:r w:rsidR="00B6142A" w:rsidRPr="008D6F0C">
        <w:t>:</w:t>
      </w:r>
      <w:r w:rsidR="00365665">
        <w:t xml:space="preserve"> </w:t>
      </w:r>
      <w:r w:rsidR="00154977" w:rsidRPr="008D6F0C">
        <w:t>“[t</w:t>
      </w:r>
      <w:r w:rsidR="00154977" w:rsidRPr="00154977">
        <w:t>]o the cynic, the difference may be nothing more than the level to which counsel can shout and remonstrate on the evils of the defendant”.</w:t>
      </w:r>
      <w:r w:rsidR="00E15B93">
        <w:rPr>
          <w:rStyle w:val="FootnoteReference"/>
        </w:rPr>
        <w:footnoteReference w:id="25"/>
      </w:r>
      <w:r w:rsidR="00D9723F">
        <w:t xml:space="preserve"> </w:t>
      </w:r>
      <w:r w:rsidR="00B861A8">
        <w:t>If there is</w:t>
      </w:r>
      <w:r w:rsidR="000636C6">
        <w:t xml:space="preserve"> a cogent argument for restricting the grant of </w:t>
      </w:r>
      <w:proofErr w:type="spellStart"/>
      <w:r w:rsidR="00E15B93">
        <w:t>Marevas</w:t>
      </w:r>
      <w:proofErr w:type="spellEnd"/>
      <w:r w:rsidR="00E15B93">
        <w:t xml:space="preserve"> </w:t>
      </w:r>
      <w:r w:rsidR="000636C6">
        <w:t xml:space="preserve">through </w:t>
      </w:r>
      <w:r w:rsidR="00A45859">
        <w:t xml:space="preserve">a more onerous </w:t>
      </w:r>
      <w:r w:rsidR="000636C6">
        <w:t xml:space="preserve">merits test, </w:t>
      </w:r>
      <w:r w:rsidR="00A45859">
        <w:t>which there may be,</w:t>
      </w:r>
      <w:r w:rsidR="00DC69F0">
        <w:t xml:space="preserve"> it may well have to be </w:t>
      </w:r>
      <w:r w:rsidR="000636C6">
        <w:t xml:space="preserve">dialled up considerably from </w:t>
      </w:r>
      <w:r w:rsidR="000636C6" w:rsidRPr="008D6F0C">
        <w:t xml:space="preserve">the </w:t>
      </w:r>
      <w:r w:rsidR="000636C6" w:rsidRPr="00392DC4">
        <w:rPr>
          <w:i/>
          <w:iCs/>
        </w:rPr>
        <w:t>Niedersachsen</w:t>
      </w:r>
      <w:r w:rsidR="000636C6" w:rsidRPr="008D6F0C">
        <w:t xml:space="preserve"> test</w:t>
      </w:r>
      <w:r w:rsidR="005A1B68" w:rsidRPr="008D6F0C">
        <w:t>.</w:t>
      </w:r>
    </w:p>
    <w:p w14:paraId="3009153A" w14:textId="5661D8BE" w:rsidR="00230EA1" w:rsidRDefault="009F62B7" w:rsidP="00D9723F">
      <w:pPr>
        <w:pStyle w:val="ParaLevel1"/>
        <w:numPr>
          <w:ilvl w:val="0"/>
          <w:numId w:val="1"/>
        </w:numPr>
        <w:spacing w:line="360" w:lineRule="auto"/>
      </w:pPr>
      <w:r>
        <w:t xml:space="preserve">It is worth remembering what </w:t>
      </w:r>
      <w:r w:rsidR="00743D32">
        <w:t xml:space="preserve">Lord Mustill said in </w:t>
      </w:r>
      <w:r w:rsidR="00172965" w:rsidRPr="005772CC">
        <w:rPr>
          <w:i/>
          <w:iCs/>
        </w:rPr>
        <w:t xml:space="preserve">Mercedes Benz v </w:t>
      </w:r>
      <w:proofErr w:type="spellStart"/>
      <w:r w:rsidR="00172965" w:rsidRPr="005772CC">
        <w:rPr>
          <w:i/>
          <w:iCs/>
        </w:rPr>
        <w:t>Lieduck</w:t>
      </w:r>
      <w:proofErr w:type="spellEnd"/>
      <w:r w:rsidR="00172965">
        <w:t xml:space="preserve"> in 1996</w:t>
      </w:r>
      <w:r w:rsidR="00743D32">
        <w:t>:</w:t>
      </w:r>
      <w:r w:rsidR="00230EA1">
        <w:t xml:space="preserve"> </w:t>
      </w:r>
    </w:p>
    <w:p w14:paraId="00A63D30" w14:textId="1793AF1A" w:rsidR="00172965" w:rsidRDefault="00230EA1" w:rsidP="00615045">
      <w:pPr>
        <w:pStyle w:val="ParaLevel1"/>
        <w:spacing w:line="240" w:lineRule="auto"/>
        <w:ind w:left="1134"/>
      </w:pPr>
      <w:r>
        <w:t>“</w:t>
      </w:r>
      <w:r w:rsidR="00172965" w:rsidRPr="00172965">
        <w:t xml:space="preserve">The remedy is now 20 years old and the problems, of which there is no lack, are of a practical kind; how to frame an order which, on the one hand, protects the claimant against the manipulations of a defendant who may prove to be unscrupulous, without strangling the working capital of a defendant at the instance of a claimant who may prove to be unscrupulous; how to form the necessary judgment at a time when every fact is hotly controverted; how to choose ancillary orders which are effective without being oppressive. These problems did not arise in the early days of the injunction, </w:t>
      </w:r>
      <w:r w:rsidR="00172965" w:rsidRPr="00615045">
        <w:t>where the remedy was given only in the clearest of cases</w:t>
      </w:r>
      <w:r w:rsidR="00172965" w:rsidRPr="00172965">
        <w:t>, but they have been increasing ever since.</w:t>
      </w:r>
      <w:r w:rsidR="00EF5634">
        <w:t>”</w:t>
      </w:r>
      <w:r w:rsidR="006D1103">
        <w:rPr>
          <w:rStyle w:val="FootnoteReference"/>
        </w:rPr>
        <w:footnoteReference w:id="26"/>
      </w:r>
    </w:p>
    <w:p w14:paraId="7849334B" w14:textId="630834B0" w:rsidR="00800A05" w:rsidRPr="00AC6297" w:rsidRDefault="00FD3D81" w:rsidP="00713AB8">
      <w:pPr>
        <w:pStyle w:val="ListParagraph"/>
        <w:numPr>
          <w:ilvl w:val="0"/>
          <w:numId w:val="1"/>
        </w:numPr>
        <w:spacing w:line="360" w:lineRule="auto"/>
      </w:pPr>
      <w:r>
        <w:t xml:space="preserve">If one looks at other </w:t>
      </w:r>
      <w:r w:rsidR="00A71196">
        <w:t xml:space="preserve">jurisdictions, </w:t>
      </w:r>
      <w:r w:rsidR="00B21BFE">
        <w:t xml:space="preserve">some require a higher merits test. </w:t>
      </w:r>
      <w:r>
        <w:t>Aus</w:t>
      </w:r>
      <w:r w:rsidR="00290DC1">
        <w:t xml:space="preserve">tralia </w:t>
      </w:r>
      <w:r>
        <w:t>ha</w:t>
      </w:r>
      <w:r w:rsidR="00A64D48">
        <w:t>s</w:t>
      </w:r>
      <w:r>
        <w:t xml:space="preserve"> </w:t>
      </w:r>
      <w:r w:rsidR="00DE1508">
        <w:t>a similar merits threshold to ours</w:t>
      </w:r>
      <w:r w:rsidR="00F35935">
        <w:t>.</w:t>
      </w:r>
      <w:r w:rsidR="00582D2D">
        <w:t xml:space="preserve"> </w:t>
      </w:r>
      <w:r w:rsidR="00F35935">
        <w:t>I</w:t>
      </w:r>
      <w:r w:rsidR="005C10BD">
        <w:t xml:space="preserve">n Australia the good arguable case test has been described as </w:t>
      </w:r>
      <w:r w:rsidR="00C41F68">
        <w:t xml:space="preserve">only a </w:t>
      </w:r>
      <w:r w:rsidR="00564BF9">
        <w:t>“</w:t>
      </w:r>
      <w:r w:rsidR="00C41F68">
        <w:t>very low</w:t>
      </w:r>
      <w:r w:rsidR="00A4271C">
        <w:t>”</w:t>
      </w:r>
      <w:r w:rsidR="00C41F68">
        <w:t xml:space="preserve"> threshold</w:t>
      </w:r>
      <w:r w:rsidR="00F35935" w:rsidRPr="00AC6297">
        <w:t>.</w:t>
      </w:r>
      <w:r w:rsidR="00F35935" w:rsidRPr="00AC6297">
        <w:rPr>
          <w:rStyle w:val="FootnoteReference"/>
        </w:rPr>
        <w:footnoteReference w:id="27"/>
      </w:r>
      <w:r w:rsidR="00C41F68" w:rsidRPr="00AC6297">
        <w:t xml:space="preserve">  </w:t>
      </w:r>
      <w:r w:rsidR="00290DC1" w:rsidRPr="00AC6297">
        <w:t xml:space="preserve">So </w:t>
      </w:r>
      <w:r w:rsidR="00FC487C" w:rsidRPr="00AC6297">
        <w:t>too N</w:t>
      </w:r>
      <w:r w:rsidR="005B1E16">
        <w:t xml:space="preserve">ew </w:t>
      </w:r>
      <w:r w:rsidR="00FC487C" w:rsidRPr="00AC6297">
        <w:t>Z</w:t>
      </w:r>
      <w:r w:rsidR="005B1E16">
        <w:t>ealand</w:t>
      </w:r>
      <w:r w:rsidR="00F35935" w:rsidRPr="00AC6297">
        <w:rPr>
          <w:rStyle w:val="FootnoteReference"/>
        </w:rPr>
        <w:footnoteReference w:id="28"/>
      </w:r>
      <w:r w:rsidR="00FC487C" w:rsidRPr="00AC6297">
        <w:t xml:space="preserve"> and </w:t>
      </w:r>
      <w:r w:rsidR="00290DC1" w:rsidRPr="00AC6297">
        <w:t>Singapore</w:t>
      </w:r>
      <w:r w:rsidR="00375A9E" w:rsidRPr="00AC6297">
        <w:t>.</w:t>
      </w:r>
      <w:r w:rsidR="00F35935" w:rsidRPr="00AC6297">
        <w:rPr>
          <w:rStyle w:val="FootnoteReference"/>
        </w:rPr>
        <w:footnoteReference w:id="29"/>
      </w:r>
      <w:r w:rsidR="00375A9E" w:rsidRPr="00AC6297">
        <w:t xml:space="preserve"> </w:t>
      </w:r>
      <w:r w:rsidRPr="00AC6297">
        <w:t xml:space="preserve">In Canada, </w:t>
      </w:r>
      <w:r w:rsidR="00DE1508" w:rsidRPr="00AC6297">
        <w:t xml:space="preserve">the Federal court has adopted the test of </w:t>
      </w:r>
      <w:r w:rsidR="00DE1508" w:rsidRPr="00D26BF2">
        <w:t>strong</w:t>
      </w:r>
      <w:r w:rsidR="00DE1508" w:rsidRPr="00AC6297">
        <w:rPr>
          <w:i/>
          <w:iCs/>
        </w:rPr>
        <w:t xml:space="preserve"> prima facie</w:t>
      </w:r>
      <w:r w:rsidR="00DE1508" w:rsidRPr="00AC6297">
        <w:t xml:space="preserve"> case</w:t>
      </w:r>
      <w:r w:rsidR="00C41F68" w:rsidRPr="00AC6297">
        <w:t>,</w:t>
      </w:r>
      <w:r w:rsidR="00DE1508" w:rsidRPr="00AC6297">
        <w:t xml:space="preserve"> as </w:t>
      </w:r>
      <w:r w:rsidR="00CE598A" w:rsidRPr="00AC6297">
        <w:t>a</w:t>
      </w:r>
      <w:r w:rsidR="00A64D48" w:rsidRPr="00AC6297">
        <w:t xml:space="preserve">n avowedly </w:t>
      </w:r>
      <w:r w:rsidR="00CE598A" w:rsidRPr="00AC6297">
        <w:t>higher threshold than good arguable case,</w:t>
      </w:r>
      <w:r w:rsidR="009B2B16" w:rsidRPr="00AC6297">
        <w:rPr>
          <w:rStyle w:val="FootnoteReference"/>
        </w:rPr>
        <w:footnoteReference w:id="30"/>
      </w:r>
      <w:r w:rsidR="00CE598A" w:rsidRPr="00AC6297">
        <w:t xml:space="preserve"> </w:t>
      </w:r>
      <w:r w:rsidR="00B21BFE" w:rsidRPr="00AC6297">
        <w:t xml:space="preserve">as </w:t>
      </w:r>
      <w:r w:rsidR="00DE1508" w:rsidRPr="00AC6297">
        <w:t>have most of the provinces.</w:t>
      </w:r>
      <w:r w:rsidR="009D0187">
        <w:rPr>
          <w:rStyle w:val="FootnoteReference"/>
        </w:rPr>
        <w:footnoteReference w:id="31"/>
      </w:r>
      <w:r w:rsidR="00DE1508" w:rsidRPr="00AC6297">
        <w:rPr>
          <w:szCs w:val="20"/>
        </w:rPr>
        <w:t xml:space="preserve"> </w:t>
      </w:r>
    </w:p>
    <w:p w14:paraId="01F3ABE3" w14:textId="77777777" w:rsidR="0059048F" w:rsidRPr="00800A05" w:rsidRDefault="0059048F" w:rsidP="0059048F">
      <w:pPr>
        <w:pStyle w:val="ListParagraph"/>
        <w:spacing w:line="360" w:lineRule="auto"/>
        <w:ind w:left="360"/>
      </w:pPr>
    </w:p>
    <w:p w14:paraId="6AE3DFA3" w14:textId="49986528" w:rsidR="0021510F" w:rsidRPr="0022124C" w:rsidRDefault="0021510F" w:rsidP="00AE4803">
      <w:pPr>
        <w:pStyle w:val="ListParagraph"/>
        <w:numPr>
          <w:ilvl w:val="0"/>
          <w:numId w:val="1"/>
        </w:numPr>
        <w:spacing w:line="360" w:lineRule="auto"/>
      </w:pPr>
      <w:r w:rsidRPr="00AC6297">
        <w:rPr>
          <w:szCs w:val="20"/>
        </w:rPr>
        <w:t xml:space="preserve">New York has a much more restrictive approach. Orders are only available </w:t>
      </w:r>
      <w:r w:rsidR="00D734E0" w:rsidRPr="00AC6297">
        <w:rPr>
          <w:szCs w:val="20"/>
        </w:rPr>
        <w:t xml:space="preserve">under the more limited jurisdiction afforded by Article 62 of the </w:t>
      </w:r>
      <w:r w:rsidR="004641B9" w:rsidRPr="00AC6297">
        <w:rPr>
          <w:szCs w:val="20"/>
        </w:rPr>
        <w:t>Civil Practice Laws and Rules</w:t>
      </w:r>
      <w:r w:rsidR="00CA6D93" w:rsidRPr="00AC6297">
        <w:rPr>
          <w:szCs w:val="20"/>
        </w:rPr>
        <w:t xml:space="preserve">. In </w:t>
      </w:r>
      <w:r w:rsidR="00B229C5" w:rsidRPr="00AC6297">
        <w:rPr>
          <w:szCs w:val="20"/>
        </w:rPr>
        <w:t>t</w:t>
      </w:r>
      <w:r w:rsidR="00CA6D93" w:rsidRPr="00AC6297">
        <w:rPr>
          <w:szCs w:val="20"/>
        </w:rPr>
        <w:t>hat jurisdiction</w:t>
      </w:r>
      <w:r w:rsidR="00BA776F" w:rsidRPr="00AC6297">
        <w:rPr>
          <w:szCs w:val="20"/>
        </w:rPr>
        <w:t xml:space="preserve"> what is required is that the claim must be shown to be more likely to succeed than not</w:t>
      </w:r>
      <w:r w:rsidR="000C58D7">
        <w:rPr>
          <w:szCs w:val="20"/>
        </w:rPr>
        <w:t>,</w:t>
      </w:r>
      <w:r w:rsidR="007D6DA9" w:rsidRPr="00AC6297">
        <w:rPr>
          <w:szCs w:val="20"/>
        </w:rPr>
        <w:t xml:space="preserve"> i.e</w:t>
      </w:r>
      <w:r w:rsidR="000C58D7">
        <w:rPr>
          <w:szCs w:val="20"/>
        </w:rPr>
        <w:t>.</w:t>
      </w:r>
      <w:r w:rsidR="007D6DA9" w:rsidRPr="00AC6297">
        <w:rPr>
          <w:szCs w:val="20"/>
        </w:rPr>
        <w:t xml:space="preserve"> </w:t>
      </w:r>
      <w:r w:rsidR="007268A0" w:rsidRPr="00AC6297">
        <w:rPr>
          <w:szCs w:val="20"/>
        </w:rPr>
        <w:t>m</w:t>
      </w:r>
      <w:r w:rsidR="00495FE0" w:rsidRPr="00AC6297">
        <w:rPr>
          <w:szCs w:val="20"/>
        </w:rPr>
        <w:t>erits prospects of over 50%.</w:t>
      </w:r>
      <w:r w:rsidR="00F35935" w:rsidRPr="00AC6297">
        <w:rPr>
          <w:rStyle w:val="FootnoteReference"/>
          <w:szCs w:val="20"/>
        </w:rPr>
        <w:footnoteReference w:id="32"/>
      </w:r>
      <w:r w:rsidR="00FF3A1B" w:rsidRPr="00AC6297">
        <w:rPr>
          <w:szCs w:val="20"/>
        </w:rPr>
        <w:t xml:space="preserve"> </w:t>
      </w:r>
    </w:p>
    <w:p w14:paraId="1B29110E" w14:textId="77777777" w:rsidR="0022124C" w:rsidRDefault="0022124C" w:rsidP="0022124C">
      <w:pPr>
        <w:pStyle w:val="ListParagraph"/>
      </w:pPr>
    </w:p>
    <w:p w14:paraId="31A82891" w14:textId="33D40A3E" w:rsidR="0022124C" w:rsidRPr="001C5123" w:rsidRDefault="006A4B9B" w:rsidP="00AE4803">
      <w:pPr>
        <w:pStyle w:val="ListParagraph"/>
        <w:numPr>
          <w:ilvl w:val="0"/>
          <w:numId w:val="1"/>
        </w:numPr>
        <w:spacing w:line="360" w:lineRule="auto"/>
        <w:rPr>
          <w:b/>
          <w:bCs/>
        </w:rPr>
      </w:pPr>
      <w:r>
        <w:t>I</w:t>
      </w:r>
      <w:r w:rsidR="00AF65B8">
        <w:t>t is more difficult to draw direct comparisons</w:t>
      </w:r>
      <w:r>
        <w:t xml:space="preserve"> with </w:t>
      </w:r>
      <w:r w:rsidR="000A00BC">
        <w:t>civil law jurisdictions</w:t>
      </w:r>
      <w:r w:rsidR="00AF65B8">
        <w:t xml:space="preserve">. </w:t>
      </w:r>
      <w:r w:rsidR="00D30D60">
        <w:t xml:space="preserve">In </w:t>
      </w:r>
      <w:r w:rsidR="001861C7" w:rsidRPr="001861C7">
        <w:t>France,</w:t>
      </w:r>
      <w:r>
        <w:t xml:space="preserve"> for example, </w:t>
      </w:r>
      <w:proofErr w:type="spellStart"/>
      <w:r w:rsidR="001861C7" w:rsidRPr="001861C7">
        <w:t>saisie</w:t>
      </w:r>
      <w:proofErr w:type="spellEnd"/>
      <w:r w:rsidR="001861C7" w:rsidRPr="001861C7">
        <w:t xml:space="preserve"> conservatoire is not a direct equivalent be</w:t>
      </w:r>
      <w:r w:rsidR="001861C7">
        <w:t>ca</w:t>
      </w:r>
      <w:r w:rsidR="00FA7AD3">
        <w:t>use</w:t>
      </w:r>
      <w:r w:rsidR="001861C7">
        <w:t xml:space="preserve"> it </w:t>
      </w:r>
      <w:r w:rsidR="00BE7B63">
        <w:t xml:space="preserve">has in rem effect as providing security </w:t>
      </w:r>
      <w:r w:rsidR="00FA7AD3">
        <w:t>for</w:t>
      </w:r>
      <w:r w:rsidR="00BE7B63">
        <w:t xml:space="preserve"> the claim.</w:t>
      </w:r>
      <w:r w:rsidR="00826D69">
        <w:t xml:space="preserve"> </w:t>
      </w:r>
      <w:r w:rsidR="00BE7B63">
        <w:t xml:space="preserve">But for that relief </w:t>
      </w:r>
      <w:r w:rsidR="003F62D0">
        <w:t>what is required is a “claim which appears well-founded in principle”</w:t>
      </w:r>
      <w:r w:rsidR="009F7726">
        <w:rPr>
          <w:rStyle w:val="FootnoteReference"/>
        </w:rPr>
        <w:footnoteReference w:id="33"/>
      </w:r>
      <w:r w:rsidR="007268A0">
        <w:t xml:space="preserve"> </w:t>
      </w:r>
      <w:r w:rsidR="00A15CDA">
        <w:t xml:space="preserve">which </w:t>
      </w:r>
      <w:r w:rsidR="00EB4579">
        <w:t xml:space="preserve">may mean </w:t>
      </w:r>
      <w:r w:rsidR="00A15CDA">
        <w:t>one which on the available evidence is more likely than not to succeed</w:t>
      </w:r>
      <w:r w:rsidR="001C5123">
        <w:t xml:space="preserve">, </w:t>
      </w:r>
      <w:r w:rsidR="00D30D60">
        <w:t>what we mean by a prima facie case</w:t>
      </w:r>
      <w:r w:rsidR="009F7726">
        <w:t>.</w:t>
      </w:r>
      <w:r w:rsidR="009F7726">
        <w:rPr>
          <w:rStyle w:val="FootnoteReference"/>
        </w:rPr>
        <w:footnoteReference w:id="34"/>
      </w:r>
      <w:r w:rsidR="00D30D60">
        <w:t xml:space="preserve"> </w:t>
      </w:r>
    </w:p>
    <w:p w14:paraId="75EC325A" w14:textId="693AF54C" w:rsidR="008B2757" w:rsidRPr="001C5123" w:rsidRDefault="005A1B68" w:rsidP="00E51E7C">
      <w:pPr>
        <w:pStyle w:val="ParaLevel1"/>
        <w:spacing w:line="360" w:lineRule="auto"/>
        <w:rPr>
          <w:i/>
          <w:iCs/>
        </w:rPr>
      </w:pPr>
      <w:r w:rsidRPr="001C5123">
        <w:rPr>
          <w:i/>
          <w:iCs/>
        </w:rPr>
        <w:t>Real risk of dissipation</w:t>
      </w:r>
    </w:p>
    <w:p w14:paraId="7483D4A9" w14:textId="38A4F940" w:rsidR="001802D3" w:rsidRDefault="00D72542" w:rsidP="00EA1561">
      <w:pPr>
        <w:pStyle w:val="ListParagraph"/>
        <w:numPr>
          <w:ilvl w:val="0"/>
          <w:numId w:val="1"/>
        </w:numPr>
        <w:spacing w:after="160" w:line="360" w:lineRule="auto"/>
        <w:contextualSpacing/>
      </w:pPr>
      <w:r>
        <w:t>Real r</w:t>
      </w:r>
      <w:r w:rsidR="00380B73">
        <w:t xml:space="preserve">isk of dissipation is </w:t>
      </w:r>
      <w:r w:rsidR="006B479F">
        <w:t xml:space="preserve">the </w:t>
      </w:r>
      <w:r w:rsidR="00380B73">
        <w:t>conventional</w:t>
      </w:r>
      <w:r w:rsidR="006B479F">
        <w:t>,</w:t>
      </w:r>
      <w:r w:rsidR="00380B73">
        <w:t xml:space="preserve"> but perhaps </w:t>
      </w:r>
      <w:r w:rsidR="00E97E4D">
        <w:t>inadequate phrase used for the second lim</w:t>
      </w:r>
      <w:r w:rsidR="00FE1BC7">
        <w:t>b of the test.</w:t>
      </w:r>
      <w:r w:rsidR="00644E3A">
        <w:t xml:space="preserve"> It refers to </w:t>
      </w:r>
      <w:r w:rsidR="00876CBC">
        <w:t xml:space="preserve">the risk of the defendant </w:t>
      </w:r>
      <w:r w:rsidR="00644E3A">
        <w:t xml:space="preserve">alienating or </w:t>
      </w:r>
      <w:r w:rsidR="006E4410">
        <w:t>dealing with assets</w:t>
      </w:r>
      <w:r w:rsidR="00EA7217">
        <w:t xml:space="preserve"> in a way which renders them unavailable or less </w:t>
      </w:r>
      <w:r w:rsidR="00B94C97">
        <w:t xml:space="preserve">readily </w:t>
      </w:r>
      <w:r w:rsidR="00EA7217">
        <w:t xml:space="preserve">available to </w:t>
      </w:r>
      <w:r w:rsidR="00E34ACA">
        <w:t xml:space="preserve">discharge </w:t>
      </w:r>
      <w:r w:rsidR="00EA7217">
        <w:t xml:space="preserve">a judgment, and includes concealment with that effect. In the early days there was a suggestion that it was necessary to show that </w:t>
      </w:r>
      <w:r w:rsidR="00474E59">
        <w:t xml:space="preserve">there was a risk of action by the </w:t>
      </w:r>
      <w:r w:rsidR="002A2A34">
        <w:t xml:space="preserve">defendant </w:t>
      </w:r>
      <w:r w:rsidR="00474E59">
        <w:t xml:space="preserve">which was </w:t>
      </w:r>
      <w:r w:rsidR="00474E59" w:rsidRPr="00E34ACA">
        <w:rPr>
          <w:i/>
          <w:iCs/>
        </w:rPr>
        <w:t>intended</w:t>
      </w:r>
      <w:r w:rsidR="00474E59">
        <w:t xml:space="preserve"> to have that effect</w:t>
      </w:r>
      <w:r w:rsidR="006E693C">
        <w:t xml:space="preserve">: what has been termed nefarious intent. </w:t>
      </w:r>
    </w:p>
    <w:p w14:paraId="20957EDB" w14:textId="77777777" w:rsidR="001802D3" w:rsidRDefault="001802D3" w:rsidP="001802D3">
      <w:pPr>
        <w:pStyle w:val="ListParagraph"/>
        <w:spacing w:after="160" w:line="360" w:lineRule="auto"/>
        <w:ind w:left="360"/>
        <w:contextualSpacing/>
      </w:pPr>
    </w:p>
    <w:p w14:paraId="64E1D57A" w14:textId="1A43780B" w:rsidR="00707C76" w:rsidRDefault="00707C76" w:rsidP="00EA1561">
      <w:pPr>
        <w:pStyle w:val="ListParagraph"/>
        <w:numPr>
          <w:ilvl w:val="0"/>
          <w:numId w:val="1"/>
        </w:numPr>
        <w:spacing w:after="160" w:line="360" w:lineRule="auto"/>
        <w:contextualSpacing/>
      </w:pPr>
      <w:r>
        <w:t xml:space="preserve">However, in </w:t>
      </w:r>
      <w:r w:rsidRPr="00582D2D">
        <w:rPr>
          <w:i/>
          <w:iCs/>
        </w:rPr>
        <w:t>The Niedersachsen</w:t>
      </w:r>
      <w:r w:rsidR="00413D19">
        <w:rPr>
          <w:i/>
          <w:iCs/>
        </w:rPr>
        <w:t xml:space="preserve"> </w:t>
      </w:r>
      <w:r>
        <w:t>the Court of Appeal held</w:t>
      </w:r>
      <w:r w:rsidR="00CF07EF">
        <w:t xml:space="preserve"> </w:t>
      </w:r>
      <w:r>
        <w:t>that “the test is whether … the court concludes, on the whole of the evidence then before it, that the refusal of a Mareva injunction would involve a real risk that a judgment or award in favour of the plaintiffs would remain unsatisfied”.</w:t>
      </w:r>
      <w:r w:rsidR="001F3998">
        <w:rPr>
          <w:rStyle w:val="FootnoteReference"/>
        </w:rPr>
        <w:footnoteReference w:id="35"/>
      </w:r>
      <w:r w:rsidR="00826D69">
        <w:t xml:space="preserve"> </w:t>
      </w:r>
      <w:r w:rsidR="001937B3">
        <w:t>The test is one of effect, not intention.</w:t>
      </w:r>
      <w:r w:rsidR="004A1DCA">
        <w:rPr>
          <w:rStyle w:val="FootnoteReference"/>
        </w:rPr>
        <w:footnoteReference w:id="36"/>
      </w:r>
      <w:r w:rsidR="001937B3">
        <w:t xml:space="preserve">  </w:t>
      </w:r>
    </w:p>
    <w:p w14:paraId="73243DD8" w14:textId="77777777" w:rsidR="00707C76" w:rsidRDefault="00707C76" w:rsidP="00EA1561">
      <w:pPr>
        <w:pStyle w:val="ListParagraph"/>
        <w:spacing w:after="160" w:line="360" w:lineRule="auto"/>
        <w:ind w:left="360"/>
        <w:contextualSpacing/>
      </w:pPr>
    </w:p>
    <w:p w14:paraId="026C1039" w14:textId="0B5EDD62" w:rsidR="007F6BF4" w:rsidRDefault="000E769F" w:rsidP="002F5767">
      <w:pPr>
        <w:pStyle w:val="ListParagraph"/>
        <w:numPr>
          <w:ilvl w:val="0"/>
          <w:numId w:val="1"/>
        </w:numPr>
        <w:spacing w:after="160" w:line="360" w:lineRule="auto"/>
        <w:contextualSpacing/>
      </w:pPr>
      <w:r>
        <w:t>Nevertheless, one aspect</w:t>
      </w:r>
      <w:r w:rsidR="00153A90">
        <w:t xml:space="preserve"> of the risk of dissipation which </w:t>
      </w:r>
      <w:r w:rsidR="000972DF">
        <w:t xml:space="preserve">may be receiving less </w:t>
      </w:r>
      <w:r w:rsidR="00203032">
        <w:t xml:space="preserve">attention </w:t>
      </w:r>
      <w:r w:rsidR="000972DF">
        <w:t xml:space="preserve">in practice than it </w:t>
      </w:r>
      <w:r w:rsidR="00483E7F">
        <w:t>might</w:t>
      </w:r>
      <w:r w:rsidR="000972DF">
        <w:t xml:space="preserve"> </w:t>
      </w:r>
      <w:r w:rsidR="00126042">
        <w:t xml:space="preserve">do, </w:t>
      </w:r>
      <w:r w:rsidR="00153A90">
        <w:t xml:space="preserve">is that the </w:t>
      </w:r>
      <w:r w:rsidR="00D3232B">
        <w:t xml:space="preserve">dissipation must nevertheless </w:t>
      </w:r>
      <w:r w:rsidR="00682F05">
        <w:t xml:space="preserve">be </w:t>
      </w:r>
      <w:r w:rsidR="00A35BFC" w:rsidRPr="009725B5">
        <w:rPr>
          <w:i/>
          <w:iCs/>
        </w:rPr>
        <w:t>unjustified</w:t>
      </w:r>
      <w:r w:rsidR="007268A0">
        <w:t xml:space="preserve">; </w:t>
      </w:r>
      <w:r w:rsidR="00A35BFC">
        <w:t xml:space="preserve">that is it must be improper in the sense that it is contrary to the legitimate objective of a </w:t>
      </w:r>
      <w:r w:rsidR="00826D69">
        <w:t xml:space="preserve">Mareva </w:t>
      </w:r>
      <w:r w:rsidR="00A35BFC">
        <w:t>injunction.</w:t>
      </w:r>
      <w:r w:rsidR="00EB6098">
        <w:rPr>
          <w:rStyle w:val="FootnoteReference"/>
        </w:rPr>
        <w:footnoteReference w:id="37"/>
      </w:r>
      <w:r w:rsidR="00A35BFC">
        <w:t xml:space="preserve"> </w:t>
      </w:r>
      <w:r w:rsidR="00A35BFC" w:rsidRPr="00A35BFC">
        <w:t xml:space="preserve">The purpose of a </w:t>
      </w:r>
      <w:r w:rsidR="00A35BFC">
        <w:t xml:space="preserve">Mareva </w:t>
      </w:r>
      <w:r w:rsidR="00A35BFC" w:rsidRPr="00A35BFC">
        <w:t>is not to provide the claimant with security; it is to restrain defendant</w:t>
      </w:r>
      <w:r w:rsidR="00E27004">
        <w:t>s</w:t>
      </w:r>
      <w:r w:rsidR="00A35BFC" w:rsidRPr="00A35BFC">
        <w:t xml:space="preserve"> from evading justice by </w:t>
      </w:r>
      <w:r w:rsidR="00A028CA">
        <w:t>dealing with</w:t>
      </w:r>
      <w:r w:rsidR="00F64DB3">
        <w:t>,</w:t>
      </w:r>
      <w:r w:rsidR="00A028CA">
        <w:t xml:space="preserve"> </w:t>
      </w:r>
      <w:r w:rsidR="00E816D1">
        <w:t>or concealing</w:t>
      </w:r>
      <w:r w:rsidR="00F64DB3">
        <w:t>,</w:t>
      </w:r>
      <w:r w:rsidR="00E816D1">
        <w:t xml:space="preserve"> </w:t>
      </w:r>
      <w:r w:rsidR="00A35BFC" w:rsidRPr="00A35BFC">
        <w:t xml:space="preserve">assets </w:t>
      </w:r>
      <w:r w:rsidR="00A35BFC" w:rsidRPr="009725B5">
        <w:rPr>
          <w:i/>
          <w:iCs/>
        </w:rPr>
        <w:t xml:space="preserve">otherwise than </w:t>
      </w:r>
      <w:r w:rsidR="00D4285C">
        <w:rPr>
          <w:i/>
          <w:iCs/>
        </w:rPr>
        <w:t xml:space="preserve">as </w:t>
      </w:r>
      <w:r w:rsidR="00E27004" w:rsidRPr="009725B5">
        <w:rPr>
          <w:i/>
          <w:iCs/>
        </w:rPr>
        <w:t xml:space="preserve">they </w:t>
      </w:r>
      <w:r w:rsidR="00351C4F" w:rsidRPr="009725B5">
        <w:rPr>
          <w:i/>
          <w:iCs/>
        </w:rPr>
        <w:t xml:space="preserve">normally </w:t>
      </w:r>
      <w:r w:rsidR="00E27004" w:rsidRPr="009725B5">
        <w:rPr>
          <w:i/>
          <w:iCs/>
        </w:rPr>
        <w:t>(</w:t>
      </w:r>
      <w:r w:rsidR="00F64DB3" w:rsidRPr="009725B5">
        <w:rPr>
          <w:i/>
          <w:iCs/>
        </w:rPr>
        <w:t>and lawfully</w:t>
      </w:r>
      <w:r w:rsidR="00E27004" w:rsidRPr="009725B5">
        <w:rPr>
          <w:i/>
          <w:iCs/>
        </w:rPr>
        <w:t>)</w:t>
      </w:r>
      <w:r w:rsidR="00F64DB3" w:rsidRPr="009725B5">
        <w:rPr>
          <w:i/>
          <w:iCs/>
        </w:rPr>
        <w:t xml:space="preserve"> </w:t>
      </w:r>
      <w:r w:rsidR="00351C4F" w:rsidRPr="009725B5">
        <w:rPr>
          <w:i/>
          <w:iCs/>
        </w:rPr>
        <w:t>would</w:t>
      </w:r>
      <w:r w:rsidR="00F64DB3" w:rsidRPr="009725B5">
        <w:rPr>
          <w:i/>
          <w:iCs/>
        </w:rPr>
        <w:t>.</w:t>
      </w:r>
      <w:r w:rsidR="00A35BFC" w:rsidRPr="00A35BFC">
        <w:t xml:space="preserve"> </w:t>
      </w:r>
      <w:r w:rsidR="00126042">
        <w:t xml:space="preserve">It is no part of the legitimate function of a Mareva </w:t>
      </w:r>
      <w:r w:rsidR="00A35BFC" w:rsidRPr="00A35BFC">
        <w:t>to stop a corporate defendant from dealing with its assets in the normal course of its business</w:t>
      </w:r>
      <w:r w:rsidR="00BE0781">
        <w:t xml:space="preserve">, and that should </w:t>
      </w:r>
      <w:r w:rsidR="00186029">
        <w:t xml:space="preserve">permit </w:t>
      </w:r>
      <w:r w:rsidR="00BE0781">
        <w:t xml:space="preserve">not merely existing business commitments but </w:t>
      </w:r>
      <w:r w:rsidR="006756F4">
        <w:t>those which it might reasonably have wished to undertake had there been no injunction.</w:t>
      </w:r>
      <w:r w:rsidR="00131E46">
        <w:t xml:space="preserve"> </w:t>
      </w:r>
      <w:r w:rsidR="00C9678A">
        <w:t xml:space="preserve">Those in business who are unrestrained often </w:t>
      </w:r>
      <w:r w:rsidR="00FC440B">
        <w:t xml:space="preserve">take </w:t>
      </w:r>
      <w:r w:rsidR="00E512C2">
        <w:t>advantage of new opportunities and d</w:t>
      </w:r>
      <w:r w:rsidR="001845A0">
        <w:t xml:space="preserve">evelopment into other business areas and ventures. </w:t>
      </w:r>
      <w:r w:rsidR="00FC440B">
        <w:t xml:space="preserve">Should those subject to a </w:t>
      </w:r>
      <w:r w:rsidR="00131E46">
        <w:t xml:space="preserve">Mareva </w:t>
      </w:r>
      <w:r w:rsidR="00FC440B">
        <w:t xml:space="preserve">be prevented from doing so?  </w:t>
      </w:r>
    </w:p>
    <w:p w14:paraId="06B70259" w14:textId="77777777" w:rsidR="007F6BF4" w:rsidRDefault="007F6BF4" w:rsidP="007F6BF4">
      <w:pPr>
        <w:pStyle w:val="ListParagraph"/>
      </w:pPr>
    </w:p>
    <w:p w14:paraId="7B782D16" w14:textId="22C67E5D" w:rsidR="004C0220" w:rsidRDefault="00A35BFC" w:rsidP="002F5767">
      <w:pPr>
        <w:pStyle w:val="ListParagraph"/>
        <w:numPr>
          <w:ilvl w:val="0"/>
          <w:numId w:val="1"/>
        </w:numPr>
        <w:spacing w:after="160" w:line="360" w:lineRule="auto"/>
        <w:contextualSpacing/>
      </w:pPr>
      <w:r w:rsidRPr="00A35BFC">
        <w:t xml:space="preserve">Similarly, </w:t>
      </w:r>
      <w:r w:rsidR="00D70BD8">
        <w:t xml:space="preserve">for individual defendants, </w:t>
      </w:r>
      <w:r w:rsidR="007F6BF4">
        <w:t xml:space="preserve">it is not the legitimate purpose of a Mareva to prevent them </w:t>
      </w:r>
      <w:r w:rsidRPr="00A35BFC">
        <w:t xml:space="preserve">from conducting </w:t>
      </w:r>
      <w:r w:rsidR="00621011">
        <w:t xml:space="preserve">their </w:t>
      </w:r>
      <w:r w:rsidRPr="00A35BFC">
        <w:t xml:space="preserve">personal affairs in the way </w:t>
      </w:r>
      <w:r w:rsidR="00621011">
        <w:t xml:space="preserve">they have </w:t>
      </w:r>
      <w:r w:rsidRPr="00A35BFC">
        <w:t>always conducted them, providing of course that such conduct is l</w:t>
      </w:r>
      <w:r w:rsidR="00785641">
        <w:t>awful</w:t>
      </w:r>
      <w:r w:rsidRPr="00A35BFC">
        <w:t>.</w:t>
      </w:r>
      <w:r w:rsidR="00D70BD8">
        <w:t xml:space="preserve"> </w:t>
      </w:r>
      <w:r w:rsidRPr="00A35BFC">
        <w:t>If the</w:t>
      </w:r>
      <w:r w:rsidR="00D70BD8">
        <w:t xml:space="preserve">y have done so </w:t>
      </w:r>
      <w:r w:rsidR="00466EB5">
        <w:t xml:space="preserve">through </w:t>
      </w:r>
      <w:r w:rsidR="00BC4B8C">
        <w:t xml:space="preserve">genuine offshore vehicles </w:t>
      </w:r>
      <w:r w:rsidR="00466EB5">
        <w:t>for reasons of</w:t>
      </w:r>
      <w:r w:rsidR="00AB0964">
        <w:t xml:space="preserve"> </w:t>
      </w:r>
      <w:r w:rsidR="001845A0">
        <w:t xml:space="preserve">tax or </w:t>
      </w:r>
      <w:r w:rsidR="00AB0964">
        <w:t>family planning</w:t>
      </w:r>
      <w:r w:rsidR="00252089">
        <w:t>,</w:t>
      </w:r>
      <w:r w:rsidR="00DF3E13">
        <w:t xml:space="preserve"> </w:t>
      </w:r>
      <w:r w:rsidR="00AB0964">
        <w:t xml:space="preserve">that is not something which </w:t>
      </w:r>
      <w:r w:rsidR="009E419E">
        <w:t xml:space="preserve">of itself </w:t>
      </w:r>
      <w:r w:rsidR="00DF3E13">
        <w:t xml:space="preserve">necessarily </w:t>
      </w:r>
      <w:r w:rsidR="009E419E">
        <w:t xml:space="preserve">demonstrates a </w:t>
      </w:r>
      <w:r w:rsidR="00AB0964">
        <w:t xml:space="preserve">risk of </w:t>
      </w:r>
      <w:r w:rsidR="00283AFC" w:rsidRPr="009725B5">
        <w:rPr>
          <w:i/>
          <w:iCs/>
        </w:rPr>
        <w:t>unjustified</w:t>
      </w:r>
      <w:r w:rsidR="00283AFC">
        <w:t xml:space="preserve"> </w:t>
      </w:r>
      <w:r w:rsidR="00AB0964">
        <w:t>dissipation</w:t>
      </w:r>
      <w:r w:rsidR="00283AFC">
        <w:t xml:space="preserve">, however much </w:t>
      </w:r>
      <w:r w:rsidR="001845A0">
        <w:t xml:space="preserve">their </w:t>
      </w:r>
      <w:r w:rsidR="00283AFC">
        <w:t>continuing to do so will hamper enforcement of a judgment.</w:t>
      </w:r>
      <w:r w:rsidR="00131E46">
        <w:t xml:space="preserve"> </w:t>
      </w:r>
      <w:r w:rsidR="0049536D">
        <w:t>W</w:t>
      </w:r>
      <w:r w:rsidR="00D15120">
        <w:t xml:space="preserve">hat of a </w:t>
      </w:r>
      <w:r w:rsidR="0026057B">
        <w:t xml:space="preserve">defendant </w:t>
      </w:r>
      <w:r w:rsidR="0049536D">
        <w:t xml:space="preserve">who </w:t>
      </w:r>
      <w:r w:rsidR="00AB0964">
        <w:t xml:space="preserve">has always intended to spend </w:t>
      </w:r>
      <w:r w:rsidR="006446DD">
        <w:t xml:space="preserve">their </w:t>
      </w:r>
      <w:r w:rsidR="00AB0964">
        <w:t>savings on a round</w:t>
      </w:r>
      <w:r w:rsidR="00220CAE">
        <w:t>-</w:t>
      </w:r>
      <w:r w:rsidR="00AB0964">
        <w:t>the</w:t>
      </w:r>
      <w:r w:rsidR="00220CAE">
        <w:t>-</w:t>
      </w:r>
      <w:r w:rsidR="00AB0964">
        <w:t>world tour</w:t>
      </w:r>
      <w:r w:rsidR="00EB6098">
        <w:t xml:space="preserve"> when </w:t>
      </w:r>
      <w:r w:rsidR="006446DD">
        <w:t xml:space="preserve">they </w:t>
      </w:r>
      <w:r w:rsidR="00EB6098">
        <w:t>retire</w:t>
      </w:r>
      <w:r w:rsidR="0049536D">
        <w:t>?</w:t>
      </w:r>
      <w:r w:rsidR="00EB6098">
        <w:t xml:space="preserve"> </w:t>
      </w:r>
      <w:r w:rsidR="007B080E">
        <w:t>Are they to be prevented from doing so because a claimant has what is only an arguable claim against them?</w:t>
      </w:r>
    </w:p>
    <w:p w14:paraId="48A311E7" w14:textId="77777777" w:rsidR="009725B5" w:rsidRDefault="009725B5" w:rsidP="009725B5">
      <w:pPr>
        <w:pStyle w:val="ListParagraph"/>
        <w:spacing w:after="160" w:line="360" w:lineRule="auto"/>
        <w:ind w:left="360"/>
        <w:contextualSpacing/>
      </w:pPr>
    </w:p>
    <w:p w14:paraId="626DA896" w14:textId="755D25AB" w:rsidR="00D5100F" w:rsidRDefault="004C6ECB" w:rsidP="00EA1561">
      <w:pPr>
        <w:pStyle w:val="ListParagraph"/>
        <w:numPr>
          <w:ilvl w:val="0"/>
          <w:numId w:val="1"/>
        </w:numPr>
        <w:spacing w:after="160" w:line="360" w:lineRule="auto"/>
        <w:contextualSpacing/>
      </w:pPr>
      <w:r>
        <w:t>T</w:t>
      </w:r>
      <w:r w:rsidR="00214BA4">
        <w:t xml:space="preserve">he </w:t>
      </w:r>
      <w:r w:rsidR="00DF3E13">
        <w:t xml:space="preserve">early </w:t>
      </w:r>
      <w:r w:rsidR="00D85072">
        <w:t xml:space="preserve">jurisprudence in this area tended to assume that the </w:t>
      </w:r>
      <w:r w:rsidR="00D85072" w:rsidRPr="00C0395E">
        <w:rPr>
          <w:i/>
          <w:iCs/>
        </w:rPr>
        <w:t>Angel Bell</w:t>
      </w:r>
      <w:r w:rsidR="003C0452" w:rsidRPr="00202C55">
        <w:rPr>
          <w:rStyle w:val="FootnoteReference"/>
        </w:rPr>
        <w:footnoteReference w:id="38"/>
      </w:r>
      <w:r w:rsidR="00D85072" w:rsidRPr="00202C55">
        <w:t xml:space="preserve"> </w:t>
      </w:r>
      <w:r w:rsidR="00D85072">
        <w:t xml:space="preserve">proviso, </w:t>
      </w:r>
      <w:r w:rsidR="00514D3E">
        <w:t>permitting dealings in the ordinary course of business</w:t>
      </w:r>
      <w:r w:rsidR="00167000">
        <w:t>,</w:t>
      </w:r>
      <w:r w:rsidR="00514D3E">
        <w:t xml:space="preserve"> was sufficient to </w:t>
      </w:r>
      <w:r w:rsidR="00214BA4">
        <w:t xml:space="preserve">address </w:t>
      </w:r>
      <w:r w:rsidR="00514D3E">
        <w:t xml:space="preserve">this aspect. But </w:t>
      </w:r>
      <w:r>
        <w:t xml:space="preserve">the proviso </w:t>
      </w:r>
      <w:r w:rsidR="00C0395E">
        <w:t>has been narrowly construed</w:t>
      </w:r>
      <w:r w:rsidR="006C262E">
        <w:t xml:space="preserve"> on the basis that it is for the defendant to come to the court to justify dealings</w:t>
      </w:r>
      <w:r w:rsidR="0087312D">
        <w:t>;</w:t>
      </w:r>
      <w:r w:rsidR="006C262E">
        <w:t xml:space="preserve"> and </w:t>
      </w:r>
      <w:r>
        <w:t xml:space="preserve">construed as </w:t>
      </w:r>
      <w:r w:rsidR="0087312D">
        <w:t xml:space="preserve">wholly </w:t>
      </w:r>
      <w:r w:rsidR="006C262E">
        <w:t>inapplicable to individuals</w:t>
      </w:r>
      <w:r w:rsidR="00381099">
        <w:t>, rather than businesses</w:t>
      </w:r>
      <w:r w:rsidR="00D5100F">
        <w:t>.</w:t>
      </w:r>
      <w:r w:rsidR="003C0452">
        <w:rPr>
          <w:rStyle w:val="FootnoteReference"/>
        </w:rPr>
        <w:footnoteReference w:id="39"/>
      </w:r>
      <w:r w:rsidR="00D5100F">
        <w:t xml:space="preserve"> With the </w:t>
      </w:r>
      <w:r w:rsidR="00514D3E">
        <w:t xml:space="preserve">increasing number of </w:t>
      </w:r>
      <w:proofErr w:type="spellStart"/>
      <w:r w:rsidR="00DC0CAB">
        <w:t>Marevas</w:t>
      </w:r>
      <w:proofErr w:type="spellEnd"/>
      <w:r w:rsidR="00DC0CAB">
        <w:t xml:space="preserve"> </w:t>
      </w:r>
      <w:r w:rsidR="00514D3E">
        <w:t>now being granted against in</w:t>
      </w:r>
      <w:r w:rsidR="000739CE">
        <w:t xml:space="preserve">dividuals, which used to be </w:t>
      </w:r>
      <w:r w:rsidR="00A17142">
        <w:t xml:space="preserve">relatively </w:t>
      </w:r>
      <w:r w:rsidR="000739CE">
        <w:t>rare</w:t>
      </w:r>
      <w:r w:rsidR="004A1658">
        <w:t xml:space="preserve">, </w:t>
      </w:r>
      <w:r w:rsidR="00D5100F">
        <w:t>this may warrant further attention.</w:t>
      </w:r>
    </w:p>
    <w:p w14:paraId="70EF846A" w14:textId="77777777" w:rsidR="004A1658" w:rsidRDefault="004A1658" w:rsidP="00EA1561">
      <w:pPr>
        <w:pStyle w:val="ListParagraph"/>
        <w:spacing w:after="160" w:line="360" w:lineRule="auto"/>
        <w:ind w:left="360"/>
        <w:contextualSpacing/>
      </w:pPr>
    </w:p>
    <w:p w14:paraId="7A16C76C" w14:textId="758F2015" w:rsidR="00D22A79" w:rsidRDefault="004A1658" w:rsidP="00D22A79">
      <w:pPr>
        <w:pStyle w:val="ListParagraph"/>
        <w:numPr>
          <w:ilvl w:val="0"/>
          <w:numId w:val="1"/>
        </w:numPr>
        <w:spacing w:after="160" w:line="360" w:lineRule="auto"/>
        <w:contextualSpacing/>
      </w:pPr>
      <w:r>
        <w:t xml:space="preserve">If it </w:t>
      </w:r>
      <w:r w:rsidR="00381099">
        <w:t xml:space="preserve">is </w:t>
      </w:r>
      <w:r>
        <w:t xml:space="preserve">thought desirable to rein in the number of </w:t>
      </w:r>
      <w:proofErr w:type="spellStart"/>
      <w:r w:rsidR="00DC0CAB">
        <w:t>Marevas</w:t>
      </w:r>
      <w:proofErr w:type="spellEnd"/>
      <w:r w:rsidR="00DC0CAB">
        <w:t xml:space="preserve"> </w:t>
      </w:r>
      <w:r>
        <w:t>granted, should consideration be given</w:t>
      </w:r>
      <w:r w:rsidR="00DF76EA">
        <w:t>,</w:t>
      </w:r>
      <w:r>
        <w:t xml:space="preserve"> perhaps, to the risk of dissipation test being one of nefarious intent</w:t>
      </w:r>
      <w:r w:rsidR="0071433B">
        <w:t>?</w:t>
      </w:r>
      <w:r>
        <w:t xml:space="preserve"> The objection has always been that </w:t>
      </w:r>
      <w:r w:rsidR="006B2A53">
        <w:t xml:space="preserve">such intent </w:t>
      </w:r>
      <w:r>
        <w:t>is very hard to prove. But in the cases where the claim itself is for fraudulent conduct and that is directly relevant to risk of dissipation (which is not a given</w:t>
      </w:r>
      <w:r w:rsidR="00F2170D">
        <w:t xml:space="preserve"> but is a paradigm case in which </w:t>
      </w:r>
      <w:proofErr w:type="spellStart"/>
      <w:r w:rsidR="00DC0CAB">
        <w:t>Marevas</w:t>
      </w:r>
      <w:proofErr w:type="spellEnd"/>
      <w:r w:rsidR="00DC0CAB">
        <w:t xml:space="preserve"> </w:t>
      </w:r>
      <w:r w:rsidR="00F2170D">
        <w:t>are granted</w:t>
      </w:r>
      <w:r>
        <w:t xml:space="preserve">) this may not be so hard to establish: </w:t>
      </w:r>
      <w:r w:rsidR="0086310D">
        <w:t>and the test is</w:t>
      </w:r>
      <w:r>
        <w:t>, after all, of a real risk</w:t>
      </w:r>
      <w:r w:rsidR="00F2170D">
        <w:t xml:space="preserve"> of dissipation</w:t>
      </w:r>
      <w:r>
        <w:t>, not a likelihood</w:t>
      </w:r>
      <w:r w:rsidR="008E0E92">
        <w:t xml:space="preserve"> on the balance of probabilities</w:t>
      </w:r>
      <w:r>
        <w:t xml:space="preserve">.  </w:t>
      </w:r>
    </w:p>
    <w:p w14:paraId="4F9B1925" w14:textId="77777777" w:rsidR="00726701" w:rsidRDefault="00726701" w:rsidP="00726701">
      <w:pPr>
        <w:pStyle w:val="ListParagraph"/>
      </w:pPr>
    </w:p>
    <w:p w14:paraId="59725FC4" w14:textId="360B6E0A" w:rsidR="002E389F" w:rsidRPr="002E389F" w:rsidRDefault="00726701" w:rsidP="002E389F">
      <w:pPr>
        <w:pStyle w:val="ListParagraph"/>
        <w:numPr>
          <w:ilvl w:val="0"/>
          <w:numId w:val="1"/>
        </w:numPr>
        <w:spacing w:line="360" w:lineRule="auto"/>
      </w:pPr>
      <w:r>
        <w:t xml:space="preserve">Nefarious intent is required in some jurisdictions, notably </w:t>
      </w:r>
      <w:r w:rsidR="00475CC0">
        <w:t xml:space="preserve">in Canada </w:t>
      </w:r>
      <w:r>
        <w:t>a</w:t>
      </w:r>
      <w:r w:rsidR="009C1907">
        <w:t xml:space="preserve">t Federal </w:t>
      </w:r>
      <w:r w:rsidR="00475CC0">
        <w:t>level,</w:t>
      </w:r>
      <w:r w:rsidR="003C0452">
        <w:rPr>
          <w:rStyle w:val="FootnoteReference"/>
        </w:rPr>
        <w:footnoteReference w:id="40"/>
      </w:r>
      <w:r w:rsidR="00475CC0">
        <w:t xml:space="preserve"> and inconsistently at </w:t>
      </w:r>
      <w:r w:rsidR="009C1907">
        <w:t>province level</w:t>
      </w:r>
      <w:r w:rsidR="00475CC0">
        <w:t>.</w:t>
      </w:r>
      <w:r w:rsidR="003C0452">
        <w:rPr>
          <w:rStyle w:val="FootnoteReference"/>
        </w:rPr>
        <w:footnoteReference w:id="41"/>
      </w:r>
      <w:r w:rsidR="00475CC0">
        <w:t xml:space="preserve"> They </w:t>
      </w:r>
      <w:r w:rsidR="00236DCB">
        <w:t>also apply a balance of probabilities standard to the risk of dissipation</w:t>
      </w:r>
      <w:r w:rsidR="003C0452">
        <w:t>.</w:t>
      </w:r>
      <w:r w:rsidR="003C0452">
        <w:rPr>
          <w:rStyle w:val="FootnoteReference"/>
        </w:rPr>
        <w:footnoteReference w:id="42"/>
      </w:r>
      <w:r w:rsidR="004B50A0">
        <w:t xml:space="preserve"> </w:t>
      </w:r>
    </w:p>
    <w:p w14:paraId="6EF9CC10" w14:textId="77777777" w:rsidR="002E389F" w:rsidRPr="0021510F" w:rsidRDefault="002E389F" w:rsidP="001041F0">
      <w:pPr>
        <w:spacing w:line="360" w:lineRule="auto"/>
      </w:pPr>
    </w:p>
    <w:p w14:paraId="54F7F7A4" w14:textId="2AC69D9F" w:rsidR="00DE3EA8" w:rsidRDefault="002E274F" w:rsidP="00D22A79">
      <w:pPr>
        <w:pStyle w:val="ListParagraph"/>
        <w:numPr>
          <w:ilvl w:val="0"/>
          <w:numId w:val="1"/>
        </w:numPr>
        <w:spacing w:after="160" w:line="360" w:lineRule="auto"/>
        <w:contextualSpacing/>
      </w:pPr>
      <w:r>
        <w:t xml:space="preserve">Nefarious intent is also required </w:t>
      </w:r>
      <w:r w:rsidR="00627451">
        <w:t xml:space="preserve">in the limited jurisdiction in New York under </w:t>
      </w:r>
      <w:r w:rsidR="00784509">
        <w:t>s.6201(</w:t>
      </w:r>
      <w:r w:rsidR="00475CC0">
        <w:t>3</w:t>
      </w:r>
      <w:r w:rsidR="00784509">
        <w:t>) of the CPLR.</w:t>
      </w:r>
      <w:r w:rsidR="003C0452">
        <w:rPr>
          <w:rStyle w:val="FootnoteReference"/>
        </w:rPr>
        <w:footnoteReference w:id="43"/>
      </w:r>
      <w:r w:rsidR="00DE3EA8" w:rsidRPr="00DE3EA8">
        <w:t xml:space="preserve"> </w:t>
      </w:r>
    </w:p>
    <w:p w14:paraId="47E42EDC" w14:textId="77777777" w:rsidR="00DE3EA8" w:rsidRDefault="00DE3EA8" w:rsidP="00DE3EA8">
      <w:pPr>
        <w:pStyle w:val="ListParagraph"/>
      </w:pPr>
    </w:p>
    <w:p w14:paraId="469B51BA" w14:textId="43572AE5" w:rsidR="00726701" w:rsidRDefault="00DE3EA8" w:rsidP="00D22A79">
      <w:pPr>
        <w:pStyle w:val="ListParagraph"/>
        <w:numPr>
          <w:ilvl w:val="0"/>
          <w:numId w:val="1"/>
        </w:numPr>
        <w:spacing w:after="160" w:line="360" w:lineRule="auto"/>
        <w:contextualSpacing/>
      </w:pPr>
      <w:r>
        <w:t>T</w:t>
      </w:r>
      <w:r w:rsidRPr="00937386">
        <w:t>he courts of British Columbia have adopted an avowedly more flexible approach: the court conducts a general “balance of convenience” assessment</w:t>
      </w:r>
      <w:r>
        <w:t xml:space="preserve">, </w:t>
      </w:r>
      <w:r w:rsidRPr="00937386">
        <w:t>to which risk of dissipation is inevitably relevant, but not jurisdictionally necessary.</w:t>
      </w:r>
      <w:r>
        <w:rPr>
          <w:rStyle w:val="FootnoteReference"/>
        </w:rPr>
        <w:footnoteReference w:id="44"/>
      </w:r>
      <w:r>
        <w:t xml:space="preserve"> </w:t>
      </w:r>
    </w:p>
    <w:p w14:paraId="24D66A1F" w14:textId="3D3CC82D" w:rsidR="002A3C6D" w:rsidRPr="001C5123" w:rsidRDefault="002A3C6D" w:rsidP="002A3C6D">
      <w:pPr>
        <w:spacing w:after="160" w:line="259" w:lineRule="auto"/>
        <w:contextualSpacing/>
        <w:rPr>
          <w:i/>
          <w:iCs/>
        </w:rPr>
      </w:pPr>
      <w:r w:rsidRPr="001C5123">
        <w:rPr>
          <w:i/>
          <w:iCs/>
        </w:rPr>
        <w:t xml:space="preserve">Disclosure of assets </w:t>
      </w:r>
    </w:p>
    <w:p w14:paraId="1D3A0E4E" w14:textId="4F76CA6D" w:rsidR="00D455A5" w:rsidRDefault="0058173E" w:rsidP="00D455A5">
      <w:pPr>
        <w:pStyle w:val="ParaLevel1"/>
        <w:numPr>
          <w:ilvl w:val="0"/>
          <w:numId w:val="1"/>
        </w:numPr>
        <w:tabs>
          <w:tab w:val="clear" w:pos="360"/>
        </w:tabs>
        <w:spacing w:line="360" w:lineRule="auto"/>
      </w:pPr>
      <w:r>
        <w:t xml:space="preserve">Waller LJ said in </w:t>
      </w:r>
      <w:r w:rsidRPr="00DE1C95">
        <w:rPr>
          <w:i/>
          <w:iCs/>
        </w:rPr>
        <w:t>Motorola Credit v Uzan</w:t>
      </w:r>
      <w:r w:rsidR="004847CC">
        <w:t xml:space="preserve">: </w:t>
      </w:r>
      <w:r>
        <w:t>“although it is an invasion of privacy to force any party to disclose assets, a freezing order in normal circumstances simply cannot be effective without that disclosure”</w:t>
      </w:r>
      <w:r w:rsidR="00DC0CAB">
        <w:t>.</w:t>
      </w:r>
      <w:r w:rsidR="00DC0CAB">
        <w:rPr>
          <w:rStyle w:val="FootnoteReference"/>
        </w:rPr>
        <w:footnoteReference w:id="45"/>
      </w:r>
      <w:r>
        <w:t xml:space="preserve"> It is </w:t>
      </w:r>
      <w:r w:rsidR="004847CC">
        <w:t xml:space="preserve">now, I believe, the </w:t>
      </w:r>
      <w:r w:rsidR="00C90F28">
        <w:t>i</w:t>
      </w:r>
      <w:r>
        <w:t xml:space="preserve">nvariable practice for a </w:t>
      </w:r>
      <w:r w:rsidR="00DC0CAB">
        <w:t xml:space="preserve">Mareva </w:t>
      </w:r>
      <w:r>
        <w:t xml:space="preserve">to include an order for disclosure of assets. </w:t>
      </w:r>
      <w:r w:rsidR="0052526E">
        <w:t xml:space="preserve">In practice </w:t>
      </w:r>
      <w:r w:rsidR="00C90F28">
        <w:t>it is the</w:t>
      </w:r>
      <w:r w:rsidR="006F3A72">
        <w:t xml:space="preserve"> disclosure </w:t>
      </w:r>
      <w:r w:rsidR="00ED010C">
        <w:t xml:space="preserve">part of the order </w:t>
      </w:r>
      <w:r w:rsidR="00C90F28">
        <w:t xml:space="preserve">which </w:t>
      </w:r>
      <w:r w:rsidR="00ED010C">
        <w:t xml:space="preserve">may operate as </w:t>
      </w:r>
      <w:r w:rsidR="0052526E">
        <w:t xml:space="preserve">the most onerous and potentially prejudicial aspect </w:t>
      </w:r>
      <w:r w:rsidR="00ED010C">
        <w:t xml:space="preserve">of it, </w:t>
      </w:r>
      <w:r w:rsidR="00653378">
        <w:t>more so than the freezing effect of the injunction itself.</w:t>
      </w:r>
    </w:p>
    <w:p w14:paraId="5A695A7B" w14:textId="298BCE0E" w:rsidR="004D29E4" w:rsidRDefault="0089718D" w:rsidP="00D455A5">
      <w:pPr>
        <w:pStyle w:val="ParaLevel1"/>
        <w:numPr>
          <w:ilvl w:val="0"/>
          <w:numId w:val="1"/>
        </w:numPr>
        <w:tabs>
          <w:tab w:val="clear" w:pos="360"/>
        </w:tabs>
        <w:spacing w:line="360" w:lineRule="auto"/>
      </w:pPr>
      <w:r>
        <w:t>Typically it will require disclosure of all assets worldwide above a relatively low threshold</w:t>
      </w:r>
      <w:r w:rsidR="000C279F">
        <w:t xml:space="preserve"> value for each individual asset</w:t>
      </w:r>
      <w:r w:rsidR="00C90F28">
        <w:t>; £5,000 is not uncommon.</w:t>
      </w:r>
      <w:r w:rsidR="004807C4">
        <w:t xml:space="preserve"> </w:t>
      </w:r>
      <w:r w:rsidR="008E70DD">
        <w:t>The standard order does not contemplate different limits for different classes of assets</w:t>
      </w:r>
      <w:r w:rsidR="00DE5A48">
        <w:t xml:space="preserve">: properties, shares, chattels, </w:t>
      </w:r>
      <w:r w:rsidR="008D399B">
        <w:t xml:space="preserve">and so on. </w:t>
      </w:r>
      <w:r w:rsidR="005249CE">
        <w:t xml:space="preserve">It will require the disclosure in a very short time frame: </w:t>
      </w:r>
      <w:r w:rsidR="002E2616">
        <w:t xml:space="preserve">the standard order </w:t>
      </w:r>
      <w:r w:rsidR="008D399B">
        <w:t>requires the insertion of a number of</w:t>
      </w:r>
      <w:r w:rsidR="00B728EF">
        <w:t xml:space="preserve"> “hours/days”</w:t>
      </w:r>
      <w:r w:rsidR="00B05B0B">
        <w:t xml:space="preserve">. </w:t>
      </w:r>
      <w:r w:rsidR="00173ADC">
        <w:t xml:space="preserve">The standard form of order </w:t>
      </w:r>
      <w:r w:rsidR="00B05B0B">
        <w:t>requires</w:t>
      </w:r>
      <w:r w:rsidR="005919FA">
        <w:t xml:space="preserve"> value</w:t>
      </w:r>
      <w:r w:rsidR="00173ADC">
        <w:t xml:space="preserve">, </w:t>
      </w:r>
      <w:r w:rsidR="005919FA">
        <w:t>location and “detail” of each of the assets without any guidance as to how much detail that involves</w:t>
      </w:r>
      <w:r w:rsidR="00B728EF">
        <w:t xml:space="preserve"> or whether value is gross or net of encumbrances.</w:t>
      </w:r>
      <w:r w:rsidR="00936C0C">
        <w:t xml:space="preserve"> </w:t>
      </w:r>
      <w:r w:rsidR="00944719">
        <w:t xml:space="preserve">The </w:t>
      </w:r>
      <w:r w:rsidR="00D62EEE">
        <w:t xml:space="preserve">defendant </w:t>
      </w:r>
      <w:r w:rsidR="001F49BD">
        <w:t xml:space="preserve">will usually be required to provide supporting documentation, </w:t>
      </w:r>
      <w:r w:rsidR="003A3DD8">
        <w:t>whether in the original order or by way of follow up</w:t>
      </w:r>
      <w:r w:rsidR="005341F8">
        <w:t xml:space="preserve">, </w:t>
      </w:r>
      <w:r w:rsidR="001F49BD">
        <w:t xml:space="preserve">the </w:t>
      </w:r>
      <w:r w:rsidR="00D62EEE">
        <w:t xml:space="preserve">exact nature and extent of which </w:t>
      </w:r>
      <w:r w:rsidR="001F49BD">
        <w:t>is left undefined by the order.</w:t>
      </w:r>
    </w:p>
    <w:p w14:paraId="560D00EF" w14:textId="3019016D" w:rsidR="00E41027" w:rsidRPr="00D455A5" w:rsidRDefault="00116983" w:rsidP="00E41027">
      <w:pPr>
        <w:pStyle w:val="ParaLevel1"/>
        <w:numPr>
          <w:ilvl w:val="0"/>
          <w:numId w:val="1"/>
        </w:numPr>
        <w:spacing w:line="360" w:lineRule="auto"/>
      </w:pPr>
      <w:r>
        <w:t xml:space="preserve">Consider for a moment the position of a defendant when </w:t>
      </w:r>
      <w:r w:rsidR="002C415E">
        <w:t>they first receive the order, often by email. T</w:t>
      </w:r>
      <w:r w:rsidR="005A5FF3">
        <w:t xml:space="preserve">hey face </w:t>
      </w:r>
      <w:r w:rsidR="007B6DD3">
        <w:t>numerous practical challenges</w:t>
      </w:r>
      <w:r w:rsidR="008374E7">
        <w:t xml:space="preserve"> </w:t>
      </w:r>
      <w:r w:rsidR="00555AC9">
        <w:t>from a</w:t>
      </w:r>
      <w:r w:rsidR="000F3590">
        <w:t xml:space="preserve"> standing start and often from a position of deep disadvantage.</w:t>
      </w:r>
      <w:r w:rsidR="00936C0C">
        <w:t xml:space="preserve"> </w:t>
      </w:r>
      <w:r w:rsidR="001D4614">
        <w:t xml:space="preserve">English may not be </w:t>
      </w:r>
      <w:r w:rsidR="004D29E4">
        <w:t>their</w:t>
      </w:r>
      <w:r w:rsidR="001D4614">
        <w:t xml:space="preserve"> native language</w:t>
      </w:r>
      <w:r w:rsidR="00126291">
        <w:t xml:space="preserve">. </w:t>
      </w:r>
      <w:r w:rsidR="001905E8">
        <w:t>In th</w:t>
      </w:r>
      <w:r w:rsidR="00BA3480">
        <w:t xml:space="preserve">e short time allowed </w:t>
      </w:r>
      <w:r w:rsidR="001905E8">
        <w:t xml:space="preserve">the defendant </w:t>
      </w:r>
      <w:r w:rsidR="000F3590">
        <w:t xml:space="preserve">must find a lawyer, who </w:t>
      </w:r>
      <w:r w:rsidR="001905E8">
        <w:t xml:space="preserve">is willing and competent to act in what is often complex litigation, and who </w:t>
      </w:r>
      <w:r w:rsidR="000F3590">
        <w:t>will need to do K</w:t>
      </w:r>
      <w:r w:rsidR="00F43273">
        <w:t xml:space="preserve">now Your Client </w:t>
      </w:r>
      <w:r w:rsidR="000F3590">
        <w:t>checks</w:t>
      </w:r>
      <w:r w:rsidR="006C13C0">
        <w:t xml:space="preserve">, before </w:t>
      </w:r>
      <w:r w:rsidR="004D29E4">
        <w:t xml:space="preserve">the defendant </w:t>
      </w:r>
      <w:r w:rsidR="006C13C0">
        <w:t xml:space="preserve">can </w:t>
      </w:r>
      <w:r w:rsidR="008650E8">
        <w:t>receive advice</w:t>
      </w:r>
      <w:r w:rsidR="008374E7">
        <w:t xml:space="preserve">. The defendant will need advice </w:t>
      </w:r>
      <w:r w:rsidR="008650E8">
        <w:t xml:space="preserve">on </w:t>
      </w:r>
      <w:r w:rsidR="006C13C0">
        <w:t>what he has to do and whether he can resist doing it</w:t>
      </w:r>
      <w:r w:rsidR="008B07BC">
        <w:t xml:space="preserve">. </w:t>
      </w:r>
      <w:r w:rsidR="00B1682E">
        <w:t xml:space="preserve">They </w:t>
      </w:r>
      <w:r w:rsidR="008B07BC">
        <w:t>will inevitably want advice as to whether he can</w:t>
      </w:r>
      <w:r w:rsidR="00EE16D2">
        <w:t xml:space="preserve"> </w:t>
      </w:r>
      <w:r w:rsidR="008B07BC">
        <w:t>challenge the order</w:t>
      </w:r>
      <w:r w:rsidR="006C13C0">
        <w:t xml:space="preserve">, </w:t>
      </w:r>
      <w:r w:rsidR="00EE16D2">
        <w:t xml:space="preserve">for example on </w:t>
      </w:r>
      <w:r w:rsidR="00853BC9">
        <w:t>jurisdictiona</w:t>
      </w:r>
      <w:r w:rsidR="002A364B">
        <w:t xml:space="preserve">l grounds or because he asserts a good </w:t>
      </w:r>
      <w:r w:rsidR="00EE16D2">
        <w:t>defence to the claim or that the order should not have been granted for some other reason</w:t>
      </w:r>
      <w:r w:rsidR="00F43273">
        <w:t xml:space="preserve"> (full and frank disclosure being a common example)</w:t>
      </w:r>
      <w:r w:rsidR="00EE16D2">
        <w:t xml:space="preserve">. That will often be a matter of </w:t>
      </w:r>
      <w:r w:rsidR="004D29E4">
        <w:t xml:space="preserve">considerable </w:t>
      </w:r>
      <w:r w:rsidR="00EE16D2">
        <w:t xml:space="preserve">complexity </w:t>
      </w:r>
      <w:r w:rsidR="00295C07">
        <w:t>and evidence</w:t>
      </w:r>
      <w:r w:rsidR="00771199">
        <w:t>-</w:t>
      </w:r>
      <w:r w:rsidR="00295C07">
        <w:t>heavy.</w:t>
      </w:r>
      <w:r w:rsidR="00936C0C">
        <w:t xml:space="preserve"> </w:t>
      </w:r>
      <w:r w:rsidR="004D29E4">
        <w:t xml:space="preserve">They </w:t>
      </w:r>
      <w:r w:rsidR="00295C07">
        <w:t>may need advice on the application of the self</w:t>
      </w:r>
      <w:r w:rsidR="008E2C30">
        <w:t>-</w:t>
      </w:r>
      <w:r w:rsidR="00295C07">
        <w:t xml:space="preserve">incrimination </w:t>
      </w:r>
      <w:r w:rsidR="00715D9A">
        <w:t xml:space="preserve">proviso, </w:t>
      </w:r>
      <w:r w:rsidR="00BB3D1B">
        <w:t xml:space="preserve">or by reference more generally to a </w:t>
      </w:r>
      <w:r w:rsidR="00715D9A">
        <w:t xml:space="preserve">risk of prejudice in foreign jurisdictions. </w:t>
      </w:r>
      <w:r w:rsidR="00223572">
        <w:t xml:space="preserve">They </w:t>
      </w:r>
      <w:r w:rsidR="00715D9A">
        <w:t>will need advice on whether assets which are not in</w:t>
      </w:r>
      <w:r w:rsidR="00223572">
        <w:t xml:space="preserve"> their own </w:t>
      </w:r>
      <w:r w:rsidR="00715D9A">
        <w:t>name</w:t>
      </w:r>
      <w:r w:rsidR="00706536">
        <w:t xml:space="preserve"> are caught or require disclosure. For all this </w:t>
      </w:r>
      <w:r w:rsidR="00223572">
        <w:t xml:space="preserve">they </w:t>
      </w:r>
      <w:r w:rsidR="000F3590">
        <w:t xml:space="preserve">must fund the lawyer </w:t>
      </w:r>
      <w:r w:rsidR="00455DB0">
        <w:t xml:space="preserve">in circumstances where the order </w:t>
      </w:r>
      <w:r w:rsidR="00D513B7">
        <w:t xml:space="preserve">will </w:t>
      </w:r>
      <w:r w:rsidR="00455DB0">
        <w:t xml:space="preserve">limit the sums allowed, and </w:t>
      </w:r>
      <w:r w:rsidR="00D513B7">
        <w:t xml:space="preserve">may also </w:t>
      </w:r>
      <w:r w:rsidR="00455DB0">
        <w:t>require notification of the source of funds.</w:t>
      </w:r>
      <w:r w:rsidR="00936C0C">
        <w:t xml:space="preserve"> </w:t>
      </w:r>
      <w:r w:rsidR="00E41027" w:rsidRPr="00341873">
        <w:t>And at the same time the defendant may be dealing with his banks or any other counterparties whom the claimant has been able to locate and inform of the order</w:t>
      </w:r>
      <w:r w:rsidR="00BB3D1B">
        <w:t xml:space="preserve">, </w:t>
      </w:r>
      <w:r w:rsidR="00E41027" w:rsidRPr="00341873">
        <w:t>who will be actively cutting off his financial support</w:t>
      </w:r>
      <w:r w:rsidR="00E41027">
        <w:t>.</w:t>
      </w:r>
    </w:p>
    <w:p w14:paraId="673B3A1E" w14:textId="705F194A" w:rsidR="00A7473C" w:rsidRDefault="00D37E07" w:rsidP="00D455A5">
      <w:pPr>
        <w:pStyle w:val="ParaLevel1"/>
        <w:numPr>
          <w:ilvl w:val="0"/>
          <w:numId w:val="1"/>
        </w:numPr>
        <w:tabs>
          <w:tab w:val="clear" w:pos="360"/>
        </w:tabs>
        <w:spacing w:line="360" w:lineRule="auto"/>
      </w:pPr>
      <w:r>
        <w:t>The amounts allowed for legal expenses are often relatively small compared with the large amount of legal advice and work which will have to be undertaken</w:t>
      </w:r>
      <w:r w:rsidR="00BF225E">
        <w:t>, and sometimes unrealistically so</w:t>
      </w:r>
      <w:r>
        <w:t xml:space="preserve">. If the defendant has to come back and justify seeking more, </w:t>
      </w:r>
      <w:r w:rsidR="00A42225">
        <w:t xml:space="preserve">that gives </w:t>
      </w:r>
      <w:r w:rsidR="00994DE2">
        <w:t>t</w:t>
      </w:r>
      <w:r w:rsidR="00A42225">
        <w:t>he claimant an advantage</w:t>
      </w:r>
      <w:r w:rsidR="00100215">
        <w:t>.</w:t>
      </w:r>
      <w:r w:rsidR="00A42225">
        <w:t xml:space="preserve"> </w:t>
      </w:r>
      <w:r w:rsidR="00100215">
        <w:t>I</w:t>
      </w:r>
      <w:r>
        <w:t xml:space="preserve">t is the claimant who is controlling the ability of the defendant to conduct the litigation as </w:t>
      </w:r>
      <w:r w:rsidR="001B654A">
        <w:t xml:space="preserve">they wish </w:t>
      </w:r>
      <w:r>
        <w:t xml:space="preserve">in </w:t>
      </w:r>
      <w:r w:rsidR="001B654A">
        <w:t xml:space="preserve">their </w:t>
      </w:r>
      <w:r>
        <w:t>own interests</w:t>
      </w:r>
      <w:r w:rsidR="00497C11">
        <w:t xml:space="preserve">; the claimant is gaining </w:t>
      </w:r>
      <w:r w:rsidR="00A7473C">
        <w:t xml:space="preserve">an insight into the privileged world of what </w:t>
      </w:r>
      <w:r w:rsidR="00497C11">
        <w:t xml:space="preserve">aspects of the litigation the </w:t>
      </w:r>
      <w:r w:rsidR="00A7473C">
        <w:t xml:space="preserve">defendant </w:t>
      </w:r>
      <w:r w:rsidR="00497C11">
        <w:t xml:space="preserve">wants to </w:t>
      </w:r>
      <w:r w:rsidR="00A7473C">
        <w:t>spend money on.</w:t>
      </w:r>
    </w:p>
    <w:p w14:paraId="57FFDE86" w14:textId="1A127B20" w:rsidR="00F00E06" w:rsidRDefault="00A7473C" w:rsidP="00D455A5">
      <w:pPr>
        <w:pStyle w:val="ParaLevel1"/>
        <w:numPr>
          <w:ilvl w:val="0"/>
          <w:numId w:val="1"/>
        </w:numPr>
        <w:tabs>
          <w:tab w:val="clear" w:pos="360"/>
        </w:tabs>
        <w:spacing w:line="360" w:lineRule="auto"/>
      </w:pPr>
      <w:r>
        <w:t>I</w:t>
      </w:r>
      <w:r w:rsidR="003B2F64">
        <w:t xml:space="preserve">n practice </w:t>
      </w:r>
      <w:r w:rsidR="00BC359E">
        <w:t xml:space="preserve">the defendant almost always has to </w:t>
      </w:r>
      <w:r w:rsidR="00574BDF">
        <w:t xml:space="preserve">give </w:t>
      </w:r>
      <w:r w:rsidR="00AE19EE">
        <w:t xml:space="preserve">disclosure </w:t>
      </w:r>
      <w:r w:rsidR="00AF5FAD">
        <w:t xml:space="preserve">before there is any opportunity to challenge the order, so that </w:t>
      </w:r>
      <w:r w:rsidR="00941AB8">
        <w:t>t</w:t>
      </w:r>
      <w:r w:rsidR="00AF5FAD">
        <w:t xml:space="preserve">he information </w:t>
      </w:r>
      <w:r w:rsidR="00941AB8">
        <w:t xml:space="preserve">and documentation </w:t>
      </w:r>
      <w:r w:rsidR="00AF5FAD">
        <w:t>is</w:t>
      </w:r>
      <w:r w:rsidR="00732D71">
        <w:t xml:space="preserve"> irrevocably in the hands of their opponent even if it should turn out that it should</w:t>
      </w:r>
      <w:r w:rsidR="00B5364C">
        <w:t xml:space="preserve"> not</w:t>
      </w:r>
      <w:r w:rsidR="00732D71">
        <w:t xml:space="preserve"> be.</w:t>
      </w:r>
      <w:r w:rsidR="00936C0C">
        <w:t xml:space="preserve"> </w:t>
      </w:r>
      <w:r w:rsidR="00AE19EE">
        <w:t>The</w:t>
      </w:r>
      <w:r w:rsidR="00D37E07">
        <w:t xml:space="preserve"> </w:t>
      </w:r>
      <w:r w:rsidR="00101E39">
        <w:t>Courts do not usually suspend the disclosure operation</w:t>
      </w:r>
      <w:r w:rsidR="00CE5E02">
        <w:t xml:space="preserve"> </w:t>
      </w:r>
      <w:r w:rsidR="00101E39">
        <w:t>pending such challenge</w:t>
      </w:r>
      <w:r w:rsidR="00AA3D36">
        <w:t>, and will not, for example, order sealed disclosure to be lodged at court but not released to the claimant pending resolution of a discharge application.</w:t>
      </w:r>
      <w:r w:rsidR="00101E39">
        <w:rPr>
          <w:rStyle w:val="FootnoteReference"/>
        </w:rPr>
        <w:footnoteReference w:id="46"/>
      </w:r>
      <w:r w:rsidR="00D37E07">
        <w:t xml:space="preserve"> </w:t>
      </w:r>
    </w:p>
    <w:p w14:paraId="7F23AD24" w14:textId="47181D83" w:rsidR="004C1634" w:rsidRPr="00D455A5" w:rsidRDefault="002F7137" w:rsidP="00E41027">
      <w:pPr>
        <w:pStyle w:val="ParaLevel1"/>
        <w:numPr>
          <w:ilvl w:val="0"/>
          <w:numId w:val="1"/>
        </w:numPr>
        <w:tabs>
          <w:tab w:val="clear" w:pos="360"/>
        </w:tabs>
        <w:spacing w:line="360" w:lineRule="auto"/>
      </w:pPr>
      <w:r>
        <w:t xml:space="preserve">All this </w:t>
      </w:r>
      <w:r w:rsidR="00D37E07">
        <w:t xml:space="preserve">is undertaken </w:t>
      </w:r>
      <w:r w:rsidR="00F00E06">
        <w:t xml:space="preserve">in response to a court order </w:t>
      </w:r>
      <w:proofErr w:type="spellStart"/>
      <w:r w:rsidR="00F00E06">
        <w:t>bearing</w:t>
      </w:r>
      <w:proofErr w:type="spellEnd"/>
      <w:r w:rsidR="00F00E06">
        <w:t xml:space="preserve"> a penal notice </w:t>
      </w:r>
      <w:r w:rsidR="00143D0C">
        <w:t xml:space="preserve">and at risk </w:t>
      </w:r>
      <w:r>
        <w:t xml:space="preserve">of </w:t>
      </w:r>
      <w:r w:rsidR="00143D0C">
        <w:t xml:space="preserve">criminal sanctions for </w:t>
      </w:r>
      <w:r w:rsidR="00C30347">
        <w:t>contempt of court if there is any failure to comply in any respect with the order</w:t>
      </w:r>
      <w:r w:rsidR="001B5805">
        <w:t>.</w:t>
      </w:r>
      <w:r w:rsidR="00936C0C">
        <w:t xml:space="preserve"> </w:t>
      </w:r>
      <w:r w:rsidR="001B5805">
        <w:t xml:space="preserve">Remember that contempt </w:t>
      </w:r>
      <w:r w:rsidR="00497C11">
        <w:t>does not require a deliberate breach of the order.</w:t>
      </w:r>
      <w:r w:rsidR="00936C0C">
        <w:t xml:space="preserve"> </w:t>
      </w:r>
      <w:r w:rsidR="00942817">
        <w:t xml:space="preserve">It is committed by </w:t>
      </w:r>
      <w:r w:rsidR="001B5805">
        <w:t xml:space="preserve">deliberate conduct which </w:t>
      </w:r>
      <w:r w:rsidR="00942817">
        <w:t xml:space="preserve">in fact </w:t>
      </w:r>
      <w:r w:rsidR="001B5805">
        <w:t>breaches the order without the need for any intention to breach the order.</w:t>
      </w:r>
      <w:r w:rsidR="00583799">
        <w:rPr>
          <w:rStyle w:val="FootnoteReference"/>
        </w:rPr>
        <w:footnoteReference w:id="47"/>
      </w:r>
      <w:r w:rsidR="00A2327C">
        <w:t xml:space="preserve"> </w:t>
      </w:r>
      <w:r w:rsidR="00942817">
        <w:t xml:space="preserve">Advice on the exact meaning and application of the order is critical.  </w:t>
      </w:r>
    </w:p>
    <w:p w14:paraId="347CBEAF" w14:textId="4014B2F0" w:rsidR="003C3F81" w:rsidRDefault="00CC493F" w:rsidP="003C3F81">
      <w:pPr>
        <w:pStyle w:val="ParaLevel1"/>
        <w:numPr>
          <w:ilvl w:val="0"/>
          <w:numId w:val="1"/>
        </w:numPr>
        <w:tabs>
          <w:tab w:val="clear" w:pos="360"/>
        </w:tabs>
        <w:spacing w:line="360" w:lineRule="auto"/>
      </w:pPr>
      <w:r>
        <w:t>Moreover, e</w:t>
      </w:r>
      <w:r w:rsidR="00E03D77">
        <w:t xml:space="preserve">xperience tells us </w:t>
      </w:r>
      <w:r w:rsidR="001F3352">
        <w:t xml:space="preserve">that in practice disclosure is often weaponised by </w:t>
      </w:r>
      <w:r w:rsidR="00A375C3">
        <w:t>c</w:t>
      </w:r>
      <w:r w:rsidR="001F3352">
        <w:t xml:space="preserve">laimants to pursue </w:t>
      </w:r>
      <w:r w:rsidR="003B159B">
        <w:t>relentless</w:t>
      </w:r>
      <w:r w:rsidR="001F3352">
        <w:t xml:space="preserve"> </w:t>
      </w:r>
      <w:r w:rsidR="00F97640">
        <w:t xml:space="preserve">and extensive </w:t>
      </w:r>
      <w:r w:rsidR="001F3352">
        <w:t xml:space="preserve">inquiries in correspondence involving alleged discrepancies or unexplained matters as part of an aggressive litigation strategy, sometimes resulting in further applications </w:t>
      </w:r>
      <w:r>
        <w:t>to the court</w:t>
      </w:r>
      <w:r w:rsidR="00AD65D2">
        <w:t xml:space="preserve">, often involving </w:t>
      </w:r>
      <w:r w:rsidR="001F3352">
        <w:t>threats of contempt proceedings</w:t>
      </w:r>
      <w:r w:rsidR="00432361">
        <w:t xml:space="preserve"> </w:t>
      </w:r>
      <w:r w:rsidR="00AD65D2">
        <w:t xml:space="preserve">and sometimes the </w:t>
      </w:r>
      <w:r w:rsidR="00D24E86">
        <w:t xml:space="preserve">actual commencement of </w:t>
      </w:r>
      <w:r w:rsidR="00432361">
        <w:t xml:space="preserve">contempt proceedings </w:t>
      </w:r>
      <w:r w:rsidR="00D24E86">
        <w:t>(</w:t>
      </w:r>
      <w:r w:rsidR="00AD65D2">
        <w:t>I may be wrong but I detect an increasing trend in this direction)</w:t>
      </w:r>
      <w:r w:rsidR="00F97640">
        <w:t>.</w:t>
      </w:r>
      <w:r w:rsidR="00936C0C">
        <w:t xml:space="preserve"> </w:t>
      </w:r>
      <w:r w:rsidR="001F3352">
        <w:t xml:space="preserve">This </w:t>
      </w:r>
      <w:r w:rsidR="00CC1B1F">
        <w:t xml:space="preserve">can be a weapon of </w:t>
      </w:r>
      <w:r w:rsidR="001F3352">
        <w:t>oppression which is</w:t>
      </w:r>
      <w:r w:rsidR="00CC1B1F">
        <w:t xml:space="preserve"> unrelated to </w:t>
      </w:r>
      <w:r w:rsidR="00C44E14">
        <w:t>t</w:t>
      </w:r>
      <w:r w:rsidR="001F3352">
        <w:t xml:space="preserve">he issues in the action </w:t>
      </w:r>
      <w:r w:rsidR="003C3F81">
        <w:t xml:space="preserve">on </w:t>
      </w:r>
      <w:r w:rsidR="001F3352">
        <w:t xml:space="preserve">which the defendant should be entitled to spend </w:t>
      </w:r>
      <w:r w:rsidR="005B378D">
        <w:t xml:space="preserve">their </w:t>
      </w:r>
      <w:r w:rsidR="001F3352">
        <w:t xml:space="preserve">time and </w:t>
      </w:r>
      <w:r w:rsidR="005B378D">
        <w:t>resources</w:t>
      </w:r>
      <w:r w:rsidR="001F3352">
        <w:t xml:space="preserve">, quite apart from the unfortunate additional burden on the court system. </w:t>
      </w:r>
    </w:p>
    <w:p w14:paraId="4130D608" w14:textId="25612E30" w:rsidR="00553AA7" w:rsidRDefault="003C3F81" w:rsidP="003C3F81">
      <w:pPr>
        <w:pStyle w:val="ParaLevel1"/>
        <w:numPr>
          <w:ilvl w:val="0"/>
          <w:numId w:val="1"/>
        </w:numPr>
        <w:tabs>
          <w:tab w:val="clear" w:pos="360"/>
        </w:tabs>
        <w:spacing w:line="360" w:lineRule="auto"/>
      </w:pPr>
      <w:r>
        <w:t xml:space="preserve">In these various ways there can be </w:t>
      </w:r>
      <w:r w:rsidR="00832D8E">
        <w:t>a</w:t>
      </w:r>
      <w:r w:rsidR="00052B38">
        <w:t xml:space="preserve"> real </w:t>
      </w:r>
      <w:r w:rsidR="00553AA7">
        <w:t>inequality of arms which can operate unfairly.</w:t>
      </w:r>
      <w:r w:rsidR="00C37333">
        <w:t xml:space="preserve"> </w:t>
      </w:r>
    </w:p>
    <w:p w14:paraId="686DA5F6" w14:textId="2452F997" w:rsidR="00824D7B" w:rsidRPr="00824D7B" w:rsidRDefault="001F21E1" w:rsidP="001F3352">
      <w:pPr>
        <w:pStyle w:val="ParaLevel1"/>
        <w:numPr>
          <w:ilvl w:val="0"/>
          <w:numId w:val="1"/>
        </w:numPr>
        <w:spacing w:line="360" w:lineRule="auto"/>
        <w:rPr>
          <w:b/>
          <w:bCs/>
        </w:rPr>
      </w:pPr>
      <w:r>
        <w:t xml:space="preserve">This </w:t>
      </w:r>
      <w:r w:rsidR="00C44E14">
        <w:t xml:space="preserve">can be </w:t>
      </w:r>
      <w:r>
        <w:t xml:space="preserve">ameliorated to some extent by </w:t>
      </w:r>
      <w:r w:rsidR="0035347A">
        <w:t xml:space="preserve">careful consideration of the terms of the order: </w:t>
      </w:r>
      <w:r w:rsidR="00BE0F32">
        <w:t xml:space="preserve">longer time limits, </w:t>
      </w:r>
      <w:r>
        <w:t xml:space="preserve">higher asset limits or </w:t>
      </w:r>
      <w:r w:rsidR="0035347A">
        <w:t xml:space="preserve">more generous </w:t>
      </w:r>
      <w:r w:rsidR="00573A8F">
        <w:t xml:space="preserve">costs </w:t>
      </w:r>
      <w:r w:rsidR="00052B38">
        <w:t>allowances</w:t>
      </w:r>
      <w:r w:rsidR="00E25494">
        <w:t>,</w:t>
      </w:r>
      <w:r w:rsidR="005F4CD2">
        <w:t xml:space="preserve"> </w:t>
      </w:r>
      <w:r w:rsidR="007E473E">
        <w:t>although t</w:t>
      </w:r>
      <w:r w:rsidR="00D41EB1">
        <w:t xml:space="preserve">here are </w:t>
      </w:r>
      <w:r w:rsidR="00577ACB">
        <w:t xml:space="preserve">often </w:t>
      </w:r>
      <w:r w:rsidR="005F4CD2">
        <w:t xml:space="preserve">countervailing </w:t>
      </w:r>
      <w:r w:rsidR="00D41EB1">
        <w:t xml:space="preserve">considerations for </w:t>
      </w:r>
      <w:r w:rsidR="00260D70">
        <w:t xml:space="preserve">claimants </w:t>
      </w:r>
      <w:r w:rsidR="00D41EB1">
        <w:t>in respect of each of thes</w:t>
      </w:r>
      <w:r w:rsidR="007E473E">
        <w:t>e</w:t>
      </w:r>
      <w:r w:rsidR="00A375C3">
        <w:t xml:space="preserve"> at the without notice stage</w:t>
      </w:r>
      <w:r w:rsidR="007E473E">
        <w:t>.</w:t>
      </w:r>
      <w:r w:rsidR="00936C0C">
        <w:t xml:space="preserve"> </w:t>
      </w:r>
      <w:r w:rsidR="00AA36CD">
        <w:t xml:space="preserve">But none of that can address the imbalance of the risk of contempt, and the ability of the claimant to </w:t>
      </w:r>
      <w:proofErr w:type="spellStart"/>
      <w:r w:rsidR="00F87AB5">
        <w:t>weaponise</w:t>
      </w:r>
      <w:proofErr w:type="spellEnd"/>
      <w:r w:rsidR="00F87AB5">
        <w:t xml:space="preserve"> disclosure </w:t>
      </w:r>
      <w:r w:rsidR="00AA36CD">
        <w:t>as a</w:t>
      </w:r>
      <w:r w:rsidR="00590AFA">
        <w:t xml:space="preserve"> means of imposing litigation pressure unrelated to the claim itself.</w:t>
      </w:r>
      <w:r w:rsidR="0026694F">
        <w:t xml:space="preserve">  </w:t>
      </w:r>
    </w:p>
    <w:p w14:paraId="52EACD01" w14:textId="26ADABD7" w:rsidR="00C57BE0" w:rsidRDefault="00BE4935" w:rsidP="00C37333">
      <w:pPr>
        <w:pStyle w:val="ParaLevel1"/>
        <w:numPr>
          <w:ilvl w:val="0"/>
          <w:numId w:val="1"/>
        </w:numPr>
        <w:tabs>
          <w:tab w:val="clear" w:pos="360"/>
        </w:tabs>
        <w:spacing w:line="360" w:lineRule="auto"/>
      </w:pPr>
      <w:r>
        <w:t xml:space="preserve">It may be worth </w:t>
      </w:r>
      <w:r w:rsidR="00940011">
        <w:t xml:space="preserve">re-examining </w:t>
      </w:r>
      <w:r>
        <w:t>the origins of disclosure orders and their rationale</w:t>
      </w:r>
      <w:r w:rsidR="00C37333">
        <w:t>.</w:t>
      </w:r>
    </w:p>
    <w:p w14:paraId="3C419091" w14:textId="3A127023" w:rsidR="00C57BE0" w:rsidRDefault="00254F62" w:rsidP="00C57BE0">
      <w:pPr>
        <w:pStyle w:val="ParaLevel1"/>
        <w:numPr>
          <w:ilvl w:val="0"/>
          <w:numId w:val="1"/>
        </w:numPr>
        <w:tabs>
          <w:tab w:val="clear" w:pos="360"/>
        </w:tabs>
        <w:spacing w:line="360" w:lineRule="auto"/>
      </w:pPr>
      <w:r>
        <w:t xml:space="preserve">The </w:t>
      </w:r>
      <w:r w:rsidR="00353437">
        <w:t xml:space="preserve">jurisdiction to order disclosure of assets in support of a Mareva was first established </w:t>
      </w:r>
      <w:r w:rsidR="00832D8E">
        <w:t>by Robe</w:t>
      </w:r>
      <w:r w:rsidR="007D60F3">
        <w:t xml:space="preserve">rt Goff J </w:t>
      </w:r>
      <w:r w:rsidR="00353437">
        <w:t>in 1980</w:t>
      </w:r>
      <w:r w:rsidR="008A1EB7" w:rsidRPr="008A1EB7">
        <w:t xml:space="preserve"> </w:t>
      </w:r>
      <w:r w:rsidR="008A1EB7">
        <w:t xml:space="preserve">in </w:t>
      </w:r>
      <w:r w:rsidR="008A1EB7" w:rsidRPr="00C37333">
        <w:rPr>
          <w:i/>
          <w:iCs/>
        </w:rPr>
        <w:t>A v C (Note)</w:t>
      </w:r>
      <w:r w:rsidR="00353437">
        <w:t>,</w:t>
      </w:r>
      <w:r w:rsidR="001B6C66">
        <w:rPr>
          <w:rStyle w:val="FootnoteReference"/>
        </w:rPr>
        <w:footnoteReference w:id="48"/>
      </w:r>
      <w:r w:rsidR="00353437">
        <w:t xml:space="preserve"> and confirmed by the CA in </w:t>
      </w:r>
      <w:proofErr w:type="spellStart"/>
      <w:r w:rsidR="00353437" w:rsidRPr="001053AD">
        <w:rPr>
          <w:i/>
          <w:iCs/>
        </w:rPr>
        <w:t>Bekhor</w:t>
      </w:r>
      <w:proofErr w:type="spellEnd"/>
      <w:r w:rsidR="00353437" w:rsidRPr="001053AD">
        <w:rPr>
          <w:i/>
          <w:iCs/>
        </w:rPr>
        <w:t xml:space="preserve"> v </w:t>
      </w:r>
      <w:proofErr w:type="spellStart"/>
      <w:r w:rsidR="00353437" w:rsidRPr="001053AD">
        <w:rPr>
          <w:i/>
          <w:iCs/>
        </w:rPr>
        <w:t>Bilton</w:t>
      </w:r>
      <w:proofErr w:type="spellEnd"/>
      <w:r w:rsidR="004B1B9C">
        <w:rPr>
          <w:rStyle w:val="FootnoteReference"/>
        </w:rPr>
        <w:footnoteReference w:id="49"/>
      </w:r>
      <w:r w:rsidR="008A1EB7">
        <w:t xml:space="preserve"> not long thereafter</w:t>
      </w:r>
      <w:r w:rsidR="00353437">
        <w:t xml:space="preserve">.  </w:t>
      </w:r>
    </w:p>
    <w:p w14:paraId="18B85F4E" w14:textId="6B612714" w:rsidR="00CE7057" w:rsidRDefault="00353437" w:rsidP="00C57BE0">
      <w:pPr>
        <w:pStyle w:val="ParaLevel1"/>
        <w:numPr>
          <w:ilvl w:val="0"/>
          <w:numId w:val="1"/>
        </w:numPr>
        <w:tabs>
          <w:tab w:val="clear" w:pos="360"/>
        </w:tabs>
        <w:spacing w:line="360" w:lineRule="auto"/>
      </w:pPr>
      <w:r>
        <w:t xml:space="preserve">The rationale identified by </w:t>
      </w:r>
      <w:r w:rsidR="007D60F3">
        <w:t xml:space="preserve">Robert Goff </w:t>
      </w:r>
      <w:r w:rsidR="008A1EB7">
        <w:t>J</w:t>
      </w:r>
      <w:r w:rsidR="004F6122">
        <w:t xml:space="preserve"> </w:t>
      </w:r>
      <w:r w:rsidR="007D60F3">
        <w:t xml:space="preserve">was focussed on </w:t>
      </w:r>
      <w:r w:rsidR="00CE7057">
        <w:t>amounts in bank accounts, and the possibility that there might be sums in different bank accounts which exceed</w:t>
      </w:r>
      <w:r w:rsidR="00586BFF">
        <w:t>e</w:t>
      </w:r>
      <w:r w:rsidR="00CE7057">
        <w:t xml:space="preserve">d in total the </w:t>
      </w:r>
      <w:r w:rsidR="00695F74">
        <w:t>sum being frozen</w:t>
      </w:r>
      <w:r w:rsidR="00705606">
        <w:t xml:space="preserve">, </w:t>
      </w:r>
      <w:r w:rsidR="00E25603">
        <w:t xml:space="preserve">but </w:t>
      </w:r>
      <w:r w:rsidR="00705606">
        <w:t xml:space="preserve">which </w:t>
      </w:r>
      <w:r w:rsidR="008D075E">
        <w:t>individually were less than the total sum frozen</w:t>
      </w:r>
      <w:r w:rsidR="001053AD">
        <w:t>,</w:t>
      </w:r>
      <w:r w:rsidR="008D075E">
        <w:t xml:space="preserve"> and which </w:t>
      </w:r>
      <w:r w:rsidR="00705606">
        <w:t xml:space="preserve">each bank would </w:t>
      </w:r>
      <w:r w:rsidR="00AA1F01">
        <w:t xml:space="preserve">keep frozen if in ignorance of the overall picture. </w:t>
      </w:r>
      <w:r w:rsidR="00EC3431">
        <w:t>At</w:t>
      </w:r>
      <w:r w:rsidR="00AA1F01">
        <w:t xml:space="preserve"> first sight</w:t>
      </w:r>
      <w:r w:rsidR="001B6C66">
        <w:t>,</w:t>
      </w:r>
      <w:r w:rsidR="00AA1F01">
        <w:t xml:space="preserve"> that </w:t>
      </w:r>
      <w:r w:rsidR="00EC3431">
        <w:t>would seem to</w:t>
      </w:r>
      <w:r w:rsidR="00CD2918">
        <w:t xml:space="preserve"> involve prejudice </w:t>
      </w:r>
      <w:r w:rsidR="00EC3431">
        <w:t xml:space="preserve">to the defendant which the defendant could readily cure, </w:t>
      </w:r>
      <w:r w:rsidR="00CD2918">
        <w:t>by voluntary disclosure</w:t>
      </w:r>
      <w:r w:rsidR="00940011">
        <w:t xml:space="preserve"> </w:t>
      </w:r>
      <w:r w:rsidR="00D33F05">
        <w:t xml:space="preserve">and an application </w:t>
      </w:r>
      <w:r w:rsidR="001C5CDE">
        <w:t xml:space="preserve">to the court in the absence of agreement by the plaintiff. But </w:t>
      </w:r>
      <w:r w:rsidR="00CD2918">
        <w:t>it was said to justify an order for disclosure to the plaintiff because otherwise the plaintiff would have an excessive exposure on the cross-undertaking.</w:t>
      </w:r>
      <w:r w:rsidR="003804A0">
        <w:t xml:space="preserve"> </w:t>
      </w:r>
      <w:r w:rsidR="00CE7057">
        <w:t xml:space="preserve">There </w:t>
      </w:r>
      <w:r w:rsidR="00AF4D54">
        <w:t>was</w:t>
      </w:r>
      <w:r w:rsidR="00CE7057">
        <w:t xml:space="preserve"> no </w:t>
      </w:r>
      <w:r w:rsidR="00AF4D54">
        <w:t xml:space="preserve">expression in that case of the </w:t>
      </w:r>
      <w:r w:rsidR="00CE7057">
        <w:t xml:space="preserve">justification </w:t>
      </w:r>
      <w:r w:rsidR="00AF4D54">
        <w:t xml:space="preserve">lying </w:t>
      </w:r>
      <w:r w:rsidR="00CE7057">
        <w:t>in the plaintiff being able to police the order in the sense of checking up on whether it is being complied with.</w:t>
      </w:r>
    </w:p>
    <w:p w14:paraId="15DD7A05" w14:textId="4EFBF698" w:rsidR="00EE51E4" w:rsidRDefault="00B97B63" w:rsidP="00B97B63">
      <w:pPr>
        <w:pStyle w:val="ParaLevel1"/>
        <w:numPr>
          <w:ilvl w:val="0"/>
          <w:numId w:val="1"/>
        </w:numPr>
        <w:tabs>
          <w:tab w:val="clear" w:pos="360"/>
        </w:tabs>
        <w:spacing w:line="360" w:lineRule="auto"/>
      </w:pPr>
      <w:bookmarkStart w:id="1" w:name="_Hlk209951545"/>
      <w:r>
        <w:t xml:space="preserve">In </w:t>
      </w:r>
      <w:proofErr w:type="spellStart"/>
      <w:r w:rsidRPr="00A6202A">
        <w:rPr>
          <w:i/>
          <w:iCs/>
        </w:rPr>
        <w:t>Bekhor</w:t>
      </w:r>
      <w:proofErr w:type="spellEnd"/>
      <w:r w:rsidRPr="00A6202A">
        <w:rPr>
          <w:i/>
          <w:iCs/>
        </w:rPr>
        <w:t xml:space="preserve"> v Bilton</w:t>
      </w:r>
      <w:r>
        <w:t>, the principle was expressed more widely by Ackner LJ as being that the Court has power to make all such ancillary orders as appear to the court to be just and convenient to ensure that the exercise of the Mareva jurisdiction is effective to achieve its purpose.</w:t>
      </w:r>
      <w:r w:rsidR="003804A0">
        <w:t xml:space="preserve"> </w:t>
      </w:r>
      <w:bookmarkEnd w:id="1"/>
      <w:r>
        <w:t>He was part of the majority which</w:t>
      </w:r>
      <w:r w:rsidR="00A04593">
        <w:t xml:space="preserve"> in fact </w:t>
      </w:r>
      <w:r>
        <w:t xml:space="preserve">refused to order disclosure </w:t>
      </w:r>
      <w:r w:rsidR="00837B0D">
        <w:t>on the facts of the ca</w:t>
      </w:r>
      <w:r w:rsidR="00CC717A">
        <w:t>se.</w:t>
      </w:r>
      <w:r w:rsidR="003804A0">
        <w:t xml:space="preserve"> </w:t>
      </w:r>
      <w:r w:rsidR="00CC717A">
        <w:t>Griffiths LJ, who dissented in holding that disclosure should be ordered</w:t>
      </w:r>
      <w:r w:rsidR="00A04593">
        <w:t>,</w:t>
      </w:r>
      <w:r w:rsidR="00CC717A">
        <w:t xml:space="preserve"> did so accepting </w:t>
      </w:r>
      <w:r w:rsidR="00120E41">
        <w:t xml:space="preserve">the </w:t>
      </w:r>
      <w:r>
        <w:t>argument by Counsel for the plaintiff, Mr Sam Stamler QC</w:t>
      </w:r>
      <w:r w:rsidR="00B35280">
        <w:t>,</w:t>
      </w:r>
      <w:r>
        <w:t xml:space="preserve"> that the disclosure was necessary to “police” the Mareva</w:t>
      </w:r>
      <w:r w:rsidR="00120E41">
        <w:t xml:space="preserve">, and </w:t>
      </w:r>
      <w:r>
        <w:t xml:space="preserve">that is the </w:t>
      </w:r>
      <w:r w:rsidR="00A767CD">
        <w:t xml:space="preserve">shorthand which has stuck </w:t>
      </w:r>
      <w:r w:rsidR="00A67B19">
        <w:t>a</w:t>
      </w:r>
      <w:r>
        <w:t xml:space="preserve">s </w:t>
      </w:r>
      <w:r w:rsidR="00B35280">
        <w:t xml:space="preserve">the mantra </w:t>
      </w:r>
      <w:r>
        <w:t xml:space="preserve">justifying </w:t>
      </w:r>
      <w:r w:rsidR="00A67B19">
        <w:t>disclosure</w:t>
      </w:r>
      <w:r>
        <w:t>.</w:t>
      </w:r>
      <w:r w:rsidR="003804A0">
        <w:t xml:space="preserve"> </w:t>
      </w:r>
      <w:r>
        <w:t>The argument was not, however</w:t>
      </w:r>
      <w:r w:rsidR="00E12827">
        <w:t>,</w:t>
      </w:r>
      <w:r>
        <w:t xml:space="preserve"> that it was to enable </w:t>
      </w:r>
      <w:r w:rsidRPr="002F007E">
        <w:rPr>
          <w:i/>
          <w:iCs/>
        </w:rPr>
        <w:t xml:space="preserve">the </w:t>
      </w:r>
      <w:r w:rsidR="003804A0">
        <w:rPr>
          <w:i/>
          <w:iCs/>
        </w:rPr>
        <w:t>p</w:t>
      </w:r>
      <w:r w:rsidR="003804A0" w:rsidRPr="002F007E">
        <w:rPr>
          <w:i/>
          <w:iCs/>
        </w:rPr>
        <w:t>laintiff</w:t>
      </w:r>
      <w:r w:rsidR="003804A0">
        <w:t xml:space="preserve"> </w:t>
      </w:r>
      <w:r>
        <w:t>to police whether the order was being complied with.</w:t>
      </w:r>
      <w:r w:rsidR="003804A0">
        <w:t xml:space="preserve"> </w:t>
      </w:r>
      <w:r>
        <w:t xml:space="preserve">Rather it was to enable </w:t>
      </w:r>
      <w:r w:rsidRPr="002F007E">
        <w:rPr>
          <w:i/>
          <w:iCs/>
        </w:rPr>
        <w:t>the court</w:t>
      </w:r>
      <w:r>
        <w:t xml:space="preserve"> to police its own orders</w:t>
      </w:r>
      <w:r w:rsidR="00B87903">
        <w:t>.</w:t>
      </w:r>
      <w:r w:rsidR="003804A0">
        <w:t xml:space="preserve"> </w:t>
      </w:r>
      <w:r w:rsidR="00BC6697">
        <w:t xml:space="preserve">It was protection of the integrity of the </w:t>
      </w:r>
      <w:r w:rsidR="003804A0">
        <w:t xml:space="preserve">court </w:t>
      </w:r>
      <w:r w:rsidR="00B87903">
        <w:t>process</w:t>
      </w:r>
      <w:r w:rsidR="00BC6697">
        <w:t>, not protection of</w:t>
      </w:r>
      <w:r w:rsidR="00836C09">
        <w:t xml:space="preserve"> rights of the plaintiff</w:t>
      </w:r>
      <w:r w:rsidR="00E71544">
        <w:t xml:space="preserve"> as such</w:t>
      </w:r>
      <w:r w:rsidR="00B87903">
        <w:t>,</w:t>
      </w:r>
      <w:r w:rsidR="008F05E2">
        <w:t xml:space="preserve"> </w:t>
      </w:r>
      <w:r w:rsidR="00940013">
        <w:t>although they are connected.</w:t>
      </w:r>
      <w:r w:rsidR="003804A0">
        <w:t xml:space="preserve"> </w:t>
      </w:r>
      <w:r w:rsidR="003547CC">
        <w:t>G</w:t>
      </w:r>
      <w:r w:rsidR="00EE51E4">
        <w:t xml:space="preserve">riffiths LJ </w:t>
      </w:r>
      <w:r w:rsidR="00B87903">
        <w:t>made a point of saying</w:t>
      </w:r>
      <w:r w:rsidR="00EE51E4">
        <w:t>:</w:t>
      </w:r>
    </w:p>
    <w:p w14:paraId="1C77FAF5" w14:textId="60C6C101" w:rsidR="00B97B63" w:rsidRDefault="00EE51E4" w:rsidP="003547CC">
      <w:pPr>
        <w:pStyle w:val="ParaLevel1"/>
        <w:spacing w:line="240" w:lineRule="auto"/>
        <w:ind w:left="1134"/>
      </w:pPr>
      <w:r>
        <w:t>“</w:t>
      </w:r>
      <w:r w:rsidR="008F05E2">
        <w:t>…</w:t>
      </w:r>
      <w:r>
        <w:t>the power to order discovery in support of a Mareva injunction should be sparingly exercised and if too readily resorted to could easily become a most oppressive procedure.”</w:t>
      </w:r>
      <w:r w:rsidR="003804A0">
        <w:rPr>
          <w:rStyle w:val="FootnoteReference"/>
        </w:rPr>
        <w:footnoteReference w:id="50"/>
      </w:r>
      <w:r w:rsidR="00836C09">
        <w:t xml:space="preserve"> </w:t>
      </w:r>
      <w:r w:rsidR="005000B1">
        <w:t xml:space="preserve">  </w:t>
      </w:r>
    </w:p>
    <w:p w14:paraId="27F3D155" w14:textId="6CDE821D" w:rsidR="00E16A74" w:rsidRDefault="002F007E" w:rsidP="00AC16E1">
      <w:pPr>
        <w:pStyle w:val="ParaLevel1"/>
        <w:numPr>
          <w:ilvl w:val="0"/>
          <w:numId w:val="1"/>
        </w:numPr>
        <w:tabs>
          <w:tab w:val="clear" w:pos="360"/>
        </w:tabs>
        <w:spacing w:line="360" w:lineRule="auto"/>
      </w:pPr>
      <w:r>
        <w:t xml:space="preserve">The </w:t>
      </w:r>
      <w:r w:rsidR="00AF4637">
        <w:t>“</w:t>
      </w:r>
      <w:r w:rsidR="005133BB">
        <w:t>p</w:t>
      </w:r>
      <w:r w:rsidR="00AF4637">
        <w:t>olicing</w:t>
      </w:r>
      <w:r>
        <w:t>”</w:t>
      </w:r>
      <w:r w:rsidR="00AF4637">
        <w:t xml:space="preserve"> metaphor has persisted. </w:t>
      </w:r>
      <w:r w:rsidR="005133BB">
        <w:t>Other metaphors have been used</w:t>
      </w:r>
      <w:r w:rsidR="007C484A">
        <w:t xml:space="preserve">: </w:t>
      </w:r>
      <w:r w:rsidR="00435517">
        <w:t xml:space="preserve">Lord Woolf, </w:t>
      </w:r>
      <w:r w:rsidR="00E16A74">
        <w:t xml:space="preserve">described </w:t>
      </w:r>
      <w:r w:rsidR="00846EEC">
        <w:t xml:space="preserve">an asset disclosure order as something </w:t>
      </w:r>
      <w:r w:rsidR="00E16A74">
        <w:t>which “gives the teeth which are critical to the freezing order”</w:t>
      </w:r>
      <w:r w:rsidR="00595F69">
        <w:t>.</w:t>
      </w:r>
      <w:r w:rsidR="007C484A">
        <w:rPr>
          <w:rStyle w:val="FootnoteReference"/>
        </w:rPr>
        <w:footnoteReference w:id="51"/>
      </w:r>
      <w:r w:rsidR="00E16A74">
        <w:t xml:space="preserve"> </w:t>
      </w:r>
    </w:p>
    <w:p w14:paraId="61326828" w14:textId="1AD3B698" w:rsidR="00C20A46" w:rsidRDefault="00904294" w:rsidP="009A033A">
      <w:pPr>
        <w:pStyle w:val="ParaLevel1"/>
        <w:numPr>
          <w:ilvl w:val="0"/>
          <w:numId w:val="1"/>
        </w:numPr>
        <w:spacing w:line="360" w:lineRule="auto"/>
      </w:pPr>
      <w:r>
        <w:t xml:space="preserve">Like many metaphors, </w:t>
      </w:r>
      <w:r w:rsidR="00ED58B9">
        <w:t xml:space="preserve">these </w:t>
      </w:r>
      <w:r w:rsidR="00B05925">
        <w:t>can obscure rather than illuminate the rationale</w:t>
      </w:r>
      <w:r w:rsidR="00BC4349">
        <w:t xml:space="preserve">, which is </w:t>
      </w:r>
      <w:r w:rsidR="00836C09">
        <w:t xml:space="preserve">worth </w:t>
      </w:r>
      <w:r>
        <w:t>unpicking a little.</w:t>
      </w:r>
      <w:r w:rsidR="000E5779" w:rsidRPr="000E5779">
        <w:t xml:space="preserve"> </w:t>
      </w:r>
      <w:r w:rsidR="000E5779">
        <w:t>There are</w:t>
      </w:r>
      <w:r w:rsidR="00ED58B9">
        <w:t xml:space="preserve"> </w:t>
      </w:r>
      <w:r w:rsidR="000E5779">
        <w:t xml:space="preserve">typically two </w:t>
      </w:r>
      <w:r w:rsidR="00F54BB1">
        <w:t xml:space="preserve">main </w:t>
      </w:r>
      <w:r w:rsidR="000E5779">
        <w:t xml:space="preserve">aspects to what </w:t>
      </w:r>
      <w:r w:rsidR="0079366A">
        <w:t xml:space="preserve">the courts mean when they describe </w:t>
      </w:r>
      <w:r w:rsidR="00F51763">
        <w:t xml:space="preserve">disclosure </w:t>
      </w:r>
      <w:r w:rsidR="0079366A">
        <w:t xml:space="preserve">orders as necessary </w:t>
      </w:r>
      <w:r w:rsidR="00344BEF">
        <w:t xml:space="preserve">to police the injunction.  </w:t>
      </w:r>
      <w:r w:rsidR="00F51763">
        <w:t xml:space="preserve">  </w:t>
      </w:r>
    </w:p>
    <w:p w14:paraId="7ED3DB91" w14:textId="31F1F96E" w:rsidR="00C20A46" w:rsidRDefault="00C20A46" w:rsidP="008934B1">
      <w:pPr>
        <w:pStyle w:val="ParaLevel1"/>
        <w:numPr>
          <w:ilvl w:val="0"/>
          <w:numId w:val="1"/>
        </w:numPr>
        <w:spacing w:line="360" w:lineRule="auto"/>
      </w:pPr>
      <w:r>
        <w:t xml:space="preserve">The first </w:t>
      </w:r>
      <w:r w:rsidR="00F600BF">
        <w:t xml:space="preserve">is </w:t>
      </w:r>
      <w:r w:rsidR="00344BEF">
        <w:t xml:space="preserve">by </w:t>
      </w:r>
      <w:r w:rsidR="00F600BF">
        <w:t>e</w:t>
      </w:r>
      <w:r w:rsidR="00353437">
        <w:t>nabling the assets to be secured by notification of third parties.</w:t>
      </w:r>
      <w:r w:rsidR="00353437" w:rsidRPr="008850B6">
        <w:t xml:space="preserve"> </w:t>
      </w:r>
      <w:r w:rsidR="00353437">
        <w:t xml:space="preserve">The primary way in which </w:t>
      </w:r>
      <w:proofErr w:type="spellStart"/>
      <w:r w:rsidR="003804A0">
        <w:t>Marevas</w:t>
      </w:r>
      <w:proofErr w:type="spellEnd"/>
      <w:r w:rsidR="003804A0">
        <w:t xml:space="preserve"> </w:t>
      </w:r>
      <w:r w:rsidR="00353437">
        <w:t xml:space="preserve">are rendered effective is through reputable third parties </w:t>
      </w:r>
      <w:r w:rsidR="00F51763">
        <w:t xml:space="preserve">such as banks or solicitors </w:t>
      </w:r>
      <w:r w:rsidR="00353437">
        <w:t>who would have to be aware of and assist in any dissipation</w:t>
      </w:r>
      <w:r w:rsidR="00F51763">
        <w:t xml:space="preserve"> in order for it to occur.</w:t>
      </w:r>
      <w:r w:rsidR="003804A0">
        <w:t xml:space="preserve"> </w:t>
      </w:r>
      <w:r w:rsidR="00353437">
        <w:t xml:space="preserve">The </w:t>
      </w:r>
      <w:r w:rsidR="00125D7D">
        <w:t xml:space="preserve">effectiveness of notification </w:t>
      </w:r>
      <w:r w:rsidR="00463DC3">
        <w:t xml:space="preserve">to such </w:t>
      </w:r>
      <w:r w:rsidR="00353437">
        <w:t>third parties is the principle that person</w:t>
      </w:r>
      <w:r w:rsidR="00B50017">
        <w:t>s</w:t>
      </w:r>
      <w:r w:rsidR="002B1AB0">
        <w:t>,</w:t>
      </w:r>
      <w:r w:rsidR="00353437">
        <w:t xml:space="preserve"> who know of an injunction</w:t>
      </w:r>
      <w:r w:rsidR="004E0D22">
        <w:t xml:space="preserve"> and </w:t>
      </w:r>
      <w:r w:rsidR="00353437">
        <w:t>aid and abet the party enjoined in committing a breach of it</w:t>
      </w:r>
      <w:r w:rsidR="002B1AB0">
        <w:t>,</w:t>
      </w:r>
      <w:r w:rsidR="00353437">
        <w:t xml:space="preserve"> </w:t>
      </w:r>
      <w:r w:rsidR="00B50017">
        <w:t xml:space="preserve">are themselves </w:t>
      </w:r>
      <w:r w:rsidR="00353437">
        <w:t xml:space="preserve">guilty, not of a breach of the injunction, but of a contempt of court </w:t>
      </w:r>
      <w:r w:rsidR="006400E0">
        <w:t xml:space="preserve">by </w:t>
      </w:r>
      <w:r w:rsidR="00353437">
        <w:t>tending to obstruct the course of justice.</w:t>
      </w:r>
      <w:r w:rsidR="00DE3C53">
        <w:rPr>
          <w:rStyle w:val="FootnoteReference"/>
        </w:rPr>
        <w:footnoteReference w:id="52"/>
      </w:r>
      <w:r w:rsidR="00DE3C53">
        <w:t xml:space="preserve"> </w:t>
      </w:r>
      <w:r w:rsidR="00353437">
        <w:t xml:space="preserve"> </w:t>
      </w:r>
    </w:p>
    <w:p w14:paraId="1C7250F6" w14:textId="520A391D" w:rsidR="001129DE" w:rsidRDefault="00353437" w:rsidP="009A033A">
      <w:pPr>
        <w:pStyle w:val="ParaLevel1"/>
        <w:numPr>
          <w:ilvl w:val="0"/>
          <w:numId w:val="1"/>
        </w:numPr>
        <w:spacing w:line="360" w:lineRule="auto"/>
      </w:pPr>
      <w:r>
        <w:t xml:space="preserve">This of course is of limited assistance in relation to foreign </w:t>
      </w:r>
      <w:r w:rsidR="00836C09">
        <w:t xml:space="preserve">individuals or </w:t>
      </w:r>
      <w:r>
        <w:t>institutions who are not amenable to the quasi</w:t>
      </w:r>
      <w:r w:rsidR="00865607">
        <w:t>-</w:t>
      </w:r>
      <w:r>
        <w:t xml:space="preserve">criminal </w:t>
      </w:r>
      <w:r w:rsidR="00F600BF">
        <w:t xml:space="preserve">contempt </w:t>
      </w:r>
      <w:r>
        <w:t>jurisdiction of the English Court. In those cases, therefore, in which it is necessary to seek relief from a foreign court, it is the disclosure which is the primary form of relief and the Mareva is ancillary to the disclosure order rather than vice versa, as Mr La</w:t>
      </w:r>
      <w:r w:rsidR="006C66DA">
        <w:t>w</w:t>
      </w:r>
      <w:r>
        <w:t>rence Collins, as he then was, observed in a 1989 LQR article</w:t>
      </w:r>
      <w:r w:rsidR="00AE4C39">
        <w:rPr>
          <w:rStyle w:val="FootnoteReference"/>
        </w:rPr>
        <w:footnoteReference w:id="53"/>
      </w:r>
      <w:r>
        <w:t xml:space="preserve"> described in 1994 </w:t>
      </w:r>
      <w:r w:rsidR="00F03EE1">
        <w:t xml:space="preserve">by </w:t>
      </w:r>
      <w:r>
        <w:t>Lord Justice Steyn</w:t>
      </w:r>
      <w:r w:rsidR="00343086">
        <w:rPr>
          <w:rStyle w:val="FootnoteReference"/>
        </w:rPr>
        <w:footnoteReference w:id="54"/>
      </w:r>
      <w:r>
        <w:t xml:space="preserve"> as seminal</w:t>
      </w:r>
      <w:r w:rsidR="001129DE">
        <w:t>.</w:t>
      </w:r>
    </w:p>
    <w:p w14:paraId="111E41D2" w14:textId="461507C7" w:rsidR="001E1E49" w:rsidRDefault="00715CA3" w:rsidP="009A033A">
      <w:pPr>
        <w:pStyle w:val="ParaLevel1"/>
        <w:numPr>
          <w:ilvl w:val="0"/>
          <w:numId w:val="1"/>
        </w:numPr>
        <w:tabs>
          <w:tab w:val="clear" w:pos="360"/>
        </w:tabs>
        <w:spacing w:line="360" w:lineRule="auto"/>
      </w:pPr>
      <w:r>
        <w:t xml:space="preserve">The second aspect of what </w:t>
      </w:r>
      <w:r w:rsidR="00344BEF">
        <w:t xml:space="preserve">the courts mean </w:t>
      </w:r>
      <w:r>
        <w:t xml:space="preserve">by policing in this context, </w:t>
      </w:r>
      <w:r w:rsidR="00344BEF">
        <w:t xml:space="preserve">is that the </w:t>
      </w:r>
      <w:r w:rsidR="00123FBB">
        <w:t xml:space="preserve">disclosure is </w:t>
      </w:r>
      <w:r w:rsidR="001E1E49">
        <w:t xml:space="preserve">necessary </w:t>
      </w:r>
      <w:r w:rsidR="00806FF0">
        <w:t xml:space="preserve">to </w:t>
      </w:r>
      <w:r w:rsidR="003736A0">
        <w:t xml:space="preserve">ensure compliance, or to put </w:t>
      </w:r>
      <w:r w:rsidR="00874882">
        <w:t>it more</w:t>
      </w:r>
      <w:r w:rsidR="005000B1">
        <w:t xml:space="preserve"> explicitly, </w:t>
      </w:r>
      <w:r w:rsidR="00874882">
        <w:t xml:space="preserve">to </w:t>
      </w:r>
      <w:r w:rsidR="001E1E49">
        <w:t xml:space="preserve">prevent </w:t>
      </w:r>
      <w:r w:rsidR="00806FF0" w:rsidRPr="00806FF0">
        <w:t xml:space="preserve">a </w:t>
      </w:r>
      <w:r w:rsidR="00806FF0">
        <w:t xml:space="preserve">defendant </w:t>
      </w:r>
      <w:r w:rsidR="00874882">
        <w:t xml:space="preserve">from </w:t>
      </w:r>
      <w:r w:rsidR="0027086E">
        <w:t xml:space="preserve">being able </w:t>
      </w:r>
      <w:r w:rsidR="00806FF0" w:rsidRPr="00806FF0">
        <w:t xml:space="preserve">surreptitiously </w:t>
      </w:r>
      <w:r w:rsidR="0027086E">
        <w:t xml:space="preserve">to </w:t>
      </w:r>
      <w:r w:rsidR="00F03EE1">
        <w:t>disobey</w:t>
      </w:r>
      <w:r w:rsidR="004C2690">
        <w:t xml:space="preserve"> </w:t>
      </w:r>
      <w:r w:rsidR="00806FF0" w:rsidRPr="00806FF0">
        <w:t xml:space="preserve">the </w:t>
      </w:r>
      <w:r>
        <w:t>injunction</w:t>
      </w:r>
      <w:r w:rsidR="00E82CD1">
        <w:t xml:space="preserve"> behind a curtain of ignorance drawn across the face of the claimant and the court</w:t>
      </w:r>
      <w:r w:rsidR="008136A0">
        <w:t>.</w:t>
      </w:r>
    </w:p>
    <w:p w14:paraId="33E1F6E6" w14:textId="69E7B76D" w:rsidR="00E936EE" w:rsidRDefault="00A92838" w:rsidP="00B05DC9">
      <w:pPr>
        <w:pStyle w:val="ParaLevel1"/>
        <w:numPr>
          <w:ilvl w:val="0"/>
          <w:numId w:val="1"/>
        </w:numPr>
        <w:spacing w:line="360" w:lineRule="auto"/>
      </w:pPr>
      <w:r>
        <w:t xml:space="preserve">This </w:t>
      </w:r>
      <w:r w:rsidR="00356B4B">
        <w:t xml:space="preserve">policing rationale </w:t>
      </w:r>
      <w:r w:rsidR="009F29F9">
        <w:t>is usually expressed in terms which assume nefarious intent</w:t>
      </w:r>
      <w:r w:rsidR="00A22BC8">
        <w:t>.</w:t>
      </w:r>
      <w:r w:rsidR="009F29F9">
        <w:t xml:space="preserve"> </w:t>
      </w:r>
      <w:r w:rsidR="00A22BC8">
        <w:t xml:space="preserve">This kind of policing is justified, it is said, </w:t>
      </w:r>
      <w:r w:rsidR="007779D8">
        <w:t xml:space="preserve">to counter a defendant seeking to </w:t>
      </w:r>
      <w:r w:rsidR="006B7D12">
        <w:t>dis</w:t>
      </w:r>
      <w:r w:rsidR="008136A0">
        <w:t xml:space="preserve">sipate assets in order to </w:t>
      </w:r>
      <w:r w:rsidR="006B7D12">
        <w:t xml:space="preserve">render themselves judgment proof. </w:t>
      </w:r>
      <w:r w:rsidR="00A22BC8">
        <w:t>As it was put in an Australian case</w:t>
      </w:r>
      <w:r w:rsidR="00FC7747">
        <w:t>:</w:t>
      </w:r>
      <w:r>
        <w:t xml:space="preserve"> </w:t>
      </w:r>
    </w:p>
    <w:p w14:paraId="58990D9B" w14:textId="09303226" w:rsidR="00E936EE" w:rsidRDefault="008136A0" w:rsidP="00653783">
      <w:pPr>
        <w:pStyle w:val="ParaLevel1"/>
        <w:spacing w:line="240" w:lineRule="auto"/>
        <w:ind w:left="774"/>
      </w:pPr>
      <w:r>
        <w:t>“</w:t>
      </w:r>
      <w:r w:rsidR="00E936EE">
        <w:t>...The object must remain throughout to prevent disposal of assets in furtherance o</w:t>
      </w:r>
      <w:r w:rsidR="00642AF3">
        <w:t>f</w:t>
      </w:r>
      <w:r w:rsidR="00E936EE" w:rsidRPr="00FD703D">
        <w:rPr>
          <w:b/>
          <w:bCs/>
        </w:rPr>
        <w:t xml:space="preserve"> </w:t>
      </w:r>
      <w:r w:rsidR="00E936EE" w:rsidRPr="0039065C">
        <w:t>the illegitimate aim of making oneself judgment proof</w:t>
      </w:r>
      <w:r w:rsidR="00E936EE">
        <w:t xml:space="preserve"> and of stultifying the order of the court. Whatever needs to be done to achieve that objective, the court has power to order as part of its inherent jurisdiction.</w:t>
      </w:r>
      <w:r w:rsidR="00FC7747">
        <w:t>”</w:t>
      </w:r>
      <w:r w:rsidR="003804A0">
        <w:rPr>
          <w:rStyle w:val="FootnoteReference"/>
        </w:rPr>
        <w:footnoteReference w:id="55"/>
      </w:r>
    </w:p>
    <w:p w14:paraId="4A89C7F6" w14:textId="4D4E200E" w:rsidR="00FD65C8" w:rsidRDefault="00D65955" w:rsidP="009A033A">
      <w:pPr>
        <w:pStyle w:val="ParaLevel1"/>
        <w:numPr>
          <w:ilvl w:val="0"/>
          <w:numId w:val="1"/>
        </w:numPr>
        <w:spacing w:line="360" w:lineRule="auto"/>
      </w:pPr>
      <w:r>
        <w:t xml:space="preserve">If the disclosure is to </w:t>
      </w:r>
      <w:r w:rsidR="006B7D12">
        <w:t xml:space="preserve">protect against </w:t>
      </w:r>
      <w:r w:rsidR="00037779">
        <w:t xml:space="preserve">disobedience </w:t>
      </w:r>
      <w:r w:rsidR="00DE3489">
        <w:t xml:space="preserve">of </w:t>
      </w:r>
      <w:r w:rsidR="00037779">
        <w:t xml:space="preserve">the order, that is to say a defendant who acts with nefarious intent, </w:t>
      </w:r>
      <w:r w:rsidR="00E936EE">
        <w:t>there is a disconnect</w:t>
      </w:r>
      <w:r w:rsidR="003020DD">
        <w:t xml:space="preserve"> between this rationale and the test for risk of dissipation which does not require nefarious intent. </w:t>
      </w:r>
      <w:r w:rsidR="009915CF">
        <w:t>If this justification only arises if and because a defendant can</w:t>
      </w:r>
      <w:r w:rsidR="00793893">
        <w:t xml:space="preserve">not </w:t>
      </w:r>
      <w:r w:rsidR="009915CF">
        <w:t xml:space="preserve">be trusted </w:t>
      </w:r>
      <w:r w:rsidR="002A7802">
        <w:t xml:space="preserve">to obey the order, </w:t>
      </w:r>
      <w:r w:rsidR="000F0A7E">
        <w:t xml:space="preserve">is </w:t>
      </w:r>
      <w:r w:rsidR="003020DD">
        <w:t xml:space="preserve">there a case for treating </w:t>
      </w:r>
      <w:r w:rsidR="00195DFE">
        <w:t>nefarious intent cases differently for disclosure purposes from those where there is no evidence that the defendant will seek to</w:t>
      </w:r>
      <w:r w:rsidR="00FD65C8">
        <w:t xml:space="preserve"> deal with his assets </w:t>
      </w:r>
      <w:r w:rsidR="00FD65C8" w:rsidRPr="00863D1B">
        <w:rPr>
          <w:i/>
          <w:iCs/>
        </w:rPr>
        <w:t>in order to</w:t>
      </w:r>
      <w:r w:rsidR="00FD65C8">
        <w:t xml:space="preserve"> evade judgment, but </w:t>
      </w:r>
      <w:r w:rsidR="00653783">
        <w:t xml:space="preserve">the risk is </w:t>
      </w:r>
      <w:r w:rsidR="00FD65C8">
        <w:t xml:space="preserve">merely that that may be </w:t>
      </w:r>
      <w:r w:rsidR="00FD65C8" w:rsidRPr="00653783">
        <w:rPr>
          <w:i/>
          <w:iCs/>
        </w:rPr>
        <w:t>the effect</w:t>
      </w:r>
      <w:r w:rsidR="00FD65C8">
        <w:t>?</w:t>
      </w:r>
    </w:p>
    <w:p w14:paraId="59E82C02" w14:textId="35889E3C" w:rsidR="00ED41A8" w:rsidRPr="00ED41A8" w:rsidRDefault="00FD65C8" w:rsidP="00D83CB5">
      <w:pPr>
        <w:pStyle w:val="ParaLevel1"/>
        <w:numPr>
          <w:ilvl w:val="0"/>
          <w:numId w:val="1"/>
        </w:numPr>
        <w:spacing w:line="360" w:lineRule="auto"/>
        <w:rPr>
          <w:b/>
          <w:bCs/>
        </w:rPr>
      </w:pPr>
      <w:r>
        <w:t xml:space="preserve">Another question worth asking is whether </w:t>
      </w:r>
      <w:r w:rsidR="00CA14C9">
        <w:t xml:space="preserve">the policing should </w:t>
      </w:r>
      <w:r w:rsidR="00C27D62">
        <w:t xml:space="preserve">in all cases </w:t>
      </w:r>
      <w:r w:rsidR="00CA14C9">
        <w:t xml:space="preserve">be exclusively in the hands of the </w:t>
      </w:r>
      <w:r w:rsidR="00DC452A">
        <w:t>c</w:t>
      </w:r>
      <w:r w:rsidR="00CA14C9">
        <w:t xml:space="preserve">laimant, or whether some form of disclosure to an independent third party solicitor would work more fairly, at least </w:t>
      </w:r>
      <w:r w:rsidR="0091520B">
        <w:t>in some cases.</w:t>
      </w:r>
      <w:r w:rsidR="0091520B" w:rsidRPr="00ED41A8">
        <w:rPr>
          <w:b/>
          <w:bCs/>
        </w:rPr>
        <w:t xml:space="preserve"> </w:t>
      </w:r>
      <w:r w:rsidR="00C27D62">
        <w:t>The use of supervising solicitors is a familiar tool in</w:t>
      </w:r>
      <w:r w:rsidR="00490F8C">
        <w:t xml:space="preserve"> the Anton Piller jurisdiction. </w:t>
      </w:r>
      <w:r w:rsidR="00CA14C9">
        <w:t xml:space="preserve">The </w:t>
      </w:r>
      <w:r w:rsidR="00373413">
        <w:t xml:space="preserve">solicitor </w:t>
      </w:r>
      <w:r w:rsidR="00CA14C9">
        <w:t>would be able to notify third parties who control the assets so as to render dealing with them impossible; and to apply to the court for further disclosure if it appeared to be inadequate</w:t>
      </w:r>
      <w:r w:rsidR="00BD5E7D">
        <w:t xml:space="preserve"> or enable the claimant to do so</w:t>
      </w:r>
      <w:r w:rsidR="0003346C">
        <w:t xml:space="preserve">. The solicitor could inform the claimant if there were </w:t>
      </w:r>
      <w:r w:rsidR="00E43C31">
        <w:t xml:space="preserve">steps which </w:t>
      </w:r>
      <w:r w:rsidR="00E36B30">
        <w:t xml:space="preserve">the claimant </w:t>
      </w:r>
      <w:r w:rsidR="00E43C31">
        <w:t xml:space="preserve">might reasonably wish to take to secure assets abroad. All that </w:t>
      </w:r>
      <w:r w:rsidR="00CA14C9">
        <w:t xml:space="preserve">would be driven </w:t>
      </w:r>
      <w:r w:rsidR="00E43C31">
        <w:t xml:space="preserve">solely </w:t>
      </w:r>
      <w:r w:rsidR="00CA14C9">
        <w:t xml:space="preserve">by considerations of making the </w:t>
      </w:r>
      <w:r w:rsidR="00826D5B">
        <w:t xml:space="preserve">Mareva </w:t>
      </w:r>
      <w:r w:rsidR="00CA14C9">
        <w:t>effective</w:t>
      </w:r>
      <w:r w:rsidR="00E43C31">
        <w:t xml:space="preserve">; it would remove </w:t>
      </w:r>
      <w:r w:rsidR="00BD5E7D">
        <w:t xml:space="preserve">or at least significantly </w:t>
      </w:r>
      <w:r w:rsidR="001C5123">
        <w:t xml:space="preserve">reduce </w:t>
      </w:r>
      <w:r w:rsidR="00E43C31">
        <w:t xml:space="preserve">the ability </w:t>
      </w:r>
      <w:r w:rsidR="00DD6B64">
        <w:t>of a claimant to use the order as a litigation weapon.</w:t>
      </w:r>
      <w:r w:rsidR="00826D5B">
        <w:t xml:space="preserve"> </w:t>
      </w:r>
      <w:r w:rsidR="00EB074A">
        <w:t>No doubt such a</w:t>
      </w:r>
      <w:r w:rsidR="004401D6">
        <w:t xml:space="preserve">n option </w:t>
      </w:r>
      <w:r w:rsidR="00EB074A">
        <w:t>would need a carefully thought</w:t>
      </w:r>
      <w:r w:rsidR="008A454B">
        <w:t>-</w:t>
      </w:r>
      <w:r w:rsidR="00EB074A">
        <w:t xml:space="preserve">through </w:t>
      </w:r>
      <w:r w:rsidR="00583F2E">
        <w:t xml:space="preserve">regimen </w:t>
      </w:r>
      <w:r w:rsidR="00EB074A">
        <w:t xml:space="preserve">to </w:t>
      </w:r>
      <w:r w:rsidR="00E31F5D">
        <w:t xml:space="preserve">address </w:t>
      </w:r>
      <w:r w:rsidR="003D5151">
        <w:t>t</w:t>
      </w:r>
      <w:r w:rsidR="00E31F5D">
        <w:t xml:space="preserve">he </w:t>
      </w:r>
      <w:r w:rsidR="003D5151">
        <w:t>nature and scope of the information barrier between clai</w:t>
      </w:r>
      <w:r w:rsidR="002D33B6">
        <w:t xml:space="preserve">mant </w:t>
      </w:r>
      <w:r w:rsidR="003D5151">
        <w:t xml:space="preserve">and supervising solicitor, but </w:t>
      </w:r>
      <w:r w:rsidR="002D33B6">
        <w:t>the practicalities should not prevent consideration of whether it would be a welcome step in principle.</w:t>
      </w:r>
    </w:p>
    <w:p w14:paraId="77773C83" w14:textId="342DBE3E" w:rsidR="004401D6" w:rsidRPr="001C5123" w:rsidRDefault="00C92353" w:rsidP="00061A93">
      <w:pPr>
        <w:pStyle w:val="ParaLevel1"/>
        <w:spacing w:line="360" w:lineRule="auto"/>
        <w:rPr>
          <w:i/>
          <w:iCs/>
        </w:rPr>
      </w:pPr>
      <w:r w:rsidRPr="001C5123">
        <w:rPr>
          <w:i/>
          <w:iCs/>
        </w:rPr>
        <w:t>Reform</w:t>
      </w:r>
    </w:p>
    <w:p w14:paraId="4E17758C" w14:textId="786B8FB0" w:rsidR="008B2757" w:rsidRDefault="00E14362" w:rsidP="00CC432D">
      <w:pPr>
        <w:pStyle w:val="ParaLevel1"/>
        <w:numPr>
          <w:ilvl w:val="0"/>
          <w:numId w:val="1"/>
        </w:numPr>
        <w:spacing w:line="360" w:lineRule="auto"/>
      </w:pPr>
      <w:r>
        <w:t xml:space="preserve">Drawing to a close, </w:t>
      </w:r>
      <w:r w:rsidR="008A454B">
        <w:t>t</w:t>
      </w:r>
      <w:r w:rsidR="00DB493B">
        <w:t>here are many other areas which might also be thought to warrant consideration for reform</w:t>
      </w:r>
      <w:r w:rsidR="008C7D92">
        <w:t xml:space="preserve">: </w:t>
      </w:r>
      <w:r w:rsidR="009945D3">
        <w:t xml:space="preserve">the scope of assets which can be caught, </w:t>
      </w:r>
      <w:r w:rsidR="00F63120">
        <w:t xml:space="preserve">and aspects of the </w:t>
      </w:r>
      <w:r w:rsidR="009945D3">
        <w:t>cross undertaking in damages</w:t>
      </w:r>
      <w:r w:rsidR="00642BA7">
        <w:t xml:space="preserve">, both fortification and </w:t>
      </w:r>
      <w:r w:rsidR="00D25637">
        <w:t>claims on the cross undertaking</w:t>
      </w:r>
      <w:r w:rsidR="000D4080">
        <w:t>,</w:t>
      </w:r>
      <w:r w:rsidR="00D25637">
        <w:t xml:space="preserve"> </w:t>
      </w:r>
      <w:r w:rsidR="00642BA7">
        <w:t>come immediately to mind.</w:t>
      </w:r>
      <w:r w:rsidR="00826D5B">
        <w:t xml:space="preserve"> </w:t>
      </w:r>
      <w:r w:rsidR="00917CB3">
        <w:t xml:space="preserve">I have only scratched the surface, although I have been focussing </w:t>
      </w:r>
      <w:r w:rsidR="00413877">
        <w:t xml:space="preserve">on </w:t>
      </w:r>
      <w:r w:rsidR="00B17B91">
        <w:t>elements of the core</w:t>
      </w:r>
      <w:r w:rsidR="00917CB3">
        <w:t>.</w:t>
      </w:r>
      <w:r w:rsidR="00826D5B">
        <w:t xml:space="preserve"> </w:t>
      </w:r>
      <w:r w:rsidR="00CC432D">
        <w:t xml:space="preserve">May I wrap up by saying </w:t>
      </w:r>
      <w:r w:rsidR="00103A0B">
        <w:t xml:space="preserve">something </w:t>
      </w:r>
      <w:r w:rsidR="00D101A9">
        <w:t xml:space="preserve">briefly </w:t>
      </w:r>
      <w:r w:rsidR="00103A0B">
        <w:t xml:space="preserve">about the </w:t>
      </w:r>
      <w:r w:rsidR="00094F17">
        <w:t xml:space="preserve">practicalities </w:t>
      </w:r>
      <w:r w:rsidR="00042B2E">
        <w:t>of</w:t>
      </w:r>
      <w:r w:rsidR="00042B2E" w:rsidRPr="00CC432D">
        <w:rPr>
          <w:i/>
          <w:iCs/>
        </w:rPr>
        <w:t xml:space="preserve"> </w:t>
      </w:r>
      <w:r w:rsidR="00042B2E" w:rsidRPr="000D4080">
        <w:t>how</w:t>
      </w:r>
      <w:r w:rsidR="00042B2E">
        <w:t xml:space="preserve"> </w:t>
      </w:r>
      <w:r w:rsidR="005402FD">
        <w:t>reform might be considered</w:t>
      </w:r>
      <w:r w:rsidR="00320118">
        <w:t xml:space="preserve"> if thought to be a topic which needs addressing</w:t>
      </w:r>
      <w:r w:rsidR="005402FD">
        <w:t>.</w:t>
      </w:r>
    </w:p>
    <w:p w14:paraId="1C20B8B5" w14:textId="2607C675" w:rsidR="00B86673" w:rsidRDefault="00B86673" w:rsidP="006B2ED6">
      <w:pPr>
        <w:pStyle w:val="ParaLevel1"/>
        <w:numPr>
          <w:ilvl w:val="0"/>
          <w:numId w:val="1"/>
        </w:numPr>
        <w:spacing w:line="360" w:lineRule="auto"/>
      </w:pPr>
      <w:r>
        <w:t xml:space="preserve">The applicable principles and boundaries for this </w:t>
      </w:r>
      <w:r w:rsidR="00647730">
        <w:t>ever</w:t>
      </w:r>
      <w:r w:rsidR="00CE68C6">
        <w:t>-</w:t>
      </w:r>
      <w:r>
        <w:t>burgeoning forensic weapon have largely been fashioned on a piecemeal basis by individual decisions at first instance and by individual constitutions of the Court of Appeal.</w:t>
      </w:r>
      <w:r w:rsidR="00826D5B">
        <w:t xml:space="preserve"> </w:t>
      </w:r>
      <w:r>
        <w:t>There has been very little H</w:t>
      </w:r>
      <w:r w:rsidR="000D4080">
        <w:t>ouse of Lords</w:t>
      </w:r>
      <w:r w:rsidR="004527FB">
        <w:t xml:space="preserve">/Supreme Court or Privy Council </w:t>
      </w:r>
      <w:r>
        <w:t>authority other than in jurisdictional aspects.</w:t>
      </w:r>
      <w:r w:rsidR="00826D5B">
        <w:t xml:space="preserve"> </w:t>
      </w:r>
      <w:r>
        <w:t>Th</w:t>
      </w:r>
      <w:r w:rsidR="00784E2E">
        <w:t>e</w:t>
      </w:r>
      <w:r w:rsidR="00042B2E">
        <w:t xml:space="preserve"> developments </w:t>
      </w:r>
      <w:r w:rsidR="00784E2E">
        <w:t>have not been coordinated by any collective process</w:t>
      </w:r>
      <w:r w:rsidR="00A66474">
        <w:t xml:space="preserve"> </w:t>
      </w:r>
      <w:r w:rsidR="00775E05">
        <w:t xml:space="preserve">of discussion </w:t>
      </w:r>
      <w:r w:rsidR="00A66474">
        <w:t xml:space="preserve">or informed by any </w:t>
      </w:r>
      <w:r w:rsidR="00775E05">
        <w:t>comprehensive</w:t>
      </w:r>
      <w:r w:rsidR="007F0372">
        <w:t xml:space="preserve"> reassessment of the way in which </w:t>
      </w:r>
      <w:proofErr w:type="spellStart"/>
      <w:r w:rsidR="00826D5B">
        <w:t>Marevas</w:t>
      </w:r>
      <w:proofErr w:type="spellEnd"/>
      <w:r w:rsidR="00826D5B">
        <w:t xml:space="preserve"> </w:t>
      </w:r>
      <w:r w:rsidR="007F0372">
        <w:t xml:space="preserve">are operating in practice. </w:t>
      </w:r>
      <w:r w:rsidR="003E6941">
        <w:t>T</w:t>
      </w:r>
      <w:r w:rsidR="00F93276">
        <w:t xml:space="preserve">his might be thought to give rise to a </w:t>
      </w:r>
      <w:r w:rsidR="0067662E">
        <w:t xml:space="preserve">danger that </w:t>
      </w:r>
      <w:r w:rsidR="003B0FF9">
        <w:t xml:space="preserve">the </w:t>
      </w:r>
      <w:r>
        <w:t xml:space="preserve">accretion of 50 years has given the Mareva </w:t>
      </w:r>
      <w:r w:rsidR="0067662E">
        <w:t xml:space="preserve">an undesirable </w:t>
      </w:r>
      <w:r>
        <w:t>middle</w:t>
      </w:r>
      <w:r w:rsidR="00CE68C6">
        <w:t>-</w:t>
      </w:r>
      <w:r>
        <w:t>aged spread</w:t>
      </w:r>
      <w:r w:rsidR="00F93276">
        <w:t>.</w:t>
      </w:r>
      <w:r w:rsidR="00657C16">
        <w:t xml:space="preserve"> </w:t>
      </w:r>
      <w:r w:rsidR="00437923">
        <w:t>If there is a</w:t>
      </w:r>
      <w:r w:rsidR="009549C6">
        <w:t>n argument for reform</w:t>
      </w:r>
      <w:r w:rsidR="00437923">
        <w:t xml:space="preserve">, it may be for a more radical shot of </w:t>
      </w:r>
      <w:proofErr w:type="spellStart"/>
      <w:r w:rsidR="00455498">
        <w:t>M</w:t>
      </w:r>
      <w:r w:rsidR="00437923">
        <w:t>o</w:t>
      </w:r>
      <w:r w:rsidR="0068592D">
        <w:t>unjaro</w:t>
      </w:r>
      <w:proofErr w:type="spellEnd"/>
      <w:r w:rsidR="0068592D">
        <w:t xml:space="preserve"> </w:t>
      </w:r>
      <w:r w:rsidR="00437923">
        <w:t>rather than slow</w:t>
      </w:r>
      <w:r w:rsidR="006B2ED6">
        <w:t xml:space="preserve"> dietary trimming on a </w:t>
      </w:r>
      <w:r w:rsidR="00D34D2A">
        <w:t xml:space="preserve">meal by meal, </w:t>
      </w:r>
      <w:r w:rsidR="006B2ED6">
        <w:t>case by case</w:t>
      </w:r>
      <w:r w:rsidR="00D34D2A">
        <w:t>,</w:t>
      </w:r>
      <w:r w:rsidR="006B2ED6">
        <w:t xml:space="preserve"> basis.  </w:t>
      </w:r>
    </w:p>
    <w:p w14:paraId="6F097D42" w14:textId="76A819F1" w:rsidR="008B2757" w:rsidRDefault="0018565F" w:rsidP="00837788">
      <w:pPr>
        <w:pStyle w:val="ParaLevel1"/>
        <w:numPr>
          <w:ilvl w:val="0"/>
          <w:numId w:val="1"/>
        </w:numPr>
        <w:spacing w:line="360" w:lineRule="auto"/>
      </w:pPr>
      <w:r>
        <w:t>I wonder whether the time is ri</w:t>
      </w:r>
      <w:r w:rsidR="003A4DD9">
        <w:t xml:space="preserve">pe </w:t>
      </w:r>
      <w:r>
        <w:t>for a comprehensive</w:t>
      </w:r>
      <w:r w:rsidR="003A4DD9">
        <w:t xml:space="preserve"> re-examination of the </w:t>
      </w:r>
      <w:r w:rsidR="00A42DDC">
        <w:t xml:space="preserve">Mareva </w:t>
      </w:r>
      <w:r w:rsidR="003A4DD9">
        <w:t>jurisdiction involving widespread involvement and consultatio</w:t>
      </w:r>
      <w:r w:rsidR="002748A9">
        <w:t xml:space="preserve">n amongst </w:t>
      </w:r>
      <w:r w:rsidR="00E07077">
        <w:t xml:space="preserve">representatives </w:t>
      </w:r>
      <w:r w:rsidR="00010E12">
        <w:t xml:space="preserve">from </w:t>
      </w:r>
      <w:r w:rsidR="00E07077">
        <w:t xml:space="preserve">the </w:t>
      </w:r>
      <w:r w:rsidR="00010E12">
        <w:t xml:space="preserve">judiciary, </w:t>
      </w:r>
      <w:r w:rsidR="002121D0">
        <w:t xml:space="preserve">practitioners, academics and </w:t>
      </w:r>
      <w:r w:rsidR="00E07077">
        <w:t>users</w:t>
      </w:r>
      <w:r w:rsidR="00BC08DD">
        <w:t xml:space="preserve"> (</w:t>
      </w:r>
      <w:r w:rsidR="005204DC">
        <w:t xml:space="preserve">I </w:t>
      </w:r>
      <w:r w:rsidR="00BC08DD">
        <w:t xml:space="preserve">refuse to use the ugly expression stakeholders). </w:t>
      </w:r>
      <w:r w:rsidR="00254D07">
        <w:t xml:space="preserve">It </w:t>
      </w:r>
      <w:r w:rsidR="005204DC">
        <w:t xml:space="preserve">might </w:t>
      </w:r>
      <w:r w:rsidR="00761116">
        <w:t xml:space="preserve">be undertaken </w:t>
      </w:r>
      <w:r w:rsidR="0020421F">
        <w:t xml:space="preserve">under the auspices of the </w:t>
      </w:r>
      <w:r w:rsidR="009A3323">
        <w:t xml:space="preserve">Judge’s Council, or </w:t>
      </w:r>
      <w:r w:rsidR="00AA51B9">
        <w:t xml:space="preserve">of </w:t>
      </w:r>
      <w:r w:rsidR="009A3323">
        <w:t xml:space="preserve">the </w:t>
      </w:r>
      <w:r w:rsidR="0020421F">
        <w:t xml:space="preserve">Civil Procedure Rules Committee, or </w:t>
      </w:r>
      <w:r w:rsidR="001F31D6">
        <w:t xml:space="preserve">of </w:t>
      </w:r>
      <w:r w:rsidR="0020421F">
        <w:t xml:space="preserve">the </w:t>
      </w:r>
      <w:r w:rsidR="00761116">
        <w:t>Business and Property Courts</w:t>
      </w:r>
      <w:r w:rsidR="00626660">
        <w:t xml:space="preserve">, although </w:t>
      </w:r>
      <w:proofErr w:type="spellStart"/>
      <w:r w:rsidR="00826D5B">
        <w:t>Marevas</w:t>
      </w:r>
      <w:proofErr w:type="spellEnd"/>
      <w:r w:rsidR="00826D5B">
        <w:t xml:space="preserve"> </w:t>
      </w:r>
      <w:r w:rsidR="00626660">
        <w:t>extend b</w:t>
      </w:r>
      <w:r w:rsidR="005E5BF5">
        <w:t>e</w:t>
      </w:r>
      <w:r w:rsidR="00626660">
        <w:t xml:space="preserve">yond the </w:t>
      </w:r>
      <w:r w:rsidR="00254D07">
        <w:t>BPC</w:t>
      </w:r>
      <w:r w:rsidR="005E5BF5">
        <w:t xml:space="preserve"> jurisdictions and </w:t>
      </w:r>
      <w:r w:rsidR="006B1360">
        <w:t>the experience in the family division, for example</w:t>
      </w:r>
      <w:r w:rsidR="00812A7D">
        <w:t>,</w:t>
      </w:r>
      <w:r w:rsidR="006B1360">
        <w:t xml:space="preserve"> might be</w:t>
      </w:r>
      <w:r w:rsidR="00812A7D">
        <w:t xml:space="preserve"> of great assistance.</w:t>
      </w:r>
      <w:r w:rsidR="00826D5B">
        <w:t xml:space="preserve"> </w:t>
      </w:r>
      <w:r w:rsidR="002111B0">
        <w:t xml:space="preserve">If that were thought </w:t>
      </w:r>
      <w:r w:rsidR="00386BEC">
        <w:t xml:space="preserve">to be a good idea, </w:t>
      </w:r>
      <w:r w:rsidR="00524D7F">
        <w:t>it might need to be a substantial piece of work</w:t>
      </w:r>
      <w:r w:rsidR="005D4C0F">
        <w:t xml:space="preserve"> if it is to carry sufficient authority</w:t>
      </w:r>
      <w:r w:rsidR="00ED41A8">
        <w:t xml:space="preserve"> to effect change</w:t>
      </w:r>
      <w:r w:rsidR="00A564BA">
        <w:t xml:space="preserve">.  </w:t>
      </w:r>
    </w:p>
    <w:p w14:paraId="40CA1BB4" w14:textId="1A4164F6" w:rsidR="009A3323" w:rsidRDefault="00A664AC" w:rsidP="00837788">
      <w:pPr>
        <w:pStyle w:val="ParaLevel1"/>
        <w:numPr>
          <w:ilvl w:val="0"/>
          <w:numId w:val="1"/>
        </w:numPr>
        <w:spacing w:line="360" w:lineRule="auto"/>
      </w:pPr>
      <w:r>
        <w:t>It is not for me to say that such a course is</w:t>
      </w:r>
      <w:r w:rsidR="00DF3239">
        <w:t xml:space="preserve"> needed. I merely float</w:t>
      </w:r>
      <w:r w:rsidR="00E04BAA">
        <w:t xml:space="preserve"> </w:t>
      </w:r>
      <w:r w:rsidR="00DF3239">
        <w:t>the idea</w:t>
      </w:r>
      <w:r w:rsidR="009A3323">
        <w:t>.</w:t>
      </w:r>
    </w:p>
    <w:sectPr w:rsidR="009A3323">
      <w:footerReference w:type="default" r:id="rId11"/>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8004" w14:textId="77777777" w:rsidR="00F207C6" w:rsidRDefault="00F207C6">
      <w:r>
        <w:separator/>
      </w:r>
    </w:p>
  </w:endnote>
  <w:endnote w:type="continuationSeparator" w:id="0">
    <w:p w14:paraId="74F74886" w14:textId="77777777" w:rsidR="00F207C6" w:rsidRDefault="00F207C6">
      <w:r>
        <w:continuationSeparator/>
      </w:r>
    </w:p>
  </w:endnote>
  <w:endnote w:type="continuationNotice" w:id="1">
    <w:p w14:paraId="795B8B3C" w14:textId="77777777" w:rsidR="00F207C6" w:rsidRDefault="00F20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4695" w14:textId="77777777" w:rsidR="006A72A0" w:rsidRDefault="006A72A0">
    <w:pPr>
      <w:pStyle w:val="Footer"/>
      <w:jc w:val="center"/>
      <w:rPr>
        <w:rFonts w:ascii="Times New Roman" w:hAnsi="Times New Roman"/>
        <w:sz w:val="16"/>
      </w:rPr>
    </w:pPr>
  </w:p>
  <w:p w14:paraId="54C1893C" w14:textId="77777777" w:rsidR="006A72A0" w:rsidRDefault="006A72A0">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noProof/>
        <w:sz w:val="16"/>
      </w:rPr>
      <w:t>2</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A930" w14:textId="77777777" w:rsidR="00F207C6" w:rsidRDefault="00F207C6">
      <w:r>
        <w:separator/>
      </w:r>
    </w:p>
  </w:footnote>
  <w:footnote w:type="continuationSeparator" w:id="0">
    <w:p w14:paraId="7DC59990" w14:textId="77777777" w:rsidR="00F207C6" w:rsidRDefault="00F207C6">
      <w:r>
        <w:continuationSeparator/>
      </w:r>
    </w:p>
  </w:footnote>
  <w:footnote w:type="continuationNotice" w:id="1">
    <w:p w14:paraId="625DB7B7" w14:textId="77777777" w:rsidR="00F207C6" w:rsidRDefault="00F207C6"/>
  </w:footnote>
  <w:footnote w:id="2">
    <w:p w14:paraId="3673FEA5" w14:textId="552B2C8D" w:rsidR="002A673F" w:rsidRPr="00DE55E4" w:rsidRDefault="002A673F">
      <w:pPr>
        <w:pStyle w:val="FootnoteText"/>
      </w:pPr>
      <w:r w:rsidRPr="00DE55E4">
        <w:rPr>
          <w:rStyle w:val="FootnoteReference"/>
        </w:rPr>
        <w:footnoteRef/>
      </w:r>
      <w:r w:rsidRPr="00DE55E4">
        <w:t xml:space="preserve"> </w:t>
      </w:r>
      <w:r w:rsidR="00BA6C9E" w:rsidRPr="00582D2D">
        <w:rPr>
          <w:i/>
          <w:iCs/>
        </w:rPr>
        <w:t xml:space="preserve">Sanders Lead </w:t>
      </w:r>
      <w:r w:rsidR="00D27015" w:rsidRPr="00582D2D">
        <w:rPr>
          <w:i/>
          <w:iCs/>
        </w:rPr>
        <w:t xml:space="preserve">Co </w:t>
      </w:r>
      <w:r w:rsidR="00BA6C9E" w:rsidRPr="00582D2D">
        <w:rPr>
          <w:i/>
          <w:iCs/>
        </w:rPr>
        <w:t xml:space="preserve">Inc v </w:t>
      </w:r>
      <w:proofErr w:type="spellStart"/>
      <w:r w:rsidR="00BA6C9E" w:rsidRPr="00582D2D">
        <w:rPr>
          <w:i/>
          <w:iCs/>
        </w:rPr>
        <w:t>Ento</w:t>
      </w:r>
      <w:r w:rsidR="00D27015" w:rsidRPr="00582D2D">
        <w:rPr>
          <w:i/>
          <w:iCs/>
        </w:rPr>
        <w:t>n</w:t>
      </w:r>
      <w:r w:rsidR="00BA6C9E" w:rsidRPr="00582D2D">
        <w:rPr>
          <w:i/>
          <w:iCs/>
        </w:rPr>
        <w:t>es</w:t>
      </w:r>
      <w:proofErr w:type="spellEnd"/>
      <w:r w:rsidR="00BA6C9E" w:rsidRPr="00582D2D">
        <w:rPr>
          <w:i/>
          <w:iCs/>
        </w:rPr>
        <w:t xml:space="preserve"> </w:t>
      </w:r>
      <w:r w:rsidR="00D27015" w:rsidRPr="00582D2D">
        <w:rPr>
          <w:i/>
          <w:iCs/>
        </w:rPr>
        <w:t xml:space="preserve">Metal Brokers </w:t>
      </w:r>
      <w:r w:rsidR="00BA6C9E" w:rsidRPr="00582D2D">
        <w:rPr>
          <w:i/>
          <w:iCs/>
        </w:rPr>
        <w:t>Ltd</w:t>
      </w:r>
      <w:r w:rsidR="00BA6C9E" w:rsidRPr="00DE55E4">
        <w:t xml:space="preserve"> [1984] 1 W</w:t>
      </w:r>
      <w:r w:rsidR="00773E0B" w:rsidRPr="00DE55E4">
        <w:t>.</w:t>
      </w:r>
      <w:r w:rsidR="00BA6C9E" w:rsidRPr="00DE55E4">
        <w:t>L</w:t>
      </w:r>
      <w:r w:rsidR="00773E0B" w:rsidRPr="00DE55E4">
        <w:t>.</w:t>
      </w:r>
      <w:r w:rsidR="00BA6C9E" w:rsidRPr="00DE55E4">
        <w:t>R</w:t>
      </w:r>
      <w:r w:rsidR="00773E0B" w:rsidRPr="00DE55E4">
        <w:t>.</w:t>
      </w:r>
      <w:r w:rsidR="00BA6C9E" w:rsidRPr="00DE55E4">
        <w:t xml:space="preserve"> </w:t>
      </w:r>
      <w:r w:rsidR="007A7CED" w:rsidRPr="00DE55E4">
        <w:t>452</w:t>
      </w:r>
      <w:r w:rsidR="00B636AB">
        <w:t>,</w:t>
      </w:r>
      <w:r w:rsidR="007A7CED" w:rsidRPr="00DE55E4">
        <w:t xml:space="preserve"> 460</w:t>
      </w:r>
      <w:r w:rsidR="00B50C70" w:rsidRPr="00DE55E4">
        <w:t>.</w:t>
      </w:r>
    </w:p>
  </w:footnote>
  <w:footnote w:id="3">
    <w:p w14:paraId="5F3A2116" w14:textId="2130EB46" w:rsidR="00D1201F" w:rsidRPr="00DE55E4" w:rsidRDefault="00D1201F" w:rsidP="00D1201F">
      <w:pPr>
        <w:pStyle w:val="FootnoteText"/>
      </w:pPr>
      <w:r w:rsidRPr="00DE55E4">
        <w:rPr>
          <w:rStyle w:val="FootnoteReference"/>
        </w:rPr>
        <w:footnoteRef/>
      </w:r>
      <w:r w:rsidRPr="00DE55E4">
        <w:t xml:space="preserve"> </w:t>
      </w:r>
      <w:r w:rsidRPr="00582D2D">
        <w:rPr>
          <w:i/>
          <w:iCs/>
        </w:rPr>
        <w:t>American Cyanamid Co v Ethicon Ltd</w:t>
      </w:r>
      <w:r w:rsidRPr="00DE55E4">
        <w:t xml:space="preserve"> [1975] A.C. 396</w:t>
      </w:r>
      <w:r w:rsidR="00773E0B" w:rsidRPr="00DE55E4">
        <w:t>.</w:t>
      </w:r>
    </w:p>
  </w:footnote>
  <w:footnote w:id="4">
    <w:p w14:paraId="4E78AAC3" w14:textId="6C1BAF34" w:rsidR="00DD150A" w:rsidRPr="00DE55E4" w:rsidRDefault="00DD150A">
      <w:pPr>
        <w:pStyle w:val="FootnoteText"/>
      </w:pPr>
      <w:r w:rsidRPr="00DE55E4">
        <w:rPr>
          <w:rStyle w:val="FootnoteReference"/>
        </w:rPr>
        <w:footnoteRef/>
      </w:r>
      <w:r w:rsidRPr="00DE55E4">
        <w:t xml:space="preserve"> See</w:t>
      </w:r>
      <w:r w:rsidR="00773E0B" w:rsidRPr="00DE55E4">
        <w:t>,</w:t>
      </w:r>
      <w:r w:rsidRPr="00DE55E4">
        <w:t xml:space="preserve"> for example</w:t>
      </w:r>
      <w:r w:rsidR="00773E0B" w:rsidRPr="00DE55E4">
        <w:t>,</w:t>
      </w:r>
      <w:r w:rsidRPr="00DE55E4">
        <w:t xml:space="preserve"> </w:t>
      </w:r>
      <w:r w:rsidR="00DA5295" w:rsidRPr="00DE55E4">
        <w:t xml:space="preserve">the </w:t>
      </w:r>
      <w:r w:rsidR="00566FCC" w:rsidRPr="00DE55E4">
        <w:t xml:space="preserve">Pensions Regulator (Freezing Orders and Consequential Amendments) Regulations </w:t>
      </w:r>
      <w:r w:rsidR="005D2F00">
        <w:t xml:space="preserve">2005 </w:t>
      </w:r>
      <w:r w:rsidR="00566FCC" w:rsidRPr="00DE55E4">
        <w:t>(</w:t>
      </w:r>
      <w:r w:rsidR="008D75F0" w:rsidRPr="00DE55E4">
        <w:t xml:space="preserve">SI 2005/686). </w:t>
      </w:r>
    </w:p>
  </w:footnote>
  <w:footnote w:id="5">
    <w:p w14:paraId="1DD6BF01" w14:textId="39161C37" w:rsidR="00ED2911" w:rsidRPr="00DE55E4" w:rsidRDefault="00ED2911" w:rsidP="00ED2911">
      <w:pPr>
        <w:pStyle w:val="FootnoteText"/>
      </w:pPr>
      <w:r w:rsidRPr="00DE55E4">
        <w:rPr>
          <w:rStyle w:val="FootnoteReference"/>
        </w:rPr>
        <w:footnoteRef/>
      </w:r>
      <w:r w:rsidRPr="00DE55E4">
        <w:t xml:space="preserve"> </w:t>
      </w:r>
      <w:r w:rsidRPr="00582D2D">
        <w:rPr>
          <w:i/>
          <w:iCs/>
        </w:rPr>
        <w:t xml:space="preserve">Mareva </w:t>
      </w:r>
      <w:proofErr w:type="spellStart"/>
      <w:r w:rsidRPr="00582D2D">
        <w:rPr>
          <w:i/>
          <w:iCs/>
        </w:rPr>
        <w:t>Compania</w:t>
      </w:r>
      <w:proofErr w:type="spellEnd"/>
      <w:r w:rsidRPr="00582D2D">
        <w:rPr>
          <w:i/>
          <w:iCs/>
        </w:rPr>
        <w:t xml:space="preserve"> Naviera SA v International Bulk Carriers SA</w:t>
      </w:r>
      <w:r w:rsidRPr="00DE55E4">
        <w:t xml:space="preserve"> [1975] 2 Lloyd’s Rep</w:t>
      </w:r>
      <w:r w:rsidR="005D2F00">
        <w:t>.</w:t>
      </w:r>
      <w:r w:rsidRPr="00DE55E4">
        <w:t xml:space="preserve"> 509.</w:t>
      </w:r>
    </w:p>
  </w:footnote>
  <w:footnote w:id="6">
    <w:p w14:paraId="17DEAAE8" w14:textId="019A2345" w:rsidR="00587225" w:rsidRPr="00DE55E4" w:rsidRDefault="00587225" w:rsidP="00587225">
      <w:pPr>
        <w:pStyle w:val="FootnoteText"/>
      </w:pPr>
      <w:r w:rsidRPr="00DE55E4">
        <w:rPr>
          <w:rStyle w:val="FootnoteReference"/>
        </w:rPr>
        <w:footnoteRef/>
      </w:r>
      <w:r w:rsidRPr="00DE55E4">
        <w:t xml:space="preserve"> </w:t>
      </w:r>
      <w:r w:rsidR="0062658C" w:rsidRPr="00DE55E4">
        <w:t xml:space="preserve"> </w:t>
      </w:r>
      <w:r w:rsidRPr="00582D2D">
        <w:rPr>
          <w:i/>
          <w:iCs/>
        </w:rPr>
        <w:t xml:space="preserve">Nippon Yusen Kaisha v </w:t>
      </w:r>
      <w:proofErr w:type="spellStart"/>
      <w:r w:rsidRPr="00582D2D">
        <w:rPr>
          <w:i/>
          <w:iCs/>
        </w:rPr>
        <w:t>Karageorgis</w:t>
      </w:r>
      <w:proofErr w:type="spellEnd"/>
      <w:r w:rsidRPr="00DE55E4">
        <w:t xml:space="preserve"> [1975] 1 W</w:t>
      </w:r>
      <w:r w:rsidR="00F31562">
        <w:t>.</w:t>
      </w:r>
      <w:r w:rsidRPr="00DE55E4">
        <w:t>L</w:t>
      </w:r>
      <w:r w:rsidR="00F31562">
        <w:t>.</w:t>
      </w:r>
      <w:r w:rsidRPr="00DE55E4">
        <w:t>R</w:t>
      </w:r>
      <w:r w:rsidR="00F31562">
        <w:t>.</w:t>
      </w:r>
      <w:r w:rsidRPr="00DE55E4">
        <w:t xml:space="preserve"> 1093</w:t>
      </w:r>
      <w:r w:rsidR="0062658C" w:rsidRPr="00DE55E4">
        <w:t>.</w:t>
      </w:r>
      <w:r w:rsidRPr="00DE55E4">
        <w:t xml:space="preserve"> </w:t>
      </w:r>
    </w:p>
  </w:footnote>
  <w:footnote w:id="7">
    <w:p w14:paraId="6326BB74" w14:textId="08B76E3E" w:rsidR="00E66440" w:rsidRPr="00DE55E4" w:rsidRDefault="00E66440">
      <w:pPr>
        <w:pStyle w:val="FootnoteText"/>
      </w:pPr>
      <w:r w:rsidRPr="00DE55E4">
        <w:rPr>
          <w:rStyle w:val="FootnoteReference"/>
        </w:rPr>
        <w:footnoteRef/>
      </w:r>
      <w:r w:rsidRPr="00DE55E4">
        <w:t xml:space="preserve"> </w:t>
      </w:r>
      <w:r w:rsidR="0017525C" w:rsidRPr="00DE55E4">
        <w:t xml:space="preserve"> </w:t>
      </w:r>
      <w:r w:rsidR="009E21A9" w:rsidRPr="00DE55E4">
        <w:t>Lord</w:t>
      </w:r>
      <w:r w:rsidRPr="00DE55E4">
        <w:t xml:space="preserve"> Denning, </w:t>
      </w:r>
      <w:r w:rsidRPr="00582D2D">
        <w:rPr>
          <w:i/>
          <w:iCs/>
        </w:rPr>
        <w:t>The Due Process of Law</w:t>
      </w:r>
      <w:r w:rsidRPr="00DE55E4">
        <w:t xml:space="preserve"> (</w:t>
      </w:r>
      <w:r w:rsidR="009E21A9" w:rsidRPr="00DE55E4">
        <w:t>Butterworths</w:t>
      </w:r>
      <w:r w:rsidR="00D23134" w:rsidRPr="00DE55E4">
        <w:t xml:space="preserve">, </w:t>
      </w:r>
      <w:r w:rsidRPr="00DE55E4">
        <w:t xml:space="preserve">1980), </w:t>
      </w:r>
      <w:r w:rsidR="006D0003" w:rsidRPr="00DE55E4">
        <w:t>p.</w:t>
      </w:r>
      <w:r w:rsidRPr="00DE55E4">
        <w:t>134.</w:t>
      </w:r>
    </w:p>
  </w:footnote>
  <w:footnote w:id="8">
    <w:p w14:paraId="5CB49F4F" w14:textId="47AF3D8D" w:rsidR="004B6FDF" w:rsidRPr="00DE55E4" w:rsidRDefault="004B6FDF" w:rsidP="004B6FDF">
      <w:pPr>
        <w:pStyle w:val="FootnoteText"/>
        <w:rPr>
          <w:lang w:val="sv-SE"/>
        </w:rPr>
      </w:pPr>
      <w:r w:rsidRPr="00DE55E4">
        <w:rPr>
          <w:rStyle w:val="FootnoteReference"/>
        </w:rPr>
        <w:footnoteRef/>
      </w:r>
      <w:r w:rsidRPr="00DE55E4">
        <w:rPr>
          <w:lang w:val="sv-SE"/>
        </w:rPr>
        <w:t xml:space="preserve">  </w:t>
      </w:r>
      <w:r w:rsidRPr="00582D2D">
        <w:rPr>
          <w:i/>
          <w:iCs/>
          <w:lang w:val="sv-SE"/>
        </w:rPr>
        <w:t>Bank Mellat v Nikpour</w:t>
      </w:r>
      <w:r w:rsidRPr="00DE55E4">
        <w:rPr>
          <w:lang w:val="sv-SE"/>
        </w:rPr>
        <w:t xml:space="preserve"> [1985] F</w:t>
      </w:r>
      <w:r w:rsidR="00376CA5" w:rsidRPr="00DE55E4">
        <w:rPr>
          <w:lang w:val="sv-SE"/>
        </w:rPr>
        <w:t>.</w:t>
      </w:r>
      <w:r w:rsidRPr="00DE55E4">
        <w:rPr>
          <w:lang w:val="sv-SE"/>
        </w:rPr>
        <w:t>S</w:t>
      </w:r>
      <w:r w:rsidR="00376CA5" w:rsidRPr="00DE55E4">
        <w:rPr>
          <w:lang w:val="sv-SE"/>
        </w:rPr>
        <w:t>.</w:t>
      </w:r>
      <w:r w:rsidRPr="00DE55E4">
        <w:rPr>
          <w:lang w:val="sv-SE"/>
        </w:rPr>
        <w:t>R</w:t>
      </w:r>
      <w:r w:rsidR="00376CA5" w:rsidRPr="00DE55E4">
        <w:rPr>
          <w:lang w:val="sv-SE"/>
        </w:rPr>
        <w:t>.</w:t>
      </w:r>
      <w:r w:rsidRPr="00DE55E4">
        <w:rPr>
          <w:lang w:val="sv-SE"/>
        </w:rPr>
        <w:t xml:space="preserve"> 87</w:t>
      </w:r>
      <w:r w:rsidR="00B636AB">
        <w:rPr>
          <w:lang w:val="sv-SE"/>
        </w:rPr>
        <w:t>,</w:t>
      </w:r>
      <w:r w:rsidRPr="00DE55E4">
        <w:rPr>
          <w:lang w:val="sv-SE"/>
        </w:rPr>
        <w:t xml:space="preserve"> 92.</w:t>
      </w:r>
    </w:p>
  </w:footnote>
  <w:footnote w:id="9">
    <w:p w14:paraId="2F799BC3" w14:textId="3BDABE2C" w:rsidR="00A14411" w:rsidRPr="00DE55E4" w:rsidRDefault="00A14411">
      <w:pPr>
        <w:pStyle w:val="FootnoteText"/>
      </w:pPr>
      <w:r w:rsidRPr="00DE55E4">
        <w:rPr>
          <w:rStyle w:val="FootnoteReference"/>
        </w:rPr>
        <w:footnoteRef/>
      </w:r>
      <w:r w:rsidRPr="00DE55E4">
        <w:t xml:space="preserve"> </w:t>
      </w:r>
      <w:r w:rsidR="00134D72">
        <w:t xml:space="preserve"> </w:t>
      </w:r>
      <w:r w:rsidRPr="00582D2D">
        <w:rPr>
          <w:i/>
          <w:iCs/>
        </w:rPr>
        <w:t xml:space="preserve">Third Chandris Shipping Corp v </w:t>
      </w:r>
      <w:proofErr w:type="spellStart"/>
      <w:r w:rsidRPr="00582D2D">
        <w:rPr>
          <w:i/>
          <w:iCs/>
        </w:rPr>
        <w:t>Unimarine</w:t>
      </w:r>
      <w:proofErr w:type="spellEnd"/>
      <w:r w:rsidRPr="00582D2D">
        <w:rPr>
          <w:i/>
          <w:iCs/>
        </w:rPr>
        <w:t xml:space="preserve"> SA</w:t>
      </w:r>
      <w:r w:rsidRPr="00DE55E4">
        <w:t xml:space="preserve"> [1979] </w:t>
      </w:r>
      <w:r w:rsidR="006C6733" w:rsidRPr="00DE55E4">
        <w:t>Q</w:t>
      </w:r>
      <w:r w:rsidR="00134D72">
        <w:t>.</w:t>
      </w:r>
      <w:r w:rsidR="006C6733" w:rsidRPr="00DE55E4">
        <w:t>B</w:t>
      </w:r>
      <w:r w:rsidR="00134D72">
        <w:t>.</w:t>
      </w:r>
      <w:r w:rsidR="006C6733" w:rsidRPr="00DE55E4">
        <w:t xml:space="preserve"> 64</w:t>
      </w:r>
      <w:r w:rsidR="006D0003" w:rsidRPr="00DE55E4">
        <w:t>5</w:t>
      </w:r>
      <w:r w:rsidR="00B636AB">
        <w:t>,</w:t>
      </w:r>
      <w:r w:rsidR="006D0003" w:rsidRPr="00DE55E4">
        <w:t xml:space="preserve"> 650</w:t>
      </w:r>
      <w:r w:rsidR="006E6BDD" w:rsidRPr="00DE55E4">
        <w:t>F.</w:t>
      </w:r>
    </w:p>
  </w:footnote>
  <w:footnote w:id="10">
    <w:p w14:paraId="78D9AA05" w14:textId="5F44B419" w:rsidR="007129BE" w:rsidRPr="00DE55E4" w:rsidRDefault="007129BE" w:rsidP="007129BE">
      <w:pPr>
        <w:pStyle w:val="FootnoteText"/>
      </w:pPr>
      <w:r w:rsidRPr="00DE55E4">
        <w:rPr>
          <w:rStyle w:val="FootnoteReference"/>
        </w:rPr>
        <w:footnoteRef/>
      </w:r>
      <w:r w:rsidRPr="00DE55E4">
        <w:t xml:space="preserve"> </w:t>
      </w:r>
      <w:r w:rsidRPr="00582D2D">
        <w:rPr>
          <w:i/>
          <w:iCs/>
        </w:rPr>
        <w:t xml:space="preserve">C.B.S. United Kingdom Ltd v Lambert </w:t>
      </w:r>
      <w:r w:rsidR="006C4412">
        <w:rPr>
          <w:i/>
          <w:iCs/>
        </w:rPr>
        <w:t>&amp; Anor</w:t>
      </w:r>
      <w:r w:rsidRPr="00DE55E4">
        <w:t xml:space="preserve"> [1983] Ch</w:t>
      </w:r>
      <w:r w:rsidR="00580E5B" w:rsidRPr="00DE55E4">
        <w:t>.</w:t>
      </w:r>
      <w:r w:rsidRPr="00DE55E4">
        <w:t xml:space="preserve"> 37</w:t>
      </w:r>
      <w:r w:rsidR="00B636AB">
        <w:t>,</w:t>
      </w:r>
      <w:r w:rsidRPr="00DE55E4">
        <w:t xml:space="preserve"> 43</w:t>
      </w:r>
      <w:r w:rsidR="004C193E" w:rsidRPr="00DE55E4">
        <w:t>E-F.</w:t>
      </w:r>
    </w:p>
  </w:footnote>
  <w:footnote w:id="11">
    <w:p w14:paraId="7F43CF4C" w14:textId="5150E5B3" w:rsidR="00E43D74" w:rsidRPr="00DE55E4" w:rsidRDefault="00E43D74" w:rsidP="00E43D74">
      <w:pPr>
        <w:pStyle w:val="FootnoteText"/>
        <w:rPr>
          <w:lang w:val="de-DE"/>
        </w:rPr>
      </w:pPr>
      <w:r w:rsidRPr="00DE55E4">
        <w:rPr>
          <w:rStyle w:val="FootnoteReference"/>
        </w:rPr>
        <w:footnoteRef/>
      </w:r>
      <w:r w:rsidRPr="00DE55E4">
        <w:rPr>
          <w:lang w:val="de-DE"/>
        </w:rPr>
        <w:t xml:space="preserve"> </w:t>
      </w:r>
      <w:r w:rsidRPr="00582D2D">
        <w:rPr>
          <w:i/>
          <w:iCs/>
          <w:lang w:val="de-DE"/>
        </w:rPr>
        <w:t xml:space="preserve">Ninemia Maritime Corp v Trave Schiffahrtsgesellschaft mbH </w:t>
      </w:r>
      <w:r w:rsidR="00CC3145">
        <w:rPr>
          <w:i/>
          <w:iCs/>
          <w:lang w:val="de-DE"/>
        </w:rPr>
        <w:t>und</w:t>
      </w:r>
      <w:r w:rsidRPr="00582D2D">
        <w:rPr>
          <w:i/>
          <w:iCs/>
          <w:lang w:val="de-DE"/>
        </w:rPr>
        <w:t xml:space="preserve"> Co KG (The Niedersachsen)</w:t>
      </w:r>
      <w:r w:rsidRPr="00DE55E4">
        <w:rPr>
          <w:lang w:val="de-DE"/>
        </w:rPr>
        <w:t xml:space="preserve"> [1984] 1 All E</w:t>
      </w:r>
      <w:r w:rsidR="00EC6E98">
        <w:rPr>
          <w:lang w:val="de-DE"/>
        </w:rPr>
        <w:t>.</w:t>
      </w:r>
      <w:r w:rsidRPr="00DE55E4">
        <w:rPr>
          <w:lang w:val="de-DE"/>
        </w:rPr>
        <w:t>R</w:t>
      </w:r>
      <w:r w:rsidR="00EC6E98">
        <w:rPr>
          <w:lang w:val="de-DE"/>
        </w:rPr>
        <w:t>.</w:t>
      </w:r>
      <w:r w:rsidRPr="00DE55E4">
        <w:rPr>
          <w:lang w:val="de-DE"/>
        </w:rPr>
        <w:t xml:space="preserve"> 398</w:t>
      </w:r>
      <w:r w:rsidR="00B636AB">
        <w:rPr>
          <w:lang w:val="de-DE"/>
        </w:rPr>
        <w:t>,</w:t>
      </w:r>
      <w:r w:rsidRPr="00DE55E4">
        <w:rPr>
          <w:lang w:val="de-DE"/>
        </w:rPr>
        <w:t xml:space="preserve"> 404</w:t>
      </w:r>
      <w:r w:rsidR="00460EF8" w:rsidRPr="00DE55E4">
        <w:rPr>
          <w:lang w:val="de-DE"/>
        </w:rPr>
        <w:t>D</w:t>
      </w:r>
      <w:r w:rsidR="002B2132" w:rsidRPr="00DE55E4">
        <w:rPr>
          <w:lang w:val="de-DE"/>
        </w:rPr>
        <w:t>.</w:t>
      </w:r>
    </w:p>
  </w:footnote>
  <w:footnote w:id="12">
    <w:p w14:paraId="0528537B" w14:textId="1EDF6D09" w:rsidR="006A05EC" w:rsidRPr="00DE55E4" w:rsidRDefault="006A05EC">
      <w:pPr>
        <w:pStyle w:val="FootnoteText"/>
      </w:pPr>
      <w:r w:rsidRPr="00DE55E4">
        <w:rPr>
          <w:rStyle w:val="FootnoteReference"/>
        </w:rPr>
        <w:footnoteRef/>
      </w:r>
      <w:r w:rsidRPr="00DE55E4">
        <w:t xml:space="preserve"> </w:t>
      </w:r>
      <w:r w:rsidRPr="00582D2D">
        <w:rPr>
          <w:i/>
          <w:iCs/>
        </w:rPr>
        <w:t>Brownlie v Four Seasons Holdings Inc</w:t>
      </w:r>
      <w:r w:rsidR="00E2487D" w:rsidRPr="00DE55E4">
        <w:t xml:space="preserve"> [2018] 1 W.L.R. 192</w:t>
      </w:r>
      <w:r w:rsidR="002B2132" w:rsidRPr="00DE55E4">
        <w:t>.</w:t>
      </w:r>
    </w:p>
  </w:footnote>
  <w:footnote w:id="13">
    <w:p w14:paraId="6DEA58CF" w14:textId="2048FB5B" w:rsidR="009A00DA" w:rsidRPr="00DE55E4" w:rsidRDefault="009A00DA">
      <w:pPr>
        <w:pStyle w:val="FootnoteText"/>
      </w:pPr>
      <w:r w:rsidRPr="00DE55E4">
        <w:rPr>
          <w:rStyle w:val="FootnoteReference"/>
        </w:rPr>
        <w:footnoteRef/>
      </w:r>
      <w:r w:rsidRPr="00DE55E4">
        <w:t xml:space="preserve"> </w:t>
      </w:r>
      <w:proofErr w:type="spellStart"/>
      <w:r w:rsidR="00BC35BB" w:rsidRPr="00582D2D">
        <w:rPr>
          <w:i/>
          <w:iCs/>
        </w:rPr>
        <w:t>Lakatamia</w:t>
      </w:r>
      <w:proofErr w:type="spellEnd"/>
      <w:r w:rsidR="00BC35BB" w:rsidRPr="00582D2D">
        <w:rPr>
          <w:i/>
          <w:iCs/>
        </w:rPr>
        <w:t xml:space="preserve"> Shipping Co Ltd v Morimoto</w:t>
      </w:r>
      <w:r w:rsidR="00BC35BB" w:rsidRPr="00DE55E4">
        <w:t xml:space="preserve"> </w:t>
      </w:r>
      <w:r w:rsidR="002B2132" w:rsidRPr="00DE55E4">
        <w:t>[2020] 2 All E.R. (Comm) 359.</w:t>
      </w:r>
    </w:p>
  </w:footnote>
  <w:footnote w:id="14">
    <w:p w14:paraId="6230A744" w14:textId="31350605" w:rsidR="0088568C" w:rsidRPr="00DE55E4" w:rsidRDefault="0088568C" w:rsidP="0088568C">
      <w:pPr>
        <w:pStyle w:val="FootnoteText"/>
      </w:pPr>
      <w:r w:rsidRPr="00DE55E4">
        <w:rPr>
          <w:rStyle w:val="FootnoteReference"/>
        </w:rPr>
        <w:footnoteRef/>
      </w:r>
      <w:r w:rsidRPr="00DE55E4">
        <w:t xml:space="preserve"> </w:t>
      </w:r>
      <w:r w:rsidR="00434E1E" w:rsidRPr="00582D2D">
        <w:rPr>
          <w:i/>
          <w:iCs/>
        </w:rPr>
        <w:t xml:space="preserve">Dos Santos v </w:t>
      </w:r>
      <w:proofErr w:type="spellStart"/>
      <w:r w:rsidR="00434E1E" w:rsidRPr="00582D2D">
        <w:rPr>
          <w:i/>
          <w:iCs/>
        </w:rPr>
        <w:t>Unitel</w:t>
      </w:r>
      <w:proofErr w:type="spellEnd"/>
      <w:r w:rsidR="00434E1E" w:rsidRPr="00582D2D">
        <w:rPr>
          <w:i/>
          <w:iCs/>
        </w:rPr>
        <w:t xml:space="preserve"> SA</w:t>
      </w:r>
      <w:r w:rsidR="00434E1E" w:rsidRPr="00DE55E4">
        <w:t xml:space="preserve"> </w:t>
      </w:r>
      <w:r w:rsidRPr="00DE55E4">
        <w:t>[2025] K.B. 438</w:t>
      </w:r>
      <w:r w:rsidR="00434E1E" w:rsidRPr="00DE55E4">
        <w:t>.</w:t>
      </w:r>
    </w:p>
  </w:footnote>
  <w:footnote w:id="15">
    <w:p w14:paraId="236A183A" w14:textId="7DA456E6" w:rsidR="002E5894" w:rsidRPr="00DE55E4" w:rsidRDefault="002E5894">
      <w:pPr>
        <w:pStyle w:val="FootnoteText"/>
      </w:pPr>
      <w:r w:rsidRPr="00DE55E4">
        <w:rPr>
          <w:rStyle w:val="FootnoteReference"/>
        </w:rPr>
        <w:footnoteRef/>
      </w:r>
      <w:r w:rsidRPr="00DE55E4">
        <w:t xml:space="preserve"> See</w:t>
      </w:r>
      <w:r w:rsidR="00190E3C" w:rsidRPr="00DE55E4">
        <w:t>, for example, Joshua Lai and Thomas Leung, “Overcooking the Merits Threshold for Freezing Injunctions”</w:t>
      </w:r>
      <w:r w:rsidR="00384890" w:rsidRPr="00DE55E4">
        <w:t xml:space="preserve"> (2005)</w:t>
      </w:r>
      <w:r w:rsidR="00945F26" w:rsidRPr="00DE55E4">
        <w:t xml:space="preserve"> 84(1) C</w:t>
      </w:r>
      <w:r w:rsidR="00585D7F">
        <w:t>.</w:t>
      </w:r>
      <w:r w:rsidR="00945F26" w:rsidRPr="00DE55E4">
        <w:t>L</w:t>
      </w:r>
      <w:r w:rsidR="00585D7F">
        <w:t>.J.</w:t>
      </w:r>
      <w:r w:rsidR="00945F26" w:rsidRPr="00DE55E4">
        <w:t xml:space="preserve"> 31.</w:t>
      </w:r>
    </w:p>
  </w:footnote>
  <w:footnote w:id="16">
    <w:p w14:paraId="74322456" w14:textId="6E7FBE5D" w:rsidR="004D7E9B" w:rsidRPr="00DE55E4" w:rsidRDefault="004D7E9B">
      <w:pPr>
        <w:pStyle w:val="FootnoteText"/>
      </w:pPr>
      <w:r w:rsidRPr="00DE55E4">
        <w:rPr>
          <w:rStyle w:val="FootnoteReference"/>
        </w:rPr>
        <w:footnoteRef/>
      </w:r>
      <w:r w:rsidRPr="00DE55E4">
        <w:t xml:space="preserve"> </w:t>
      </w:r>
      <w:r w:rsidR="0069097B" w:rsidRPr="00DE55E4">
        <w:t>[2025] K.B. 438</w:t>
      </w:r>
      <w:r w:rsidR="00B636AB">
        <w:t>,</w:t>
      </w:r>
      <w:r w:rsidRPr="00DE55E4">
        <w:t xml:space="preserve"> [122]</w:t>
      </w:r>
      <w:r w:rsidR="0069097B" w:rsidRPr="00DE55E4">
        <w:t>.</w:t>
      </w:r>
    </w:p>
  </w:footnote>
  <w:footnote w:id="17">
    <w:p w14:paraId="29559380" w14:textId="4C44BC7B" w:rsidR="00F61248" w:rsidRPr="00DE55E4" w:rsidRDefault="00F61248">
      <w:pPr>
        <w:pStyle w:val="FootnoteText"/>
      </w:pPr>
      <w:r w:rsidRPr="00DE55E4">
        <w:rPr>
          <w:rStyle w:val="FootnoteReference"/>
        </w:rPr>
        <w:footnoteRef/>
      </w:r>
      <w:r w:rsidRPr="00DE55E4">
        <w:t xml:space="preserve"> </w:t>
      </w:r>
      <w:r w:rsidRPr="00582D2D">
        <w:rPr>
          <w:i/>
          <w:iCs/>
        </w:rPr>
        <w:t>American Cyanamid Co v Ethicon Ltd</w:t>
      </w:r>
      <w:r w:rsidRPr="00DE55E4">
        <w:t xml:space="preserve"> [1975] AC 396</w:t>
      </w:r>
      <w:r w:rsidR="00B636AB">
        <w:t>,</w:t>
      </w:r>
      <w:r w:rsidR="001C7E12" w:rsidRPr="00DE55E4">
        <w:t xml:space="preserve"> </w:t>
      </w:r>
      <w:r w:rsidRPr="00DE55E4">
        <w:t>407G-408B.</w:t>
      </w:r>
    </w:p>
  </w:footnote>
  <w:footnote w:id="18">
    <w:p w14:paraId="3D8DDAB5" w14:textId="322D4A12" w:rsidR="00F61248" w:rsidRPr="00DE55E4" w:rsidRDefault="00F61248">
      <w:pPr>
        <w:pStyle w:val="FootnoteText"/>
      </w:pPr>
      <w:r w:rsidRPr="00DE55E4">
        <w:rPr>
          <w:rStyle w:val="FootnoteReference"/>
        </w:rPr>
        <w:footnoteRef/>
      </w:r>
      <w:r w:rsidRPr="00DE55E4">
        <w:t xml:space="preserve"> </w:t>
      </w:r>
      <w:r w:rsidR="00126362" w:rsidRPr="00582D2D">
        <w:rPr>
          <w:i/>
          <w:iCs/>
        </w:rPr>
        <w:t>ED&amp;F Man Liquid Products Ltd v Patel</w:t>
      </w:r>
      <w:r w:rsidR="00B41819" w:rsidRPr="00DE55E4">
        <w:rPr>
          <w:i/>
          <w:iCs/>
        </w:rPr>
        <w:t xml:space="preserve"> </w:t>
      </w:r>
      <w:r w:rsidR="007F6656">
        <w:rPr>
          <w:i/>
          <w:iCs/>
        </w:rPr>
        <w:t>&amp; Anor</w:t>
      </w:r>
      <w:r w:rsidR="00126362" w:rsidRPr="00DE55E4">
        <w:t xml:space="preserve"> </w:t>
      </w:r>
      <w:r w:rsidR="00126362" w:rsidRPr="00DE55E4">
        <w:rPr>
          <w:lang w:val="de-DE"/>
        </w:rPr>
        <w:t>[2003] C.P. Rep. 51</w:t>
      </w:r>
      <w:r w:rsidR="00B636AB">
        <w:rPr>
          <w:lang w:val="de-DE"/>
        </w:rPr>
        <w:t>,</w:t>
      </w:r>
      <w:r w:rsidR="00126362" w:rsidRPr="00DE55E4">
        <w:rPr>
          <w:lang w:val="de-DE"/>
        </w:rPr>
        <w:t xml:space="preserve"> [8]; </w:t>
      </w:r>
      <w:r w:rsidR="00126362" w:rsidRPr="00582D2D">
        <w:rPr>
          <w:i/>
          <w:iCs/>
          <w:lang w:val="de-DE"/>
        </w:rPr>
        <w:t>Easyair Ltd (t/a Openair) v Opal Telecom Ltd</w:t>
      </w:r>
      <w:r w:rsidR="00126362" w:rsidRPr="00DE55E4">
        <w:rPr>
          <w:lang w:val="de-DE"/>
        </w:rPr>
        <w:t xml:space="preserve"> [2009] EWHC 339 (Ch)</w:t>
      </w:r>
      <w:r w:rsidR="00B636AB">
        <w:rPr>
          <w:lang w:val="de-DE"/>
        </w:rPr>
        <w:t>,</w:t>
      </w:r>
      <w:r w:rsidR="00126362" w:rsidRPr="00DE55E4">
        <w:rPr>
          <w:lang w:val="de-DE"/>
        </w:rPr>
        <w:t xml:space="preserve"> [15(ii)]</w:t>
      </w:r>
      <w:r w:rsidR="00E15B93" w:rsidRPr="00DE55E4">
        <w:rPr>
          <w:lang w:val="de-DE"/>
        </w:rPr>
        <w:t>.</w:t>
      </w:r>
    </w:p>
  </w:footnote>
  <w:footnote w:id="19">
    <w:p w14:paraId="41CE7D1F" w14:textId="0E7F6FE1" w:rsidR="00EC21AD" w:rsidRPr="00DE55E4" w:rsidRDefault="00EC21AD">
      <w:pPr>
        <w:pStyle w:val="FootnoteText"/>
      </w:pPr>
      <w:r w:rsidRPr="00DE55E4">
        <w:rPr>
          <w:rStyle w:val="FootnoteReference"/>
        </w:rPr>
        <w:footnoteRef/>
      </w:r>
      <w:r w:rsidRPr="00DE55E4">
        <w:t xml:space="preserve"> </w:t>
      </w:r>
      <w:r w:rsidRPr="00582D2D">
        <w:rPr>
          <w:i/>
          <w:iCs/>
        </w:rPr>
        <w:t xml:space="preserve">Owners of Cargo Lately Laden on Board the </w:t>
      </w:r>
      <w:proofErr w:type="spellStart"/>
      <w:r w:rsidRPr="00582D2D">
        <w:rPr>
          <w:i/>
          <w:iCs/>
        </w:rPr>
        <w:t>Siskina</w:t>
      </w:r>
      <w:proofErr w:type="spellEnd"/>
      <w:r w:rsidRPr="00582D2D">
        <w:rPr>
          <w:i/>
          <w:iCs/>
        </w:rPr>
        <w:t xml:space="preserve"> </w:t>
      </w:r>
      <w:r w:rsidR="007F6656">
        <w:rPr>
          <w:i/>
          <w:iCs/>
        </w:rPr>
        <w:t>&amp; Ors</w:t>
      </w:r>
      <w:r w:rsidR="00E30B27">
        <w:rPr>
          <w:i/>
          <w:iCs/>
        </w:rPr>
        <w:t xml:space="preserve"> </w:t>
      </w:r>
      <w:r w:rsidRPr="00582D2D">
        <w:rPr>
          <w:i/>
          <w:iCs/>
        </w:rPr>
        <w:t xml:space="preserve">v </w:t>
      </w:r>
      <w:proofErr w:type="spellStart"/>
      <w:r w:rsidRPr="00582D2D">
        <w:rPr>
          <w:i/>
          <w:iCs/>
        </w:rPr>
        <w:t>Distos</w:t>
      </w:r>
      <w:proofErr w:type="spellEnd"/>
      <w:r w:rsidRPr="00582D2D">
        <w:rPr>
          <w:i/>
          <w:iCs/>
        </w:rPr>
        <w:t xml:space="preserve"> </w:t>
      </w:r>
      <w:proofErr w:type="spellStart"/>
      <w:r w:rsidRPr="00582D2D">
        <w:rPr>
          <w:i/>
          <w:iCs/>
        </w:rPr>
        <w:t>Compania</w:t>
      </w:r>
      <w:proofErr w:type="spellEnd"/>
      <w:r w:rsidRPr="00582D2D">
        <w:rPr>
          <w:i/>
          <w:iCs/>
        </w:rPr>
        <w:t xml:space="preserve"> Naviera SA</w:t>
      </w:r>
      <w:r w:rsidRPr="00DE55E4">
        <w:t xml:space="preserve"> </w:t>
      </w:r>
      <w:r w:rsidRPr="00456657">
        <w:rPr>
          <w:i/>
          <w:iCs/>
        </w:rPr>
        <w:t xml:space="preserve">(The </w:t>
      </w:r>
      <w:proofErr w:type="spellStart"/>
      <w:r w:rsidRPr="00456657">
        <w:rPr>
          <w:i/>
          <w:iCs/>
        </w:rPr>
        <w:t>Siskina</w:t>
      </w:r>
      <w:proofErr w:type="spellEnd"/>
      <w:r w:rsidRPr="00456657">
        <w:rPr>
          <w:i/>
          <w:iCs/>
        </w:rPr>
        <w:t>)</w:t>
      </w:r>
      <w:r w:rsidRPr="00DE55E4">
        <w:t xml:space="preserve"> [1979] A</w:t>
      </w:r>
      <w:r w:rsidR="003D2E6E">
        <w:t>.</w:t>
      </w:r>
      <w:r w:rsidRPr="00DE55E4">
        <w:t>C</w:t>
      </w:r>
      <w:r w:rsidR="003D2E6E">
        <w:t>.</w:t>
      </w:r>
      <w:r w:rsidRPr="00DE55E4">
        <w:t xml:space="preserve"> 210.</w:t>
      </w:r>
    </w:p>
  </w:footnote>
  <w:footnote w:id="20">
    <w:p w14:paraId="58D15A09" w14:textId="0CF47C47" w:rsidR="00905461" w:rsidRPr="00DE55E4" w:rsidRDefault="00905461" w:rsidP="00905461">
      <w:pPr>
        <w:pStyle w:val="FootnoteText"/>
      </w:pPr>
      <w:r w:rsidRPr="00DE55E4">
        <w:rPr>
          <w:rStyle w:val="FootnoteReference"/>
        </w:rPr>
        <w:footnoteRef/>
      </w:r>
      <w:r w:rsidRPr="00DE55E4">
        <w:t xml:space="preserve"> </w:t>
      </w:r>
      <w:r w:rsidR="001C7E12" w:rsidRPr="00582D2D">
        <w:rPr>
          <w:i/>
          <w:iCs/>
        </w:rPr>
        <w:t>Broad Idea International Ltd v Convoy Collateral Ltd</w:t>
      </w:r>
      <w:r w:rsidR="001C7E12" w:rsidRPr="00DE55E4">
        <w:t xml:space="preserve"> </w:t>
      </w:r>
      <w:r w:rsidRPr="00DE55E4">
        <w:t>[2023] A</w:t>
      </w:r>
      <w:r w:rsidR="003D2E6E">
        <w:t>.</w:t>
      </w:r>
      <w:r w:rsidRPr="00DE55E4">
        <w:t>C</w:t>
      </w:r>
      <w:r w:rsidR="003D2E6E">
        <w:t>.</w:t>
      </w:r>
      <w:r w:rsidRPr="00DE55E4">
        <w:t xml:space="preserve"> 389</w:t>
      </w:r>
      <w:r w:rsidR="00B636AB">
        <w:t>,</w:t>
      </w:r>
      <w:r w:rsidRPr="00DE55E4">
        <w:t xml:space="preserve"> </w:t>
      </w:r>
      <w:r w:rsidR="00E15B93" w:rsidRPr="00DE55E4">
        <w:t>[84]-[89].</w:t>
      </w:r>
    </w:p>
  </w:footnote>
  <w:footnote w:id="21">
    <w:p w14:paraId="4E308A1C" w14:textId="63557803" w:rsidR="00A7431B" w:rsidRPr="00DE55E4" w:rsidRDefault="00A7431B">
      <w:pPr>
        <w:pStyle w:val="FootnoteText"/>
      </w:pPr>
      <w:r w:rsidRPr="00DE55E4">
        <w:rPr>
          <w:rStyle w:val="FootnoteReference"/>
        </w:rPr>
        <w:footnoteRef/>
      </w:r>
      <w:r w:rsidRPr="00DE55E4">
        <w:t xml:space="preserve"> </w:t>
      </w:r>
      <w:r w:rsidR="00A161D8" w:rsidRPr="00582D2D">
        <w:rPr>
          <w:i/>
          <w:iCs/>
        </w:rPr>
        <w:t>Lansing Linde Ltd v Kerr</w:t>
      </w:r>
      <w:r w:rsidR="00A161D8" w:rsidRPr="00DE55E4">
        <w:t xml:space="preserve"> [1991] 1 W</w:t>
      </w:r>
      <w:r w:rsidR="006E46D3" w:rsidRPr="00DE55E4">
        <w:t>.</w:t>
      </w:r>
      <w:r w:rsidR="00A161D8" w:rsidRPr="00DE55E4">
        <w:t>L</w:t>
      </w:r>
      <w:r w:rsidR="006E46D3" w:rsidRPr="00DE55E4">
        <w:t>.</w:t>
      </w:r>
      <w:r w:rsidR="00A161D8" w:rsidRPr="00DE55E4">
        <w:t>R</w:t>
      </w:r>
      <w:r w:rsidR="006E46D3" w:rsidRPr="00DE55E4">
        <w:t>.</w:t>
      </w:r>
      <w:r w:rsidR="00A161D8" w:rsidRPr="00DE55E4">
        <w:t xml:space="preserve"> 251; </w:t>
      </w:r>
      <w:r w:rsidR="00A161D8" w:rsidRPr="00582D2D">
        <w:rPr>
          <w:i/>
          <w:iCs/>
        </w:rPr>
        <w:t xml:space="preserve">National Commercial Bank Jamaica Ltd v </w:t>
      </w:r>
      <w:proofErr w:type="spellStart"/>
      <w:r w:rsidR="00A161D8" w:rsidRPr="00582D2D">
        <w:rPr>
          <w:i/>
          <w:iCs/>
        </w:rPr>
        <w:t>Olint</w:t>
      </w:r>
      <w:proofErr w:type="spellEnd"/>
      <w:r w:rsidR="00A161D8" w:rsidRPr="00582D2D">
        <w:rPr>
          <w:i/>
          <w:iCs/>
        </w:rPr>
        <w:t xml:space="preserve"> Corp Ltd (Practice Note)</w:t>
      </w:r>
      <w:r w:rsidR="00A161D8" w:rsidRPr="00DE55E4">
        <w:t xml:space="preserve"> [2009] 1 W</w:t>
      </w:r>
      <w:r w:rsidR="00004672" w:rsidRPr="00DE55E4">
        <w:t>.</w:t>
      </w:r>
      <w:r w:rsidR="00A161D8" w:rsidRPr="00DE55E4">
        <w:t>L</w:t>
      </w:r>
      <w:r w:rsidR="00004672" w:rsidRPr="00DE55E4">
        <w:t>.</w:t>
      </w:r>
      <w:r w:rsidR="00A161D8" w:rsidRPr="00DE55E4">
        <w:t>R</w:t>
      </w:r>
      <w:r w:rsidR="00004672" w:rsidRPr="00DE55E4">
        <w:t>.</w:t>
      </w:r>
      <w:r w:rsidR="00A161D8" w:rsidRPr="00DE55E4">
        <w:t xml:space="preserve"> 1405; </w:t>
      </w:r>
      <w:proofErr w:type="spellStart"/>
      <w:r w:rsidR="00A161D8" w:rsidRPr="00582D2D">
        <w:rPr>
          <w:i/>
          <w:iCs/>
        </w:rPr>
        <w:t>Planon</w:t>
      </w:r>
      <w:proofErr w:type="spellEnd"/>
      <w:r w:rsidR="00A161D8" w:rsidRPr="00582D2D">
        <w:rPr>
          <w:i/>
          <w:iCs/>
        </w:rPr>
        <w:t xml:space="preserve"> Ltd v Gilligan</w:t>
      </w:r>
      <w:r w:rsidR="00A161D8" w:rsidRPr="00DE55E4">
        <w:t xml:space="preserve"> [2022] I</w:t>
      </w:r>
      <w:r w:rsidR="00004672" w:rsidRPr="00DE55E4">
        <w:t>.</w:t>
      </w:r>
      <w:r w:rsidR="00A161D8" w:rsidRPr="00DE55E4">
        <w:t>R</w:t>
      </w:r>
      <w:r w:rsidR="00004672" w:rsidRPr="00DE55E4">
        <w:t>.</w:t>
      </w:r>
      <w:r w:rsidR="00A161D8" w:rsidRPr="00DE55E4">
        <w:t>L</w:t>
      </w:r>
      <w:r w:rsidR="00004672" w:rsidRPr="00DE55E4">
        <w:t>.</w:t>
      </w:r>
      <w:r w:rsidR="00A161D8" w:rsidRPr="00DE55E4">
        <w:t>R</w:t>
      </w:r>
      <w:r w:rsidR="00004672" w:rsidRPr="00DE55E4">
        <w:t>.</w:t>
      </w:r>
      <w:r w:rsidR="00A161D8" w:rsidRPr="00DE55E4">
        <w:t xml:space="preserve"> 684</w:t>
      </w:r>
      <w:r w:rsidR="00B636AB">
        <w:t>,</w:t>
      </w:r>
      <w:r w:rsidR="00086EF7" w:rsidRPr="00DE55E4">
        <w:t xml:space="preserve"> [103] and [110]</w:t>
      </w:r>
      <w:r w:rsidR="00A161D8" w:rsidRPr="00DE55E4">
        <w:t xml:space="preserve">.  </w:t>
      </w:r>
    </w:p>
  </w:footnote>
  <w:footnote w:id="22">
    <w:p w14:paraId="429B344A" w14:textId="70CE0A20" w:rsidR="00F87518" w:rsidRPr="00DE55E4" w:rsidRDefault="00F87518">
      <w:pPr>
        <w:pStyle w:val="FootnoteText"/>
        <w:rPr>
          <w:lang w:val="nb-NO"/>
        </w:rPr>
      </w:pPr>
      <w:r w:rsidRPr="00DE55E4">
        <w:rPr>
          <w:rStyle w:val="FootnoteReference"/>
        </w:rPr>
        <w:footnoteRef/>
      </w:r>
      <w:r w:rsidRPr="00DE55E4">
        <w:rPr>
          <w:lang w:val="nb-NO"/>
        </w:rPr>
        <w:t xml:space="preserve"> [1984] 1 All E</w:t>
      </w:r>
      <w:r w:rsidR="006279B9">
        <w:rPr>
          <w:lang w:val="nb-NO"/>
        </w:rPr>
        <w:t>.</w:t>
      </w:r>
      <w:r w:rsidRPr="00DE55E4">
        <w:rPr>
          <w:lang w:val="nb-NO"/>
        </w:rPr>
        <w:t>R</w:t>
      </w:r>
      <w:r w:rsidR="006279B9">
        <w:rPr>
          <w:lang w:val="nb-NO"/>
        </w:rPr>
        <w:t>.</w:t>
      </w:r>
      <w:r w:rsidRPr="00DE55E4">
        <w:rPr>
          <w:lang w:val="nb-NO"/>
        </w:rPr>
        <w:t xml:space="preserve"> 398</w:t>
      </w:r>
      <w:r w:rsidR="00B636AB">
        <w:rPr>
          <w:lang w:val="nb-NO"/>
        </w:rPr>
        <w:t>,</w:t>
      </w:r>
      <w:r w:rsidRPr="00DE55E4">
        <w:rPr>
          <w:lang w:val="nb-NO"/>
        </w:rPr>
        <w:t xml:space="preserve"> 402J</w:t>
      </w:r>
      <w:r w:rsidR="00582D2D">
        <w:rPr>
          <w:lang w:val="nb-NO"/>
        </w:rPr>
        <w:t>-</w:t>
      </w:r>
      <w:r w:rsidRPr="00DE55E4">
        <w:rPr>
          <w:lang w:val="nb-NO"/>
        </w:rPr>
        <w:t>403A</w:t>
      </w:r>
      <w:r w:rsidR="00B11829" w:rsidRPr="00DE55E4">
        <w:rPr>
          <w:lang w:val="nb-NO"/>
        </w:rPr>
        <w:t>.</w:t>
      </w:r>
    </w:p>
  </w:footnote>
  <w:footnote w:id="23">
    <w:p w14:paraId="481DFC46" w14:textId="6D29B8A1" w:rsidR="00F87518" w:rsidRPr="00DE55E4" w:rsidRDefault="00F87518">
      <w:pPr>
        <w:pStyle w:val="FootnoteText"/>
        <w:rPr>
          <w:lang w:val="nb-NO"/>
        </w:rPr>
      </w:pPr>
      <w:r w:rsidRPr="00DE55E4">
        <w:rPr>
          <w:rStyle w:val="FootnoteReference"/>
        </w:rPr>
        <w:footnoteRef/>
      </w:r>
      <w:r w:rsidRPr="00DE55E4">
        <w:rPr>
          <w:lang w:val="nb-NO"/>
        </w:rPr>
        <w:t xml:space="preserve"> </w:t>
      </w:r>
      <w:r w:rsidR="00016138" w:rsidRPr="00DE55E4">
        <w:rPr>
          <w:lang w:val="nb-NO"/>
        </w:rPr>
        <w:t>[1983] 1 W.L.R. 1412</w:t>
      </w:r>
      <w:r w:rsidR="00B636AB">
        <w:rPr>
          <w:lang w:val="nb-NO"/>
        </w:rPr>
        <w:t>,</w:t>
      </w:r>
      <w:r w:rsidR="00016138" w:rsidRPr="00DE55E4">
        <w:rPr>
          <w:lang w:val="nb-NO"/>
        </w:rPr>
        <w:t xml:space="preserve"> 1417E-F.</w:t>
      </w:r>
    </w:p>
  </w:footnote>
  <w:footnote w:id="24">
    <w:p w14:paraId="1DBFD023" w14:textId="67BB5035" w:rsidR="006D1103" w:rsidRPr="00DE55E4" w:rsidRDefault="006D1103">
      <w:pPr>
        <w:pStyle w:val="FootnoteText"/>
      </w:pPr>
      <w:r w:rsidRPr="00DE55E4">
        <w:rPr>
          <w:rStyle w:val="FootnoteReference"/>
        </w:rPr>
        <w:footnoteRef/>
      </w:r>
      <w:r w:rsidRPr="00DE55E4">
        <w:t xml:space="preserve"> </w:t>
      </w:r>
      <w:r w:rsidR="00D17401" w:rsidRPr="00DE55E4">
        <w:t xml:space="preserve">David Foxton, ““The Big Freeze”: The Rise and Rise of the </w:t>
      </w:r>
      <w:r w:rsidR="00D17401" w:rsidRPr="00DE55E4">
        <w:rPr>
          <w:i/>
          <w:iCs/>
        </w:rPr>
        <w:t xml:space="preserve">Mareva </w:t>
      </w:r>
      <w:r w:rsidR="00D17401" w:rsidRPr="00DE55E4">
        <w:t>Injunction</w:t>
      </w:r>
      <w:r w:rsidR="006C2A52" w:rsidRPr="00DE55E4">
        <w:t xml:space="preserve"> </w:t>
      </w:r>
      <w:r w:rsidR="004C20C4">
        <w:t xml:space="preserve">– </w:t>
      </w:r>
      <w:r w:rsidR="006C2A52" w:rsidRPr="00DE55E4">
        <w:t>A Talk to Manchester Business and Property Courts Forum</w:t>
      </w:r>
      <w:r w:rsidR="00FA46AE">
        <w:t>”</w:t>
      </w:r>
      <w:r w:rsidR="006C2A52" w:rsidRPr="00DE55E4">
        <w:t xml:space="preserve"> </w:t>
      </w:r>
      <w:r w:rsidR="00FA46AE">
        <w:t>(</w:t>
      </w:r>
      <w:r w:rsidR="006C2A52" w:rsidRPr="00DE55E4">
        <w:t>30 October 2024</w:t>
      </w:r>
      <w:r w:rsidR="00FA46AE">
        <w:t>),</w:t>
      </w:r>
      <w:r w:rsidR="006C2A52" w:rsidRPr="00DE55E4">
        <w:t xml:space="preserve"> para [27].</w:t>
      </w:r>
    </w:p>
  </w:footnote>
  <w:footnote w:id="25">
    <w:p w14:paraId="4EB14A0A" w14:textId="47CB0816" w:rsidR="00E15B93" w:rsidRPr="00DE55E4" w:rsidRDefault="00E15B93">
      <w:pPr>
        <w:pStyle w:val="FootnoteText"/>
      </w:pPr>
      <w:r w:rsidRPr="00DE55E4">
        <w:rPr>
          <w:rStyle w:val="FootnoteReference"/>
        </w:rPr>
        <w:footnoteRef/>
      </w:r>
      <w:r w:rsidRPr="00DE55E4">
        <w:t xml:space="preserve"> </w:t>
      </w:r>
      <w:r w:rsidR="008D6F0C" w:rsidRPr="00DE55E4">
        <w:t xml:space="preserve">Jeffrey Berryman, The Law of Equitable Remedies, 3rd </w:t>
      </w:r>
      <w:proofErr w:type="spellStart"/>
      <w:r w:rsidR="008D6F0C" w:rsidRPr="00DE55E4">
        <w:t>edn</w:t>
      </w:r>
      <w:proofErr w:type="spellEnd"/>
      <w:r w:rsidR="008D6F0C" w:rsidRPr="00DE55E4">
        <w:t xml:space="preserve"> (Irwin Law, 2023)</w:t>
      </w:r>
      <w:r w:rsidR="00460EF8" w:rsidRPr="00DE55E4">
        <w:t>,</w:t>
      </w:r>
      <w:r w:rsidR="000D6C86" w:rsidRPr="00DE55E4">
        <w:t xml:space="preserve"> p.184.</w:t>
      </w:r>
    </w:p>
  </w:footnote>
  <w:footnote w:id="26">
    <w:p w14:paraId="17B126AE" w14:textId="47436EA8" w:rsidR="006D1103" w:rsidRPr="00DE55E4" w:rsidRDefault="006D1103">
      <w:pPr>
        <w:pStyle w:val="FootnoteText"/>
      </w:pPr>
      <w:r w:rsidRPr="00DE55E4">
        <w:rPr>
          <w:rStyle w:val="FootnoteReference"/>
        </w:rPr>
        <w:footnoteRef/>
      </w:r>
      <w:r w:rsidRPr="00DE55E4">
        <w:t xml:space="preserve"> </w:t>
      </w:r>
      <w:r w:rsidR="00687A19" w:rsidRPr="00582D2D">
        <w:rPr>
          <w:i/>
          <w:iCs/>
        </w:rPr>
        <w:t xml:space="preserve">Mercedes Benz A.G. v </w:t>
      </w:r>
      <w:proofErr w:type="spellStart"/>
      <w:r w:rsidR="00687A19" w:rsidRPr="00582D2D">
        <w:rPr>
          <w:i/>
          <w:iCs/>
        </w:rPr>
        <w:t>Leiduck</w:t>
      </w:r>
      <w:proofErr w:type="spellEnd"/>
      <w:r w:rsidR="00687A19" w:rsidRPr="00DE55E4">
        <w:t xml:space="preserve"> [1996] A.C. 284</w:t>
      </w:r>
      <w:r w:rsidR="00B636AB">
        <w:t>,</w:t>
      </w:r>
      <w:r w:rsidR="00687A19" w:rsidRPr="00DE55E4">
        <w:t xml:space="preserve"> 299G-H.</w:t>
      </w:r>
    </w:p>
  </w:footnote>
  <w:footnote w:id="27">
    <w:p w14:paraId="2C8CE2E1" w14:textId="189B0520" w:rsidR="00F35935" w:rsidRPr="00DE55E4" w:rsidRDefault="00F35935">
      <w:pPr>
        <w:pStyle w:val="FootnoteText"/>
      </w:pPr>
      <w:r w:rsidRPr="00DE55E4">
        <w:rPr>
          <w:rStyle w:val="FootnoteReference"/>
        </w:rPr>
        <w:footnoteRef/>
      </w:r>
      <w:r w:rsidRPr="00DE55E4">
        <w:t xml:space="preserve"> </w:t>
      </w:r>
      <w:r w:rsidR="00176F27" w:rsidRPr="00582D2D">
        <w:rPr>
          <w:i/>
          <w:iCs/>
        </w:rPr>
        <w:t>Curtis v NID Pty Ltd</w:t>
      </w:r>
      <w:r w:rsidR="00176F27">
        <w:t xml:space="preserve"> [2010] FCA 1072</w:t>
      </w:r>
      <w:r w:rsidR="00B636AB">
        <w:t>,</w:t>
      </w:r>
      <w:r w:rsidR="00176F27">
        <w:t xml:space="preserve"> [6]</w:t>
      </w:r>
      <w:r w:rsidR="0072026C">
        <w:t>.</w:t>
      </w:r>
    </w:p>
  </w:footnote>
  <w:footnote w:id="28">
    <w:p w14:paraId="3BA5D3B0" w14:textId="669680AF" w:rsidR="00F35935" w:rsidRPr="00DE55E4" w:rsidRDefault="00F35935">
      <w:pPr>
        <w:pStyle w:val="FootnoteText"/>
      </w:pPr>
      <w:r w:rsidRPr="00DE55E4">
        <w:rPr>
          <w:rStyle w:val="FootnoteReference"/>
        </w:rPr>
        <w:footnoteRef/>
      </w:r>
      <w:r w:rsidRPr="00DE55E4">
        <w:t xml:space="preserve"> </w:t>
      </w:r>
      <w:r w:rsidR="00AC6297">
        <w:t xml:space="preserve">See, for example, </w:t>
      </w:r>
      <w:r w:rsidR="00AC6297" w:rsidRPr="00582D2D">
        <w:rPr>
          <w:i/>
          <w:iCs/>
        </w:rPr>
        <w:t>Bank of New Zealand v Hawkins</w:t>
      </w:r>
      <w:r w:rsidR="00AC6297" w:rsidRPr="00AC6297">
        <w:t xml:space="preserve"> (1989) 1 PRNZ 451</w:t>
      </w:r>
      <w:r w:rsidR="00AC6297">
        <w:t>.</w:t>
      </w:r>
    </w:p>
  </w:footnote>
  <w:footnote w:id="29">
    <w:p w14:paraId="73D665E6" w14:textId="639FBCDE" w:rsidR="00F35935" w:rsidRPr="00DE55E4" w:rsidRDefault="00F35935">
      <w:pPr>
        <w:pStyle w:val="FootnoteText"/>
      </w:pPr>
      <w:r w:rsidRPr="00DE55E4">
        <w:rPr>
          <w:rStyle w:val="FootnoteReference"/>
        </w:rPr>
        <w:footnoteRef/>
      </w:r>
      <w:r w:rsidRPr="00DE55E4">
        <w:t xml:space="preserve"> </w:t>
      </w:r>
      <w:r w:rsidR="007B7341">
        <w:t xml:space="preserve">See, for example, </w:t>
      </w:r>
      <w:r w:rsidR="006A2745" w:rsidRPr="00582D2D">
        <w:rPr>
          <w:i/>
          <w:iCs/>
        </w:rPr>
        <w:t>Bouvier v Accent Delight International Ltd</w:t>
      </w:r>
      <w:r w:rsidR="006A2745">
        <w:t xml:space="preserve"> </w:t>
      </w:r>
      <w:r w:rsidR="00B472A7" w:rsidRPr="00B472A7">
        <w:t>[2015] 5 SLR 558</w:t>
      </w:r>
      <w:r w:rsidR="00B636AB">
        <w:t>,</w:t>
      </w:r>
      <w:r w:rsidR="00B472A7">
        <w:t xml:space="preserve"> [36].</w:t>
      </w:r>
    </w:p>
  </w:footnote>
  <w:footnote w:id="30">
    <w:p w14:paraId="69E8D7BF" w14:textId="6AD952AB" w:rsidR="009B2B16" w:rsidRPr="00582D2D" w:rsidRDefault="009B2B16">
      <w:pPr>
        <w:pStyle w:val="FootnoteText"/>
      </w:pPr>
      <w:r w:rsidRPr="00C44969">
        <w:rPr>
          <w:rStyle w:val="FootnoteReference"/>
        </w:rPr>
        <w:footnoteRef/>
      </w:r>
      <w:r w:rsidRPr="00DE55E4">
        <w:rPr>
          <w:lang w:val="nb-NO"/>
        </w:rPr>
        <w:t xml:space="preserve"> </w:t>
      </w:r>
      <w:r w:rsidR="00175B3E" w:rsidRPr="00582D2D">
        <w:rPr>
          <w:i/>
          <w:iCs/>
        </w:rPr>
        <w:t xml:space="preserve">Aetna Financial Services Ltd v </w:t>
      </w:r>
      <w:proofErr w:type="spellStart"/>
      <w:r w:rsidR="00175B3E" w:rsidRPr="00582D2D">
        <w:rPr>
          <w:i/>
          <w:iCs/>
        </w:rPr>
        <w:t>Feigelman</w:t>
      </w:r>
      <w:proofErr w:type="spellEnd"/>
      <w:r w:rsidR="00175B3E">
        <w:t xml:space="preserve"> [1985] 1 S.C.R. 2; </w:t>
      </w:r>
      <w:r w:rsidR="00175B3E" w:rsidRPr="00582D2D">
        <w:rPr>
          <w:i/>
          <w:iCs/>
        </w:rPr>
        <w:t xml:space="preserve">Eli Lilly Canada Inc v </w:t>
      </w:r>
      <w:proofErr w:type="spellStart"/>
      <w:r w:rsidR="00175B3E" w:rsidRPr="00582D2D">
        <w:rPr>
          <w:i/>
          <w:iCs/>
        </w:rPr>
        <w:t>Novopharm</w:t>
      </w:r>
      <w:proofErr w:type="spellEnd"/>
      <w:r w:rsidR="00175B3E" w:rsidRPr="00582D2D">
        <w:rPr>
          <w:i/>
          <w:iCs/>
        </w:rPr>
        <w:t xml:space="preserve"> Ltd</w:t>
      </w:r>
      <w:r w:rsidR="00175B3E">
        <w:t xml:space="preserve"> [2010] F</w:t>
      </w:r>
      <w:r w:rsidR="00CE6A6E">
        <w:t>.</w:t>
      </w:r>
      <w:r w:rsidR="00175B3E">
        <w:t>C</w:t>
      </w:r>
      <w:r w:rsidR="00CE6A6E">
        <w:t>.</w:t>
      </w:r>
      <w:r w:rsidR="00175B3E">
        <w:t>J</w:t>
      </w:r>
      <w:r w:rsidR="00CE6A6E">
        <w:t>.</w:t>
      </w:r>
      <w:r w:rsidR="00175B3E">
        <w:t xml:space="preserve"> No. 284</w:t>
      </w:r>
      <w:r w:rsidR="00B636AB">
        <w:t>,</w:t>
      </w:r>
      <w:r w:rsidR="00175B3E">
        <w:t xml:space="preserve"> [19(1)].</w:t>
      </w:r>
    </w:p>
  </w:footnote>
  <w:footnote w:id="31">
    <w:p w14:paraId="1022B42D" w14:textId="4385866C" w:rsidR="009D0187" w:rsidRPr="00331A62" w:rsidRDefault="009D0187" w:rsidP="004B6B7B">
      <w:pPr>
        <w:pStyle w:val="FootnoteText"/>
      </w:pPr>
      <w:r w:rsidRPr="002E6FCF">
        <w:rPr>
          <w:rStyle w:val="FootnoteReference"/>
        </w:rPr>
        <w:footnoteRef/>
      </w:r>
      <w:r w:rsidRPr="002E6FCF">
        <w:t xml:space="preserve"> </w:t>
      </w:r>
      <w:r w:rsidR="00B2193C" w:rsidRPr="002E6FCF">
        <w:t xml:space="preserve">See, for example, </w:t>
      </w:r>
      <w:r w:rsidR="00B2193C" w:rsidRPr="00582D2D">
        <w:rPr>
          <w:i/>
          <w:iCs/>
        </w:rPr>
        <w:t xml:space="preserve">R v Consolidated </w:t>
      </w:r>
      <w:proofErr w:type="spellStart"/>
      <w:r w:rsidR="00B2193C" w:rsidRPr="00582D2D">
        <w:rPr>
          <w:i/>
          <w:iCs/>
        </w:rPr>
        <w:t>Fastfrate</w:t>
      </w:r>
      <w:proofErr w:type="spellEnd"/>
      <w:r w:rsidR="00B2193C" w:rsidRPr="00582D2D">
        <w:rPr>
          <w:i/>
          <w:iCs/>
        </w:rPr>
        <w:t xml:space="preserve"> Transport Inc</w:t>
      </w:r>
      <w:r w:rsidR="00B2193C" w:rsidRPr="002E6FCF">
        <w:t xml:space="preserve"> [1995] O.J. No. 1855 (Ontario); </w:t>
      </w:r>
      <w:r w:rsidR="00B2193C" w:rsidRPr="00582D2D">
        <w:rPr>
          <w:i/>
          <w:iCs/>
        </w:rPr>
        <w:t>Cho v Twin Cities Power-Canada</w:t>
      </w:r>
      <w:r w:rsidR="00B2193C" w:rsidRPr="002E6FCF">
        <w:t xml:space="preserve"> [2012] A.J. No. 124</w:t>
      </w:r>
      <w:r w:rsidR="00B636AB">
        <w:t>,</w:t>
      </w:r>
      <w:r w:rsidR="00B2193C" w:rsidRPr="002E6FCF">
        <w:t xml:space="preserve"> [5]</w:t>
      </w:r>
      <w:r w:rsidR="004C1E70">
        <w:t xml:space="preserve"> (Alberta)</w:t>
      </w:r>
      <w:r w:rsidR="00B2193C" w:rsidRPr="002E6FCF">
        <w:t xml:space="preserve">; </w:t>
      </w:r>
      <w:r w:rsidR="00B2193C" w:rsidRPr="00582D2D">
        <w:rPr>
          <w:i/>
          <w:iCs/>
        </w:rPr>
        <w:t>Tobin v Beck</w:t>
      </w:r>
      <w:r w:rsidR="00B2193C" w:rsidRPr="002E6FCF">
        <w:t xml:space="preserve"> [2017] N.S.J. No. 174</w:t>
      </w:r>
      <w:r w:rsidR="00B636AB">
        <w:t>,</w:t>
      </w:r>
      <w:r w:rsidR="00B2193C" w:rsidRPr="002E6FCF">
        <w:t xml:space="preserve"> [3] (Novia Scotia); </w:t>
      </w:r>
      <w:r w:rsidR="00B2193C" w:rsidRPr="00582D2D">
        <w:rPr>
          <w:i/>
          <w:iCs/>
        </w:rPr>
        <w:t>Farmers Edge Inc v Precision Weather Solutions Inc</w:t>
      </w:r>
      <w:r w:rsidR="00B2193C" w:rsidRPr="002E6FCF">
        <w:t xml:space="preserve"> [2021] M.J. No. 78</w:t>
      </w:r>
      <w:r w:rsidR="00B636AB">
        <w:t>,</w:t>
      </w:r>
      <w:r w:rsidR="00B2193C" w:rsidRPr="002E6FCF">
        <w:t xml:space="preserve"> [30] (Manitoba)</w:t>
      </w:r>
      <w:r w:rsidR="004C1E70">
        <w:t>. Cf British Columbia</w:t>
      </w:r>
      <w:r w:rsidR="00331A62">
        <w:t xml:space="preserve">, </w:t>
      </w:r>
      <w:r w:rsidR="000C0CDB">
        <w:t xml:space="preserve">the courts of </w:t>
      </w:r>
      <w:r w:rsidR="00331A62">
        <w:t xml:space="preserve">which insist only on “a strong </w:t>
      </w:r>
      <w:r w:rsidR="00331A62">
        <w:rPr>
          <w:i/>
          <w:iCs/>
        </w:rPr>
        <w:t xml:space="preserve">prima facie </w:t>
      </w:r>
      <w:r w:rsidR="00331A62">
        <w:t xml:space="preserve">case or a good arguable case”: </w:t>
      </w:r>
      <w:r w:rsidR="004B6B7B" w:rsidRPr="00582D2D">
        <w:rPr>
          <w:i/>
          <w:iCs/>
        </w:rPr>
        <w:t>Mooney v Orr (No.2)</w:t>
      </w:r>
      <w:r w:rsidR="004B6B7B">
        <w:t xml:space="preserve"> [1994] B.C.J. No. 2652.</w:t>
      </w:r>
    </w:p>
  </w:footnote>
  <w:footnote w:id="32">
    <w:p w14:paraId="75F9FB27" w14:textId="3DF40CEA" w:rsidR="00F35935" w:rsidRPr="00DE55E4" w:rsidRDefault="00F35935">
      <w:pPr>
        <w:pStyle w:val="FootnoteText"/>
      </w:pPr>
      <w:r w:rsidRPr="00C719AE">
        <w:rPr>
          <w:rStyle w:val="FootnoteReference"/>
        </w:rPr>
        <w:footnoteRef/>
      </w:r>
      <w:r w:rsidRPr="00C719AE">
        <w:t xml:space="preserve"> </w:t>
      </w:r>
      <w:r w:rsidR="00EF36F3" w:rsidRPr="00C719AE">
        <w:t>Section</w:t>
      </w:r>
      <w:r w:rsidR="00EF36F3">
        <w:t xml:space="preserve"> 6212 CPLR; </w:t>
      </w:r>
      <w:r w:rsidR="00EF36F3" w:rsidRPr="00582D2D">
        <w:rPr>
          <w:i/>
          <w:iCs/>
        </w:rPr>
        <w:t>Silvestre v De Loaiza</w:t>
      </w:r>
      <w:r w:rsidR="00EF36F3" w:rsidRPr="00582D2D">
        <w:t xml:space="preserve"> 820 N.Y.S.2d 440 </w:t>
      </w:r>
      <w:r w:rsidR="000D62A7" w:rsidRPr="00582D2D">
        <w:t>(N.Y. Sup. Ct. 2006)</w:t>
      </w:r>
      <w:r w:rsidR="00B636AB">
        <w:t>,</w:t>
      </w:r>
      <w:r w:rsidR="00EF36F3" w:rsidRPr="00582D2D">
        <w:t xml:space="preserve"> 442; </w:t>
      </w:r>
      <w:r w:rsidR="00EF36F3" w:rsidRPr="00582D2D">
        <w:rPr>
          <w:i/>
          <w:iCs/>
        </w:rPr>
        <w:t>Re Amaranth Natural Gas Commodities Litigation</w:t>
      </w:r>
      <w:r w:rsidR="00EF36F3" w:rsidRPr="00582D2D">
        <w:t xml:space="preserve"> (2010</w:t>
      </w:r>
      <w:r w:rsidR="00EF36F3">
        <w:t xml:space="preserve">) </w:t>
      </w:r>
      <w:r w:rsidR="00EF36F3" w:rsidRPr="00FA0222">
        <w:t xml:space="preserve">711 </w:t>
      </w:r>
      <w:proofErr w:type="spellStart"/>
      <w:r w:rsidR="00EF36F3" w:rsidRPr="00FA0222">
        <w:t>F.Supp</w:t>
      </w:r>
      <w:proofErr w:type="spellEnd"/>
      <w:r w:rsidR="00EF36F3" w:rsidRPr="00FA0222">
        <w:t xml:space="preserve">. 2d 301 </w:t>
      </w:r>
      <w:r w:rsidR="00C719AE">
        <w:t>(S.D.N.Y. 2010)</w:t>
      </w:r>
      <w:r w:rsidR="00B636AB">
        <w:t>,</w:t>
      </w:r>
      <w:r w:rsidR="00EF36F3" w:rsidRPr="00FA0222">
        <w:t xml:space="preserve"> 306</w:t>
      </w:r>
      <w:r w:rsidR="00EF36F3">
        <w:t>.</w:t>
      </w:r>
    </w:p>
  </w:footnote>
  <w:footnote w:id="33">
    <w:p w14:paraId="56DD973B" w14:textId="08A6B03E" w:rsidR="009F7726" w:rsidRPr="007B7341" w:rsidRDefault="009F7726">
      <w:pPr>
        <w:pStyle w:val="FootnoteText"/>
      </w:pPr>
      <w:r w:rsidRPr="000F268B">
        <w:rPr>
          <w:rStyle w:val="FootnoteReference"/>
        </w:rPr>
        <w:footnoteRef/>
      </w:r>
      <w:r w:rsidRPr="00DE55E4">
        <w:t xml:space="preserve"> </w:t>
      </w:r>
      <w:r w:rsidR="009B11F8" w:rsidRPr="009D521F">
        <w:t>Art.L511-1</w:t>
      </w:r>
      <w:r w:rsidR="009B11F8">
        <w:t xml:space="preserve"> </w:t>
      </w:r>
      <w:r w:rsidR="009B11F8" w:rsidRPr="00D57B65">
        <w:t xml:space="preserve">Code des </w:t>
      </w:r>
      <w:proofErr w:type="spellStart"/>
      <w:r w:rsidR="009B11F8" w:rsidRPr="00D57B65">
        <w:t>procédures</w:t>
      </w:r>
      <w:proofErr w:type="spellEnd"/>
      <w:r w:rsidR="009B11F8" w:rsidRPr="00D57B65">
        <w:t xml:space="preserve"> </w:t>
      </w:r>
      <w:proofErr w:type="spellStart"/>
      <w:r w:rsidR="009B11F8" w:rsidRPr="00D57B65">
        <w:t>civiles</w:t>
      </w:r>
      <w:proofErr w:type="spellEnd"/>
      <w:r w:rsidR="009B11F8" w:rsidRPr="00D57B65">
        <w:t xml:space="preserve"> </w:t>
      </w:r>
      <w:proofErr w:type="spellStart"/>
      <w:r w:rsidR="009B11F8" w:rsidRPr="00D57B65">
        <w:t>d’exécution</w:t>
      </w:r>
      <w:proofErr w:type="spellEnd"/>
      <w:r w:rsidR="007B7341">
        <w:t>.</w:t>
      </w:r>
    </w:p>
  </w:footnote>
  <w:footnote w:id="34">
    <w:p w14:paraId="2C486EA0" w14:textId="49F3CE53" w:rsidR="009F7726" w:rsidRPr="00DE55E4" w:rsidRDefault="009F7726" w:rsidP="00F3698F">
      <w:pPr>
        <w:pStyle w:val="FootnoteText"/>
      </w:pPr>
      <w:r w:rsidRPr="00DE55E4">
        <w:rPr>
          <w:rStyle w:val="FootnoteReference"/>
        </w:rPr>
        <w:footnoteRef/>
      </w:r>
      <w:r w:rsidRPr="00DE55E4">
        <w:t xml:space="preserve"> </w:t>
      </w:r>
      <w:r w:rsidR="00F3698F" w:rsidRPr="00582D2D">
        <w:rPr>
          <w:i/>
          <w:iCs/>
        </w:rPr>
        <w:t>Al Sadeq v Dechert LLP</w:t>
      </w:r>
      <w:r w:rsidR="0098546A">
        <w:rPr>
          <w:i/>
          <w:iCs/>
        </w:rPr>
        <w:t xml:space="preserve"> </w:t>
      </w:r>
      <w:r w:rsidR="007F6656">
        <w:rPr>
          <w:i/>
          <w:iCs/>
        </w:rPr>
        <w:t>&amp; Ors</w:t>
      </w:r>
      <w:r w:rsidR="00F3698F" w:rsidRPr="00DE55E4">
        <w:t xml:space="preserve"> [2024] K.B. 1038.</w:t>
      </w:r>
    </w:p>
  </w:footnote>
  <w:footnote w:id="35">
    <w:p w14:paraId="33A0463B" w14:textId="243676EE" w:rsidR="001F3998" w:rsidRPr="00DE55E4" w:rsidRDefault="001F3998" w:rsidP="001F3998">
      <w:pPr>
        <w:pStyle w:val="FootnoteText"/>
      </w:pPr>
      <w:r w:rsidRPr="00DE55E4">
        <w:rPr>
          <w:rStyle w:val="FootnoteReference"/>
        </w:rPr>
        <w:footnoteRef/>
      </w:r>
      <w:r w:rsidRPr="00DE55E4">
        <w:t xml:space="preserve"> [1983] 1 W</w:t>
      </w:r>
      <w:r w:rsidR="00E9568D">
        <w:t>.</w:t>
      </w:r>
      <w:r w:rsidRPr="00DE55E4">
        <w:t>L</w:t>
      </w:r>
      <w:r w:rsidR="00E9568D">
        <w:t>.</w:t>
      </w:r>
      <w:r w:rsidRPr="00DE55E4">
        <w:t>R</w:t>
      </w:r>
      <w:r w:rsidR="00E9568D">
        <w:t>.</w:t>
      </w:r>
      <w:r w:rsidRPr="00DE55E4">
        <w:t xml:space="preserve"> 1412</w:t>
      </w:r>
      <w:r w:rsidR="00B636AB">
        <w:t>,</w:t>
      </w:r>
      <w:r w:rsidRPr="00DE55E4">
        <w:t xml:space="preserve"> 1422</w:t>
      </w:r>
      <w:r w:rsidR="006807C4" w:rsidRPr="00DE55E4">
        <w:t>H</w:t>
      </w:r>
      <w:r w:rsidR="00582D2D">
        <w:t>.</w:t>
      </w:r>
    </w:p>
  </w:footnote>
  <w:footnote w:id="36">
    <w:p w14:paraId="4B7E2C71" w14:textId="06EEAA8F" w:rsidR="004A1DCA" w:rsidRPr="00DE55E4" w:rsidRDefault="004A1DCA">
      <w:pPr>
        <w:pStyle w:val="FootnoteText"/>
      </w:pPr>
      <w:r w:rsidRPr="00DE55E4">
        <w:rPr>
          <w:rStyle w:val="FootnoteReference"/>
        </w:rPr>
        <w:footnoteRef/>
      </w:r>
      <w:r w:rsidRPr="00DE55E4">
        <w:t xml:space="preserve"> As Christopher Clarke J said in </w:t>
      </w:r>
      <w:r w:rsidRPr="00DE55E4">
        <w:rPr>
          <w:i/>
          <w:iCs/>
        </w:rPr>
        <w:t xml:space="preserve">TTMI Ltd </w:t>
      </w:r>
      <w:r w:rsidR="004B1CF6" w:rsidRPr="00DE55E4">
        <w:rPr>
          <w:i/>
          <w:iCs/>
        </w:rPr>
        <w:t xml:space="preserve">of England </w:t>
      </w:r>
      <w:r w:rsidRPr="00DE55E4">
        <w:rPr>
          <w:i/>
          <w:iCs/>
        </w:rPr>
        <w:t>v ASM Shipping Ltd of India</w:t>
      </w:r>
      <w:r w:rsidRPr="00DE55E4">
        <w:t xml:space="preserve"> [2005] EWHC 2666 (Comm)</w:t>
      </w:r>
      <w:r w:rsidR="00B636AB">
        <w:t>,</w:t>
      </w:r>
      <w:r w:rsidR="006807C4" w:rsidRPr="00DE55E4">
        <w:t xml:space="preserve"> [25]</w:t>
      </w:r>
      <w:r w:rsidRPr="00DE55E4">
        <w:t xml:space="preserve">, “it is not necessary to establish that the defendant is likely to act with the object of putting his assets beyond reach”.  </w:t>
      </w:r>
    </w:p>
  </w:footnote>
  <w:footnote w:id="37">
    <w:p w14:paraId="1472D2DA" w14:textId="74CF6F8C" w:rsidR="00EB6098" w:rsidRPr="00DE55E4" w:rsidRDefault="00EB6098" w:rsidP="00947617">
      <w:pPr>
        <w:pStyle w:val="FootnoteText"/>
      </w:pPr>
      <w:r w:rsidRPr="00DE55E4">
        <w:rPr>
          <w:rStyle w:val="FootnoteReference"/>
        </w:rPr>
        <w:footnoteRef/>
      </w:r>
      <w:r w:rsidRPr="00DE55E4">
        <w:t xml:space="preserve"> </w:t>
      </w:r>
      <w:r w:rsidR="00D033D8" w:rsidRPr="00DE55E4">
        <w:rPr>
          <w:i/>
          <w:iCs/>
        </w:rPr>
        <w:t>Fundo Soberano de Angola</w:t>
      </w:r>
      <w:r w:rsidR="000B4F0F">
        <w:rPr>
          <w:i/>
          <w:iCs/>
        </w:rPr>
        <w:t xml:space="preserve"> </w:t>
      </w:r>
      <w:r w:rsidR="007F6656">
        <w:rPr>
          <w:i/>
          <w:iCs/>
        </w:rPr>
        <w:t>&amp; Ors</w:t>
      </w:r>
      <w:r w:rsidR="00D033D8" w:rsidRPr="00DE55E4">
        <w:rPr>
          <w:i/>
          <w:iCs/>
        </w:rPr>
        <w:t xml:space="preserve"> v dos Santos</w:t>
      </w:r>
      <w:r w:rsidR="000B4F0F">
        <w:rPr>
          <w:i/>
          <w:iCs/>
        </w:rPr>
        <w:t xml:space="preserve"> </w:t>
      </w:r>
      <w:r w:rsidR="007F6656">
        <w:rPr>
          <w:i/>
          <w:iCs/>
        </w:rPr>
        <w:t>&amp; Ors</w:t>
      </w:r>
      <w:r w:rsidR="00D033D8" w:rsidRPr="00DE55E4">
        <w:t xml:space="preserve"> [2018] EWHC 2199 (Comm)</w:t>
      </w:r>
      <w:r w:rsidR="00B636AB">
        <w:t>,</w:t>
      </w:r>
      <w:r w:rsidR="00D033D8" w:rsidRPr="00DE55E4">
        <w:t xml:space="preserve"> </w:t>
      </w:r>
      <w:r w:rsidR="00B45614" w:rsidRPr="00DE55E4">
        <w:t>[</w:t>
      </w:r>
      <w:r w:rsidR="00D033D8" w:rsidRPr="00DE55E4">
        <w:t>86(6)</w:t>
      </w:r>
      <w:r w:rsidR="00B45614" w:rsidRPr="00DE55E4">
        <w:t>]</w:t>
      </w:r>
      <w:r w:rsidR="00D61B5B">
        <w:t>,</w:t>
      </w:r>
      <w:r w:rsidR="00D033D8" w:rsidRPr="00DE55E4">
        <w:t xml:space="preserve"> in a passage approved by the Court of Appeal </w:t>
      </w:r>
      <w:r w:rsidR="00414CFB" w:rsidRPr="00DE55E4">
        <w:t xml:space="preserve">in </w:t>
      </w:r>
      <w:proofErr w:type="spellStart"/>
      <w:r w:rsidR="00252A04" w:rsidRPr="00582D2D">
        <w:rPr>
          <w:i/>
          <w:iCs/>
        </w:rPr>
        <w:t>Lakatamia</w:t>
      </w:r>
      <w:proofErr w:type="spellEnd"/>
      <w:r w:rsidR="00252A04" w:rsidRPr="00582D2D">
        <w:rPr>
          <w:i/>
          <w:iCs/>
        </w:rPr>
        <w:t xml:space="preserve"> Shipping Co Ltd v Morimoto</w:t>
      </w:r>
      <w:r w:rsidR="00252A04" w:rsidRPr="00DE55E4">
        <w:t xml:space="preserve"> [2020] 2 All E.R. (Comm) 359</w:t>
      </w:r>
      <w:r w:rsidR="00B636AB">
        <w:t>,</w:t>
      </w:r>
      <w:r w:rsidR="00252A04" w:rsidRPr="00DE55E4">
        <w:t xml:space="preserve"> [34]</w:t>
      </w:r>
      <w:r w:rsidR="00241E31" w:rsidRPr="00DE55E4">
        <w:t>. See also</w:t>
      </w:r>
      <w:r w:rsidR="00582D2D">
        <w:t xml:space="preserve"> </w:t>
      </w:r>
      <w:r w:rsidR="00632C15" w:rsidRPr="00DE55E4">
        <w:rPr>
          <w:i/>
          <w:iCs/>
        </w:rPr>
        <w:t>Organic Grape Spirit Ltd v Nueva IQT SL</w:t>
      </w:r>
      <w:r w:rsidR="00632C15" w:rsidRPr="00DE55E4">
        <w:t xml:space="preserve"> </w:t>
      </w:r>
      <w:r w:rsidR="00595373" w:rsidRPr="00DE55E4">
        <w:t>[2020] 2 C.L.C. 176</w:t>
      </w:r>
      <w:r w:rsidR="00B636AB">
        <w:t>,</w:t>
      </w:r>
      <w:r w:rsidR="00947617" w:rsidRPr="00DE55E4">
        <w:t xml:space="preserve"> [</w:t>
      </w:r>
      <w:r w:rsidR="0076476C" w:rsidRPr="00DE55E4">
        <w:t>1</w:t>
      </w:r>
      <w:r w:rsidR="00947617" w:rsidRPr="00DE55E4">
        <w:t>5].</w:t>
      </w:r>
    </w:p>
  </w:footnote>
  <w:footnote w:id="38">
    <w:p w14:paraId="17CAA117" w14:textId="627416B7" w:rsidR="003C0452" w:rsidRPr="00DE55E4" w:rsidRDefault="003C0452">
      <w:pPr>
        <w:pStyle w:val="FootnoteText"/>
      </w:pPr>
      <w:r w:rsidRPr="00DE55E4">
        <w:rPr>
          <w:rStyle w:val="FootnoteReference"/>
        </w:rPr>
        <w:footnoteRef/>
      </w:r>
      <w:r w:rsidRPr="00DE55E4">
        <w:t xml:space="preserve"> </w:t>
      </w:r>
      <w:r w:rsidR="002E3101" w:rsidRPr="00582D2D">
        <w:rPr>
          <w:i/>
          <w:iCs/>
        </w:rPr>
        <w:t xml:space="preserve">Iraqi Ministry of Defence </w:t>
      </w:r>
      <w:r w:rsidR="007F6656">
        <w:rPr>
          <w:i/>
          <w:iCs/>
        </w:rPr>
        <w:t>&amp; Ors</w:t>
      </w:r>
      <w:r w:rsidR="002E3101" w:rsidRPr="00582D2D">
        <w:rPr>
          <w:i/>
          <w:iCs/>
        </w:rPr>
        <w:t xml:space="preserve"> v </w:t>
      </w:r>
      <w:proofErr w:type="spellStart"/>
      <w:r w:rsidR="002E3101" w:rsidRPr="00582D2D">
        <w:rPr>
          <w:i/>
          <w:iCs/>
        </w:rPr>
        <w:t>Arcepey</w:t>
      </w:r>
      <w:proofErr w:type="spellEnd"/>
      <w:r w:rsidR="002E3101" w:rsidRPr="00582D2D">
        <w:rPr>
          <w:i/>
          <w:iCs/>
        </w:rPr>
        <w:t xml:space="preserve"> Shipping Co. S.A. (The Angel Bell)</w:t>
      </w:r>
      <w:r w:rsidR="002E3101" w:rsidRPr="00DE55E4">
        <w:t xml:space="preserve"> [1981] Q.B. 65.</w:t>
      </w:r>
    </w:p>
  </w:footnote>
  <w:footnote w:id="39">
    <w:p w14:paraId="18E7C941" w14:textId="37663294" w:rsidR="003C0452" w:rsidRPr="00DE55E4" w:rsidRDefault="003C0452" w:rsidP="003C0452">
      <w:pPr>
        <w:pStyle w:val="FootnoteText"/>
      </w:pPr>
      <w:r w:rsidRPr="00DE55E4">
        <w:rPr>
          <w:rStyle w:val="FootnoteReference"/>
        </w:rPr>
        <w:footnoteRef/>
      </w:r>
      <w:r w:rsidRPr="00DE55E4">
        <w:t xml:space="preserve"> </w:t>
      </w:r>
      <w:r w:rsidRPr="00DE55E4">
        <w:rPr>
          <w:i/>
          <w:iCs/>
        </w:rPr>
        <w:t>JSC BTA Bank v Ablyazov (No 3)</w:t>
      </w:r>
      <w:r w:rsidRPr="00DE55E4">
        <w:t xml:space="preserve"> [2011] Bus L</w:t>
      </w:r>
      <w:r w:rsidR="00A445D5">
        <w:t>.</w:t>
      </w:r>
      <w:r w:rsidRPr="00DE55E4">
        <w:t>R</w:t>
      </w:r>
      <w:r w:rsidR="00A445D5">
        <w:t>.</w:t>
      </w:r>
      <w:r w:rsidRPr="00DE55E4">
        <w:t xml:space="preserve"> D119</w:t>
      </w:r>
      <w:r w:rsidR="00B636AB">
        <w:t>,</w:t>
      </w:r>
      <w:r w:rsidRPr="00DE55E4">
        <w:t xml:space="preserve"> [75]</w:t>
      </w:r>
      <w:r w:rsidR="00407A85" w:rsidRPr="00DE55E4">
        <w:t>.</w:t>
      </w:r>
    </w:p>
  </w:footnote>
  <w:footnote w:id="40">
    <w:p w14:paraId="28568314" w14:textId="4E4F6651" w:rsidR="003C0452" w:rsidRPr="00DE55E4" w:rsidRDefault="003C0452" w:rsidP="003C0452">
      <w:pPr>
        <w:pStyle w:val="FootnoteText"/>
      </w:pPr>
      <w:r w:rsidRPr="0058787D">
        <w:rPr>
          <w:rStyle w:val="FootnoteReference"/>
        </w:rPr>
        <w:footnoteRef/>
      </w:r>
      <w:r w:rsidRPr="0058787D">
        <w:t xml:space="preserve"> </w:t>
      </w:r>
      <w:r w:rsidR="00D32FC9" w:rsidRPr="0058787D">
        <w:t>S</w:t>
      </w:r>
      <w:r w:rsidR="00D32FC9">
        <w:t xml:space="preserve">ee, for example, </w:t>
      </w:r>
      <w:r w:rsidR="00D32FC9" w:rsidRPr="00582D2D">
        <w:rPr>
          <w:i/>
          <w:iCs/>
        </w:rPr>
        <w:t>Marine Atlantic Inc v Blyth</w:t>
      </w:r>
      <w:r w:rsidR="00D32FC9">
        <w:t xml:space="preserve"> [1993] F.C.J. No. 1381</w:t>
      </w:r>
      <w:r w:rsidR="00B636AB">
        <w:t>,</w:t>
      </w:r>
      <w:r w:rsidR="00D32FC9">
        <w:t xml:space="preserve"> [9]; </w:t>
      </w:r>
      <w:r w:rsidR="00D32FC9" w:rsidRPr="00582D2D">
        <w:rPr>
          <w:i/>
          <w:iCs/>
        </w:rPr>
        <w:t>Front Carriers Ltd v Atlantic &amp; Orient Shipping Co</w:t>
      </w:r>
      <w:r w:rsidR="00D32FC9">
        <w:t xml:space="preserve"> [2006] F.C.J. No. 26</w:t>
      </w:r>
      <w:r w:rsidR="00B636AB">
        <w:t>,</w:t>
      </w:r>
      <w:r w:rsidR="00D32FC9">
        <w:t xml:space="preserve"> [40]-[42]; </w:t>
      </w:r>
      <w:r w:rsidR="00D32FC9" w:rsidRPr="00582D2D">
        <w:rPr>
          <w:i/>
          <w:iCs/>
        </w:rPr>
        <w:t xml:space="preserve">Unilin </w:t>
      </w:r>
      <w:proofErr w:type="spellStart"/>
      <w:r w:rsidR="00D32FC9" w:rsidRPr="00582D2D">
        <w:rPr>
          <w:i/>
          <w:iCs/>
        </w:rPr>
        <w:t>Beheer</w:t>
      </w:r>
      <w:proofErr w:type="spellEnd"/>
      <w:r w:rsidR="00D32FC9" w:rsidRPr="00582D2D">
        <w:rPr>
          <w:i/>
          <w:iCs/>
        </w:rPr>
        <w:t xml:space="preserve"> B.V. v </w:t>
      </w:r>
      <w:proofErr w:type="spellStart"/>
      <w:r w:rsidR="00D32FC9" w:rsidRPr="00582D2D">
        <w:rPr>
          <w:i/>
          <w:iCs/>
        </w:rPr>
        <w:t>Triforest</w:t>
      </w:r>
      <w:proofErr w:type="spellEnd"/>
      <w:r w:rsidR="00D32FC9" w:rsidRPr="00582D2D">
        <w:rPr>
          <w:i/>
          <w:iCs/>
        </w:rPr>
        <w:t xml:space="preserve"> Inc</w:t>
      </w:r>
      <w:r w:rsidR="00D32FC9">
        <w:t xml:space="preserve"> [2017] F.C.J. No. 1330</w:t>
      </w:r>
      <w:r w:rsidR="00B636AB">
        <w:t>,</w:t>
      </w:r>
      <w:r w:rsidR="00D32FC9">
        <w:t xml:space="preserve"> [87]-[91].</w:t>
      </w:r>
    </w:p>
  </w:footnote>
  <w:footnote w:id="41">
    <w:p w14:paraId="64B61BCF" w14:textId="00CE6C6A" w:rsidR="003C0452" w:rsidRPr="00DE55E4" w:rsidRDefault="003C0452" w:rsidP="003C0452">
      <w:pPr>
        <w:pStyle w:val="FootnoteText"/>
      </w:pPr>
      <w:r w:rsidRPr="004463EC">
        <w:rPr>
          <w:rStyle w:val="FootnoteReference"/>
        </w:rPr>
        <w:footnoteRef/>
      </w:r>
      <w:r w:rsidRPr="004463EC">
        <w:t xml:space="preserve"> </w:t>
      </w:r>
      <w:r w:rsidR="00F50A76" w:rsidRPr="004463EC">
        <w:t xml:space="preserve">See, for example, </w:t>
      </w:r>
      <w:r w:rsidR="000378F4" w:rsidRPr="00582D2D">
        <w:rPr>
          <w:i/>
          <w:iCs/>
        </w:rPr>
        <w:t>Scotia Wholesale Ltd v Magliaro</w:t>
      </w:r>
      <w:r w:rsidR="000378F4" w:rsidRPr="004463EC">
        <w:t xml:space="preserve"> [1987] N.S.J. No. 615 (Novia Scotia); </w:t>
      </w:r>
      <w:r w:rsidR="007A438C" w:rsidRPr="00582D2D">
        <w:rPr>
          <w:i/>
          <w:iCs/>
        </w:rPr>
        <w:t xml:space="preserve">Clark v </w:t>
      </w:r>
      <w:proofErr w:type="spellStart"/>
      <w:r w:rsidR="007A438C" w:rsidRPr="00582D2D">
        <w:rPr>
          <w:i/>
          <w:iCs/>
        </w:rPr>
        <w:t>Nucare</w:t>
      </w:r>
      <w:proofErr w:type="spellEnd"/>
      <w:r w:rsidR="007A438C" w:rsidRPr="00582D2D">
        <w:rPr>
          <w:i/>
          <w:iCs/>
        </w:rPr>
        <w:t xml:space="preserve"> PLC</w:t>
      </w:r>
      <w:r w:rsidR="007A438C" w:rsidRPr="004463EC">
        <w:t xml:space="preserve"> [2006] M.J. No. 320</w:t>
      </w:r>
      <w:r w:rsidR="009715F1">
        <w:t xml:space="preserve"> at [41]-[47]</w:t>
      </w:r>
      <w:r w:rsidR="004D26D1">
        <w:t xml:space="preserve">; </w:t>
      </w:r>
      <w:r w:rsidR="004D26D1" w:rsidRPr="00C74805">
        <w:rPr>
          <w:i/>
          <w:iCs/>
        </w:rPr>
        <w:t>Farmers Edge Inc v Precision Weather Solutions Inc</w:t>
      </w:r>
      <w:r w:rsidR="004D26D1">
        <w:t xml:space="preserve"> [2021] M.J. No. 78 at [29]-[32]</w:t>
      </w:r>
      <w:r w:rsidR="007A438C" w:rsidRPr="004463EC">
        <w:t xml:space="preserve"> (Manitoba)</w:t>
      </w:r>
      <w:r w:rsidR="001F6C58" w:rsidRPr="00582D2D">
        <w:t xml:space="preserve">. The position in Ontario is </w:t>
      </w:r>
      <w:r w:rsidR="00286AFB">
        <w:t>less</w:t>
      </w:r>
      <w:r w:rsidR="00DC675D">
        <w:t xml:space="preserve"> </w:t>
      </w:r>
      <w:r w:rsidR="00286AFB">
        <w:t>settled</w:t>
      </w:r>
      <w:r w:rsidR="00D57B65">
        <w:t>, as illustrated by</w:t>
      </w:r>
      <w:r w:rsidR="00DC675D">
        <w:t>, for example,</w:t>
      </w:r>
      <w:r w:rsidR="001F6C58" w:rsidRPr="00582D2D">
        <w:t xml:space="preserve"> </w:t>
      </w:r>
      <w:r w:rsidR="006A2805" w:rsidRPr="00582D2D">
        <w:rPr>
          <w:i/>
          <w:iCs/>
        </w:rPr>
        <w:t xml:space="preserve">R v Consolidated </w:t>
      </w:r>
      <w:proofErr w:type="spellStart"/>
      <w:r w:rsidR="006A2805" w:rsidRPr="00582D2D">
        <w:rPr>
          <w:i/>
          <w:iCs/>
        </w:rPr>
        <w:t>Fastfrate</w:t>
      </w:r>
      <w:proofErr w:type="spellEnd"/>
      <w:r w:rsidR="006A2805" w:rsidRPr="00582D2D">
        <w:rPr>
          <w:i/>
          <w:iCs/>
        </w:rPr>
        <w:t xml:space="preserve"> Transport Inc</w:t>
      </w:r>
      <w:r w:rsidR="006A2805" w:rsidRPr="004463EC">
        <w:t xml:space="preserve"> [1995] O.J. No. 1855; </w:t>
      </w:r>
      <w:r w:rsidR="00E03B8B" w:rsidRPr="00582D2D">
        <w:rPr>
          <w:i/>
          <w:iCs/>
        </w:rPr>
        <w:t>Kingston v GMA Cover Corp</w:t>
      </w:r>
      <w:r w:rsidR="00E03B8B" w:rsidRPr="004463EC">
        <w:t xml:space="preserve"> [2021] O.J. No. 4137</w:t>
      </w:r>
      <w:r w:rsidR="00B636AB">
        <w:t>,</w:t>
      </w:r>
      <w:r w:rsidR="00E03B8B" w:rsidRPr="004463EC">
        <w:t xml:space="preserve"> [66]-[74]; </w:t>
      </w:r>
      <w:r w:rsidR="005B5AA0" w:rsidRPr="00582D2D">
        <w:rPr>
          <w:i/>
          <w:iCs/>
        </w:rPr>
        <w:t>10390160 Canada Ltd v Casey</w:t>
      </w:r>
      <w:r w:rsidR="005B5AA0" w:rsidRPr="004463EC">
        <w:t xml:space="preserve"> [2022] O.J. No. 473</w:t>
      </w:r>
      <w:r w:rsidR="00B636AB">
        <w:t>,</w:t>
      </w:r>
      <w:r w:rsidR="005B5AA0" w:rsidRPr="004463EC">
        <w:t xml:space="preserve"> [43]-[47]</w:t>
      </w:r>
      <w:r w:rsidR="001F6C58" w:rsidRPr="004463EC">
        <w:t>.</w:t>
      </w:r>
    </w:p>
  </w:footnote>
  <w:footnote w:id="42">
    <w:p w14:paraId="3FAF548E" w14:textId="61D710C0" w:rsidR="003C0452" w:rsidRPr="00DE55E4" w:rsidRDefault="003C0452">
      <w:pPr>
        <w:pStyle w:val="FootnoteText"/>
      </w:pPr>
      <w:r w:rsidRPr="00DE55E4">
        <w:rPr>
          <w:rStyle w:val="FootnoteReference"/>
        </w:rPr>
        <w:footnoteRef/>
      </w:r>
      <w:r w:rsidRPr="00DE55E4">
        <w:t xml:space="preserve"> </w:t>
      </w:r>
      <w:r w:rsidR="00FA4574" w:rsidRPr="00582D2D">
        <w:rPr>
          <w:i/>
          <w:iCs/>
        </w:rPr>
        <w:t xml:space="preserve">Unilin </w:t>
      </w:r>
      <w:proofErr w:type="spellStart"/>
      <w:r w:rsidR="00FA4574" w:rsidRPr="00582D2D">
        <w:rPr>
          <w:i/>
          <w:iCs/>
        </w:rPr>
        <w:t>Beheer</w:t>
      </w:r>
      <w:proofErr w:type="spellEnd"/>
      <w:r w:rsidR="00FA4574" w:rsidRPr="00582D2D">
        <w:rPr>
          <w:i/>
          <w:iCs/>
        </w:rPr>
        <w:t xml:space="preserve"> B.V. v </w:t>
      </w:r>
      <w:proofErr w:type="spellStart"/>
      <w:r w:rsidR="00FA4574" w:rsidRPr="00582D2D">
        <w:rPr>
          <w:i/>
          <w:iCs/>
        </w:rPr>
        <w:t>Triforest</w:t>
      </w:r>
      <w:proofErr w:type="spellEnd"/>
      <w:r w:rsidR="00FA4574" w:rsidRPr="00582D2D">
        <w:rPr>
          <w:i/>
          <w:iCs/>
        </w:rPr>
        <w:t xml:space="preserve"> Inc</w:t>
      </w:r>
      <w:r w:rsidR="00FA4574">
        <w:t xml:space="preserve"> [2017] F.C.J. No. 1330</w:t>
      </w:r>
      <w:r w:rsidR="00582D2D">
        <w:t>.</w:t>
      </w:r>
    </w:p>
  </w:footnote>
  <w:footnote w:id="43">
    <w:p w14:paraId="22A284C9" w14:textId="3149D8E1" w:rsidR="003C0452" w:rsidRPr="00DE55E4" w:rsidRDefault="003C0452">
      <w:pPr>
        <w:pStyle w:val="FootnoteText"/>
      </w:pPr>
      <w:r w:rsidRPr="0028068E">
        <w:rPr>
          <w:rStyle w:val="FootnoteReference"/>
        </w:rPr>
        <w:footnoteRef/>
      </w:r>
      <w:r w:rsidRPr="00DE55E4">
        <w:t xml:space="preserve"> </w:t>
      </w:r>
      <w:r w:rsidR="00370E95" w:rsidRPr="00582D2D">
        <w:rPr>
          <w:i/>
          <w:iCs/>
        </w:rPr>
        <w:t>Computer Strategies Inc v Commodore Business Machines Inc</w:t>
      </w:r>
      <w:r w:rsidR="00370E95" w:rsidRPr="00582D2D">
        <w:t xml:space="preserve"> 105 A.D.2d 167 (2</w:t>
      </w:r>
      <w:r w:rsidR="00370E95" w:rsidRPr="00582D2D">
        <w:rPr>
          <w:vertAlign w:val="superscript"/>
        </w:rPr>
        <w:t>nd</w:t>
      </w:r>
      <w:r w:rsidR="00370E95" w:rsidRPr="00582D2D">
        <w:t xml:space="preserve"> </w:t>
      </w:r>
      <w:proofErr w:type="spellStart"/>
      <w:r w:rsidR="00370E95" w:rsidRPr="00582D2D">
        <w:t>Dep</w:t>
      </w:r>
      <w:r w:rsidR="001B3A96">
        <w:t>’</w:t>
      </w:r>
      <w:r w:rsidR="00370E95" w:rsidRPr="00582D2D">
        <w:t>t</w:t>
      </w:r>
      <w:proofErr w:type="spellEnd"/>
      <w:r w:rsidR="00370E95" w:rsidRPr="00582D2D">
        <w:t xml:space="preserve">, 1984); </w:t>
      </w:r>
      <w:r w:rsidR="00370E95" w:rsidRPr="00582D2D">
        <w:rPr>
          <w:i/>
          <w:iCs/>
        </w:rPr>
        <w:t>Hume v 1 Prospect Park ALF LLC</w:t>
      </w:r>
      <w:r w:rsidR="00370E95" w:rsidRPr="00582D2D">
        <w:t xml:space="preserve"> 137 A.D</w:t>
      </w:r>
      <w:r w:rsidR="00370E95" w:rsidRPr="00065714">
        <w:t>.3d 1080 (2</w:t>
      </w:r>
      <w:r w:rsidR="0028068E" w:rsidRPr="00582D2D">
        <w:rPr>
          <w:vertAlign w:val="superscript"/>
        </w:rPr>
        <w:t>nd</w:t>
      </w:r>
      <w:r w:rsidR="00370E95" w:rsidRPr="00065714">
        <w:t xml:space="preserve"> </w:t>
      </w:r>
      <w:proofErr w:type="spellStart"/>
      <w:r w:rsidR="00370E95" w:rsidRPr="00065714">
        <w:t>Dep</w:t>
      </w:r>
      <w:r w:rsidR="00BB5E40">
        <w:t>’</w:t>
      </w:r>
      <w:r w:rsidR="00370E95" w:rsidRPr="00065714">
        <w:t>t</w:t>
      </w:r>
      <w:proofErr w:type="spellEnd"/>
      <w:r w:rsidR="002E51B0">
        <w:t>,</w:t>
      </w:r>
      <w:r w:rsidR="00370E95" w:rsidRPr="00065714">
        <w:t xml:space="preserve"> 2016)</w:t>
      </w:r>
      <w:r w:rsidR="00582D2D">
        <w:t>.</w:t>
      </w:r>
    </w:p>
  </w:footnote>
  <w:footnote w:id="44">
    <w:p w14:paraId="1387A799" w14:textId="4B07DE28" w:rsidR="00DE3EA8" w:rsidRPr="00DE55E4" w:rsidRDefault="00DE3EA8" w:rsidP="00DE3EA8">
      <w:pPr>
        <w:pStyle w:val="FootnoteText"/>
      </w:pPr>
      <w:r w:rsidRPr="00AE5FA1">
        <w:rPr>
          <w:rStyle w:val="FootnoteReference"/>
        </w:rPr>
        <w:footnoteRef/>
      </w:r>
      <w:r w:rsidRPr="00AE5FA1">
        <w:t xml:space="preserve"> </w:t>
      </w:r>
      <w:r w:rsidR="00E95236" w:rsidRPr="00AE5FA1">
        <w:t xml:space="preserve">See, for example, </w:t>
      </w:r>
      <w:r w:rsidR="00FB3AAA" w:rsidRPr="00582D2D">
        <w:rPr>
          <w:i/>
          <w:iCs/>
        </w:rPr>
        <w:t>Mooney v Orr (No.2)</w:t>
      </w:r>
      <w:r w:rsidR="00FB3AAA" w:rsidRPr="00AE5FA1">
        <w:t xml:space="preserve"> [1994] B.C.J. No. 2652</w:t>
      </w:r>
      <w:r w:rsidR="00B636AB">
        <w:t>,</w:t>
      </w:r>
      <w:r w:rsidR="00FB3AAA" w:rsidRPr="00AE5FA1">
        <w:t xml:space="preserve"> [43]-[51]; </w:t>
      </w:r>
      <w:r w:rsidR="00FB3AAA" w:rsidRPr="00582D2D">
        <w:rPr>
          <w:i/>
          <w:iCs/>
        </w:rPr>
        <w:t xml:space="preserve">Silver Standard Resources Inc v Joint Stock Co </w:t>
      </w:r>
      <w:proofErr w:type="spellStart"/>
      <w:r w:rsidR="00FB3AAA" w:rsidRPr="00582D2D">
        <w:rPr>
          <w:i/>
          <w:iCs/>
        </w:rPr>
        <w:t>Geolog</w:t>
      </w:r>
      <w:proofErr w:type="spellEnd"/>
      <w:r w:rsidR="00FB3AAA" w:rsidRPr="00AE5FA1">
        <w:t xml:space="preserve"> [1998] B.C.J. No. 2887</w:t>
      </w:r>
      <w:r w:rsidR="00B636AB">
        <w:t>,</w:t>
      </w:r>
      <w:r w:rsidR="00FB3AAA" w:rsidRPr="00AE5FA1">
        <w:t xml:space="preserve"> [16]-[20]</w:t>
      </w:r>
      <w:r w:rsidR="00AE5FA1" w:rsidRPr="00AE5FA1">
        <w:t>.</w:t>
      </w:r>
    </w:p>
  </w:footnote>
  <w:footnote w:id="45">
    <w:p w14:paraId="6E2FE43A" w14:textId="057D376F" w:rsidR="00DC0CAB" w:rsidRPr="00DE55E4" w:rsidRDefault="00DC0CAB" w:rsidP="00DC0CAB">
      <w:pPr>
        <w:pStyle w:val="FootnoteText"/>
      </w:pPr>
      <w:r w:rsidRPr="00DE55E4">
        <w:rPr>
          <w:rStyle w:val="FootnoteReference"/>
        </w:rPr>
        <w:footnoteRef/>
      </w:r>
      <w:r w:rsidRPr="00DE55E4">
        <w:t xml:space="preserve"> </w:t>
      </w:r>
      <w:r w:rsidRPr="00582D2D">
        <w:rPr>
          <w:i/>
          <w:iCs/>
        </w:rPr>
        <w:t xml:space="preserve">Motorola Credit Corp v </w:t>
      </w:r>
      <w:r w:rsidR="00946AD2" w:rsidRPr="00DE55E4">
        <w:rPr>
          <w:i/>
          <w:iCs/>
        </w:rPr>
        <w:t xml:space="preserve">Uzan </w:t>
      </w:r>
      <w:r w:rsidR="00984DCF">
        <w:rPr>
          <w:i/>
          <w:iCs/>
        </w:rPr>
        <w:t>&amp;</w:t>
      </w:r>
      <w:r w:rsidR="00984DCF" w:rsidRPr="00DE55E4">
        <w:rPr>
          <w:i/>
          <w:iCs/>
        </w:rPr>
        <w:t xml:space="preserve"> </w:t>
      </w:r>
      <w:r w:rsidR="00984DCF">
        <w:rPr>
          <w:i/>
          <w:iCs/>
        </w:rPr>
        <w:t>O</w:t>
      </w:r>
      <w:r w:rsidR="00946AD2" w:rsidRPr="00DE55E4">
        <w:rPr>
          <w:i/>
          <w:iCs/>
        </w:rPr>
        <w:t>rs</w:t>
      </w:r>
      <w:r w:rsidRPr="00DE55E4">
        <w:t xml:space="preserve"> [2002] 2 All E</w:t>
      </w:r>
      <w:r w:rsidR="001C3DCF">
        <w:t>.</w:t>
      </w:r>
      <w:r w:rsidRPr="00DE55E4">
        <w:t>R</w:t>
      </w:r>
      <w:r w:rsidR="001C3DCF">
        <w:t>.</w:t>
      </w:r>
      <w:r w:rsidRPr="00DE55E4">
        <w:t xml:space="preserve"> (Comm) 945</w:t>
      </w:r>
      <w:r w:rsidR="00B636AB">
        <w:t>,</w:t>
      </w:r>
      <w:r w:rsidRPr="00DE55E4">
        <w:t xml:space="preserve"> </w:t>
      </w:r>
      <w:r w:rsidR="00D52B9A" w:rsidRPr="00DE55E4">
        <w:t>[29]</w:t>
      </w:r>
      <w:r w:rsidR="00865607" w:rsidRPr="00DE55E4">
        <w:t>.</w:t>
      </w:r>
    </w:p>
  </w:footnote>
  <w:footnote w:id="46">
    <w:p w14:paraId="7DD94F1A" w14:textId="57045CB7" w:rsidR="00101E39" w:rsidRPr="00DE55E4" w:rsidRDefault="00101E39" w:rsidP="00E5225C">
      <w:pPr>
        <w:pStyle w:val="FootnoteText"/>
      </w:pPr>
      <w:r w:rsidRPr="00DE55E4">
        <w:rPr>
          <w:rStyle w:val="FootnoteReference"/>
        </w:rPr>
        <w:footnoteRef/>
      </w:r>
      <w:r w:rsidRPr="00DE55E4">
        <w:t xml:space="preserve"> </w:t>
      </w:r>
      <w:r w:rsidR="00E5225C" w:rsidRPr="00582D2D">
        <w:rPr>
          <w:i/>
          <w:iCs/>
        </w:rPr>
        <w:t>Grupo Torras</w:t>
      </w:r>
      <w:r w:rsidR="00B90857">
        <w:rPr>
          <w:i/>
          <w:iCs/>
        </w:rPr>
        <w:t xml:space="preserve"> SA </w:t>
      </w:r>
      <w:r w:rsidR="007F6656">
        <w:rPr>
          <w:i/>
          <w:iCs/>
        </w:rPr>
        <w:t>&amp; Anor</w:t>
      </w:r>
      <w:r w:rsidR="00E5225C" w:rsidRPr="00582D2D">
        <w:rPr>
          <w:i/>
          <w:iCs/>
        </w:rPr>
        <w:t xml:space="preserve"> v Al Sabah</w:t>
      </w:r>
      <w:r w:rsidR="00B90857">
        <w:rPr>
          <w:i/>
          <w:iCs/>
        </w:rPr>
        <w:t xml:space="preserve"> </w:t>
      </w:r>
      <w:r w:rsidR="007F6656">
        <w:rPr>
          <w:i/>
          <w:iCs/>
        </w:rPr>
        <w:t>&amp; Ors</w:t>
      </w:r>
      <w:r w:rsidR="00E5225C" w:rsidRPr="00DE55E4">
        <w:t xml:space="preserve"> </w:t>
      </w:r>
      <w:r w:rsidR="00231549" w:rsidRPr="00DE55E4">
        <w:t>[2014] 2 C.L.C. 636</w:t>
      </w:r>
      <w:r w:rsidR="00E5225C" w:rsidRPr="00DE55E4">
        <w:t xml:space="preserve">; </w:t>
      </w:r>
      <w:r w:rsidR="00E5225C" w:rsidRPr="00582D2D">
        <w:rPr>
          <w:i/>
          <w:iCs/>
        </w:rPr>
        <w:t>Motorola Credit Corp v Uzan</w:t>
      </w:r>
      <w:r w:rsidR="00946AD2" w:rsidRPr="00DE55E4">
        <w:rPr>
          <w:i/>
          <w:iCs/>
        </w:rPr>
        <w:t xml:space="preserve"> </w:t>
      </w:r>
      <w:r w:rsidR="00984DCF">
        <w:rPr>
          <w:i/>
          <w:iCs/>
        </w:rPr>
        <w:t>&amp;</w:t>
      </w:r>
      <w:r w:rsidR="00984DCF" w:rsidRPr="00DE55E4">
        <w:rPr>
          <w:i/>
          <w:iCs/>
        </w:rPr>
        <w:t xml:space="preserve"> </w:t>
      </w:r>
      <w:r w:rsidR="00984DCF">
        <w:rPr>
          <w:i/>
          <w:iCs/>
        </w:rPr>
        <w:t>O</w:t>
      </w:r>
      <w:r w:rsidR="00946AD2" w:rsidRPr="00DE55E4">
        <w:rPr>
          <w:i/>
          <w:iCs/>
        </w:rPr>
        <w:t>rs</w:t>
      </w:r>
      <w:r w:rsidR="00E5225C" w:rsidRPr="00DE55E4">
        <w:t xml:space="preserve"> [2002] 2 All E</w:t>
      </w:r>
      <w:r w:rsidR="001C3DCF">
        <w:t>.</w:t>
      </w:r>
      <w:r w:rsidR="00E5225C" w:rsidRPr="00DE55E4">
        <w:t>R</w:t>
      </w:r>
      <w:r w:rsidR="001C3DCF">
        <w:t>.</w:t>
      </w:r>
      <w:r w:rsidR="00E5225C" w:rsidRPr="00DE55E4">
        <w:t xml:space="preserve"> (Comm) 945</w:t>
      </w:r>
      <w:r w:rsidR="00952CD1" w:rsidRPr="00DE55E4">
        <w:t>.</w:t>
      </w:r>
    </w:p>
  </w:footnote>
  <w:footnote w:id="47">
    <w:p w14:paraId="0E2AD79E" w14:textId="5D65B218" w:rsidR="00583799" w:rsidRPr="00DE55E4" w:rsidRDefault="00583799">
      <w:pPr>
        <w:pStyle w:val="FootnoteText"/>
      </w:pPr>
      <w:r w:rsidRPr="00DE55E4">
        <w:rPr>
          <w:rStyle w:val="FootnoteReference"/>
        </w:rPr>
        <w:footnoteRef/>
      </w:r>
      <w:r w:rsidRPr="00DE55E4">
        <w:t xml:space="preserve"> </w:t>
      </w:r>
      <w:r w:rsidR="002102F0" w:rsidRPr="00582D2D">
        <w:rPr>
          <w:i/>
          <w:iCs/>
        </w:rPr>
        <w:t>ADM International Sarl v Grain House International SA</w:t>
      </w:r>
      <w:r w:rsidR="000F5E0B" w:rsidRPr="00582D2D">
        <w:rPr>
          <w:i/>
          <w:iCs/>
        </w:rPr>
        <w:t xml:space="preserve"> </w:t>
      </w:r>
      <w:r w:rsidR="006C4412">
        <w:rPr>
          <w:i/>
          <w:iCs/>
        </w:rPr>
        <w:t>&amp; Anor</w:t>
      </w:r>
      <w:r w:rsidR="002102F0" w:rsidRPr="00DE55E4">
        <w:t xml:space="preserve"> [2024] 1 W.L.R. 3262.</w:t>
      </w:r>
    </w:p>
  </w:footnote>
  <w:footnote w:id="48">
    <w:p w14:paraId="241653B0" w14:textId="75ABA7DB" w:rsidR="001B6C66" w:rsidRPr="00DE55E4" w:rsidRDefault="001B6C66" w:rsidP="001B6C66">
      <w:pPr>
        <w:pStyle w:val="FootnoteText"/>
      </w:pPr>
      <w:r w:rsidRPr="00DE55E4">
        <w:rPr>
          <w:rStyle w:val="FootnoteReference"/>
        </w:rPr>
        <w:footnoteRef/>
      </w:r>
      <w:r w:rsidRPr="00DE55E4">
        <w:t xml:space="preserve"> </w:t>
      </w:r>
      <w:r w:rsidRPr="00582D2D">
        <w:rPr>
          <w:i/>
          <w:iCs/>
        </w:rPr>
        <w:t>A v C (Note)</w:t>
      </w:r>
      <w:r w:rsidRPr="00DE55E4">
        <w:t xml:space="preserve"> [1981] Q</w:t>
      </w:r>
      <w:r w:rsidR="006C282B">
        <w:t>.</w:t>
      </w:r>
      <w:r w:rsidRPr="00DE55E4">
        <w:t>B</w:t>
      </w:r>
      <w:r w:rsidR="006C282B">
        <w:t>.</w:t>
      </w:r>
      <w:r w:rsidRPr="00DE55E4">
        <w:t xml:space="preserve"> 956</w:t>
      </w:r>
      <w:r w:rsidR="00483FE1" w:rsidRPr="00DE55E4">
        <w:t>.</w:t>
      </w:r>
    </w:p>
  </w:footnote>
  <w:footnote w:id="49">
    <w:p w14:paraId="68982D1A" w14:textId="773C8330" w:rsidR="004B1B9C" w:rsidRPr="00DE55E4" w:rsidRDefault="004B1B9C">
      <w:pPr>
        <w:pStyle w:val="FootnoteText"/>
      </w:pPr>
      <w:r w:rsidRPr="00DE55E4">
        <w:rPr>
          <w:rStyle w:val="FootnoteReference"/>
        </w:rPr>
        <w:footnoteRef/>
      </w:r>
      <w:r w:rsidRPr="00DE55E4">
        <w:t xml:space="preserve"> </w:t>
      </w:r>
      <w:r w:rsidR="00A71061" w:rsidRPr="00582D2D">
        <w:rPr>
          <w:i/>
          <w:iCs/>
        </w:rPr>
        <w:t xml:space="preserve">AJ </w:t>
      </w:r>
      <w:proofErr w:type="spellStart"/>
      <w:r w:rsidR="00A71061" w:rsidRPr="00582D2D">
        <w:rPr>
          <w:i/>
          <w:iCs/>
        </w:rPr>
        <w:t>Bekhor</w:t>
      </w:r>
      <w:proofErr w:type="spellEnd"/>
      <w:r w:rsidR="00A71061" w:rsidRPr="00582D2D">
        <w:rPr>
          <w:i/>
          <w:iCs/>
        </w:rPr>
        <w:t xml:space="preserve"> &amp; Co v </w:t>
      </w:r>
      <w:proofErr w:type="spellStart"/>
      <w:r w:rsidR="00A71061" w:rsidRPr="00582D2D">
        <w:rPr>
          <w:i/>
          <w:iCs/>
        </w:rPr>
        <w:t>Bilton</w:t>
      </w:r>
      <w:proofErr w:type="spellEnd"/>
      <w:r w:rsidR="00A71061" w:rsidRPr="00DE55E4">
        <w:t xml:space="preserve"> </w:t>
      </w:r>
      <w:r w:rsidRPr="00DE55E4">
        <w:t>[1981] Q</w:t>
      </w:r>
      <w:r w:rsidR="006C282B">
        <w:t>.</w:t>
      </w:r>
      <w:r w:rsidRPr="00DE55E4">
        <w:t>B</w:t>
      </w:r>
      <w:r w:rsidR="006C282B">
        <w:t>.</w:t>
      </w:r>
      <w:r w:rsidRPr="00DE55E4">
        <w:t xml:space="preserve"> 923</w:t>
      </w:r>
      <w:r w:rsidR="00A71061" w:rsidRPr="00DE55E4">
        <w:t>.</w:t>
      </w:r>
    </w:p>
  </w:footnote>
  <w:footnote w:id="50">
    <w:p w14:paraId="6E249357" w14:textId="2D79C984" w:rsidR="003804A0" w:rsidRPr="00DE55E4" w:rsidRDefault="003804A0">
      <w:pPr>
        <w:pStyle w:val="FootnoteText"/>
      </w:pPr>
      <w:r w:rsidRPr="00DE55E4">
        <w:rPr>
          <w:rStyle w:val="FootnoteReference"/>
        </w:rPr>
        <w:footnoteRef/>
      </w:r>
      <w:r w:rsidRPr="00DE55E4">
        <w:t xml:space="preserve"> </w:t>
      </w:r>
      <w:r w:rsidR="00686C8E" w:rsidRPr="00DE55E4">
        <w:t>[1981] Q</w:t>
      </w:r>
      <w:r w:rsidR="00BE26B6">
        <w:t>.</w:t>
      </w:r>
      <w:r w:rsidR="00686C8E" w:rsidRPr="00DE55E4">
        <w:t>B</w:t>
      </w:r>
      <w:r w:rsidR="00BE26B6">
        <w:t>.</w:t>
      </w:r>
      <w:r w:rsidR="00686C8E" w:rsidRPr="00DE55E4">
        <w:t xml:space="preserve"> 923</w:t>
      </w:r>
      <w:r w:rsidR="00B636AB">
        <w:t>,</w:t>
      </w:r>
      <w:r w:rsidR="00686C8E" w:rsidRPr="00DE55E4">
        <w:t xml:space="preserve"> 950G.</w:t>
      </w:r>
    </w:p>
  </w:footnote>
  <w:footnote w:id="51">
    <w:p w14:paraId="34B0DD6F" w14:textId="7F2B25FF" w:rsidR="007C484A" w:rsidRPr="00DE55E4" w:rsidRDefault="007C484A" w:rsidP="007C484A">
      <w:pPr>
        <w:pStyle w:val="FootnoteText"/>
      </w:pPr>
      <w:r w:rsidRPr="00DE55E4">
        <w:rPr>
          <w:rStyle w:val="FootnoteReference"/>
        </w:rPr>
        <w:footnoteRef/>
      </w:r>
      <w:r w:rsidRPr="00DE55E4">
        <w:t xml:space="preserve"> </w:t>
      </w:r>
      <w:r w:rsidRPr="00582D2D">
        <w:rPr>
          <w:i/>
          <w:iCs/>
        </w:rPr>
        <w:t xml:space="preserve">Motorola Credit Corp v </w:t>
      </w:r>
      <w:r w:rsidR="00946AD2" w:rsidRPr="00582D2D">
        <w:rPr>
          <w:i/>
          <w:iCs/>
        </w:rPr>
        <w:t xml:space="preserve">Uzan </w:t>
      </w:r>
      <w:r w:rsidR="00861A55">
        <w:rPr>
          <w:i/>
          <w:iCs/>
        </w:rPr>
        <w:t>&amp;</w:t>
      </w:r>
      <w:r w:rsidR="00861A55" w:rsidRPr="00582D2D">
        <w:rPr>
          <w:i/>
          <w:iCs/>
        </w:rPr>
        <w:t xml:space="preserve"> </w:t>
      </w:r>
      <w:r w:rsidR="00861A55">
        <w:rPr>
          <w:i/>
          <w:iCs/>
        </w:rPr>
        <w:t>O</w:t>
      </w:r>
      <w:r w:rsidR="00946AD2" w:rsidRPr="00582D2D">
        <w:rPr>
          <w:i/>
          <w:iCs/>
        </w:rPr>
        <w:t>rs</w:t>
      </w:r>
      <w:r w:rsidRPr="00DE55E4">
        <w:t xml:space="preserve"> [2002] 2 All E</w:t>
      </w:r>
      <w:r w:rsidR="001C3DCF">
        <w:t>.</w:t>
      </w:r>
      <w:r w:rsidRPr="00DE55E4">
        <w:t>R</w:t>
      </w:r>
      <w:r w:rsidR="001C3DCF">
        <w:t>.</w:t>
      </w:r>
      <w:r w:rsidRPr="00DE55E4">
        <w:t xml:space="preserve"> (Comm) 945</w:t>
      </w:r>
      <w:r w:rsidR="00B636AB">
        <w:t>,</w:t>
      </w:r>
      <w:r w:rsidRPr="00DE55E4">
        <w:t xml:space="preserve"> </w:t>
      </w:r>
      <w:r w:rsidR="00FB7430" w:rsidRPr="00DE55E4">
        <w:t>[</w:t>
      </w:r>
      <w:r w:rsidRPr="00DE55E4">
        <w:t>37</w:t>
      </w:r>
      <w:r w:rsidR="00FB7430" w:rsidRPr="00DE55E4">
        <w:t>].</w:t>
      </w:r>
    </w:p>
  </w:footnote>
  <w:footnote w:id="52">
    <w:p w14:paraId="24B3492B" w14:textId="4F20155D" w:rsidR="00DE3C53" w:rsidRPr="00DE55E4" w:rsidRDefault="00DE3C53">
      <w:pPr>
        <w:pStyle w:val="FootnoteText"/>
      </w:pPr>
      <w:r w:rsidRPr="00DE55E4">
        <w:rPr>
          <w:rStyle w:val="FootnoteReference"/>
        </w:rPr>
        <w:footnoteRef/>
      </w:r>
      <w:r w:rsidRPr="00DE55E4">
        <w:t xml:space="preserve"> The principle was established when one Edwin Murray was committed to prison for a month for putting on a boxing context</w:t>
      </w:r>
      <w:r w:rsidR="006B473B">
        <w:t xml:space="preserve"> </w:t>
      </w:r>
      <w:r w:rsidR="00B636AB">
        <w:t>at</w:t>
      </w:r>
      <w:r w:rsidRPr="00DE55E4">
        <w:t xml:space="preserve"> 53 Fetter Lane knowing that the under-lessee had been enjoined from holding boxing contests on the premises which had been advertised under the name of meetings of the </w:t>
      </w:r>
      <w:r w:rsidRPr="00582D2D">
        <w:t>Queensberry Sports Club Ltd</w:t>
      </w:r>
      <w:r w:rsidR="00384890" w:rsidRPr="00DE55E4">
        <w:t>:</w:t>
      </w:r>
      <w:r w:rsidRPr="00DE55E4">
        <w:rPr>
          <w:i/>
          <w:iCs/>
        </w:rPr>
        <w:t xml:space="preserve"> Seaward v. Paterson</w:t>
      </w:r>
      <w:r w:rsidRPr="00DE55E4">
        <w:t xml:space="preserve"> [1897] 1 Ch. 545</w:t>
      </w:r>
      <w:r w:rsidR="000915D4" w:rsidRPr="00DE55E4">
        <w:t xml:space="preserve">.  </w:t>
      </w:r>
      <w:r w:rsidRPr="00DE55E4">
        <w:t xml:space="preserve">   </w:t>
      </w:r>
    </w:p>
  </w:footnote>
  <w:footnote w:id="53">
    <w:p w14:paraId="529973B3" w14:textId="6AA6158A" w:rsidR="00AE4C39" w:rsidRPr="00DE55E4" w:rsidRDefault="00AE4C39">
      <w:pPr>
        <w:pStyle w:val="FootnoteText"/>
      </w:pPr>
      <w:r w:rsidRPr="00DE55E4">
        <w:rPr>
          <w:rStyle w:val="FootnoteReference"/>
        </w:rPr>
        <w:footnoteRef/>
      </w:r>
      <w:r w:rsidRPr="00DE55E4">
        <w:t xml:space="preserve"> </w:t>
      </w:r>
      <w:r w:rsidR="003340DA" w:rsidRPr="00DE55E4">
        <w:t>La</w:t>
      </w:r>
      <w:r w:rsidR="00B30601" w:rsidRPr="00DE55E4">
        <w:t>w</w:t>
      </w:r>
      <w:r w:rsidR="003340DA" w:rsidRPr="00DE55E4">
        <w:t xml:space="preserve">rence Collins, “The Territorial Reach of Mareva Injunctions” </w:t>
      </w:r>
      <w:r w:rsidR="001129DE" w:rsidRPr="00DE55E4">
        <w:t>(1989) 105 LQR 262</w:t>
      </w:r>
      <w:r w:rsidR="00582D2D">
        <w:t>.</w:t>
      </w:r>
    </w:p>
  </w:footnote>
  <w:footnote w:id="54">
    <w:p w14:paraId="4067639C" w14:textId="0052AE84" w:rsidR="00343086" w:rsidRPr="00DE55E4" w:rsidRDefault="00343086">
      <w:pPr>
        <w:pStyle w:val="FootnoteText"/>
      </w:pPr>
      <w:r w:rsidRPr="00DE55E4">
        <w:rPr>
          <w:rStyle w:val="FootnoteReference"/>
        </w:rPr>
        <w:footnoteRef/>
      </w:r>
      <w:r w:rsidRPr="00DE55E4">
        <w:t xml:space="preserve"> </w:t>
      </w:r>
      <w:r w:rsidR="00B90857" w:rsidRPr="00130996">
        <w:rPr>
          <w:i/>
          <w:iCs/>
        </w:rPr>
        <w:t>Grupo Torras</w:t>
      </w:r>
      <w:r w:rsidR="00B90857">
        <w:rPr>
          <w:i/>
          <w:iCs/>
        </w:rPr>
        <w:t xml:space="preserve"> SA </w:t>
      </w:r>
      <w:r w:rsidR="007F6656">
        <w:rPr>
          <w:i/>
          <w:iCs/>
        </w:rPr>
        <w:t>&amp; Anor</w:t>
      </w:r>
      <w:r w:rsidR="00B90857" w:rsidRPr="00130996">
        <w:rPr>
          <w:i/>
          <w:iCs/>
        </w:rPr>
        <w:t xml:space="preserve"> v Al Sabah</w:t>
      </w:r>
      <w:r w:rsidR="00B90857">
        <w:rPr>
          <w:i/>
          <w:iCs/>
        </w:rPr>
        <w:t xml:space="preserve"> </w:t>
      </w:r>
      <w:r w:rsidR="007F6656">
        <w:rPr>
          <w:i/>
          <w:iCs/>
        </w:rPr>
        <w:t>&amp; Ors</w:t>
      </w:r>
      <w:r w:rsidR="00B90857" w:rsidRPr="00DE55E4">
        <w:t xml:space="preserve"> </w:t>
      </w:r>
      <w:r w:rsidR="00384890" w:rsidRPr="00DE55E4">
        <w:t>[2014] 2 C.L.C. 636.</w:t>
      </w:r>
    </w:p>
  </w:footnote>
  <w:footnote w:id="55">
    <w:p w14:paraId="5872F008" w14:textId="56887EBE" w:rsidR="003804A0" w:rsidRPr="00DE55E4" w:rsidRDefault="003804A0" w:rsidP="003804A0">
      <w:pPr>
        <w:pStyle w:val="FootnoteText"/>
      </w:pPr>
      <w:r w:rsidRPr="00DE55E4">
        <w:rPr>
          <w:rStyle w:val="FootnoteReference"/>
        </w:rPr>
        <w:footnoteRef/>
      </w:r>
      <w:r w:rsidRPr="00DE55E4">
        <w:t xml:space="preserve"> </w:t>
      </w:r>
      <w:r w:rsidRPr="00DE55E4">
        <w:rPr>
          <w:i/>
          <w:iCs/>
        </w:rPr>
        <w:t xml:space="preserve">Hospital Products Ltd v </w:t>
      </w:r>
      <w:proofErr w:type="spellStart"/>
      <w:r w:rsidRPr="00DE55E4">
        <w:rPr>
          <w:i/>
          <w:iCs/>
        </w:rPr>
        <w:t>Ballabil</w:t>
      </w:r>
      <w:proofErr w:type="spellEnd"/>
      <w:r w:rsidRPr="00DE55E4">
        <w:rPr>
          <w:i/>
          <w:iCs/>
        </w:rPr>
        <w:t xml:space="preserve"> Holdings Pty Ltd</w:t>
      </w:r>
      <w:r w:rsidRPr="00DE55E4">
        <w:t xml:space="preserve"> [1984] 2 NSWLR 662</w:t>
      </w:r>
      <w:r w:rsidR="00B636AB">
        <w:t>,</w:t>
      </w:r>
      <w:r w:rsidRPr="00DE55E4">
        <w:t xml:space="preserve"> 669</w:t>
      </w:r>
      <w:r w:rsidR="00582D2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2B28"/>
    <w:multiLevelType w:val="multilevel"/>
    <w:tmpl w:val="2B085A5C"/>
    <w:lvl w:ilvl="0">
      <w:start w:val="1"/>
      <w:numFmt w:val="decimal"/>
      <w:lvlText w:val="%1."/>
      <w:lvlJc w:val="left"/>
      <w:pPr>
        <w:tabs>
          <w:tab w:val="num" w:pos="360"/>
        </w:tabs>
        <w:ind w:left="360" w:hanging="360"/>
      </w:pPr>
      <w:rPr>
        <w:rFonts w:hint="default"/>
        <w:b w:val="0"/>
        <w:i w:val="0"/>
        <w:u w:val="none"/>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437ADB"/>
    <w:multiLevelType w:val="multilevel"/>
    <w:tmpl w:val="50D4598A"/>
    <w:lvl w:ilvl="0">
      <w:start w:val="1"/>
      <w:numFmt w:val="decimal"/>
      <w:lvlText w:val="%1."/>
      <w:lvlJc w:val="left"/>
      <w:pPr>
        <w:tabs>
          <w:tab w:val="num" w:pos="0"/>
        </w:tabs>
        <w:ind w:left="567" w:hanging="567"/>
      </w:pPr>
      <w:rPr>
        <w:rFonts w:cs="Times New Roman" w:hint="default"/>
        <w:i w:val="0"/>
        <w:iCs/>
      </w:rPr>
    </w:lvl>
    <w:lvl w:ilvl="1">
      <w:start w:val="1"/>
      <w:numFmt w:val="decimal"/>
      <w:lvlText w:val="(%2)"/>
      <w:lvlJc w:val="left"/>
      <w:pPr>
        <w:tabs>
          <w:tab w:val="num" w:pos="720"/>
        </w:tabs>
        <w:ind w:left="1134" w:hanging="567"/>
      </w:pPr>
      <w:rPr>
        <w:rFonts w:cs="Times New Roman" w:hint="default"/>
        <w:i w:val="0"/>
        <w:iCs/>
      </w:rPr>
    </w:lvl>
    <w:lvl w:ilvl="2">
      <w:start w:val="1"/>
      <w:numFmt w:val="lowerRoman"/>
      <w:lvlText w:val="(%3)"/>
      <w:lvlJc w:val="left"/>
      <w:pPr>
        <w:tabs>
          <w:tab w:val="num" w:pos="1134"/>
        </w:tabs>
        <w:ind w:left="1701" w:hanging="567"/>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114D6B7E"/>
    <w:multiLevelType w:val="multilevel"/>
    <w:tmpl w:val="4476B668"/>
    <w:lvl w:ilvl="0">
      <w:start w:val="1"/>
      <w:numFmt w:val="decimal"/>
      <w:lvlText w:val="%1."/>
      <w:lvlJc w:val="left"/>
      <w:pPr>
        <w:tabs>
          <w:tab w:val="num" w:pos="1080"/>
        </w:tabs>
        <w:ind w:left="567" w:hanging="567"/>
      </w:pPr>
      <w:rPr>
        <w:rFonts w:cs="Times New Roman" w:hint="default"/>
        <w:b w:val="0"/>
        <w:i w:val="0"/>
        <w:sz w:val="24"/>
        <w:szCs w:val="24"/>
      </w:rPr>
    </w:lvl>
    <w:lvl w:ilvl="1">
      <w:start w:val="1"/>
      <w:numFmt w:val="decimal"/>
      <w:lvlText w:val="(%2)"/>
      <w:lvlJc w:val="left"/>
      <w:pPr>
        <w:tabs>
          <w:tab w:val="num" w:pos="1440"/>
        </w:tabs>
        <w:ind w:left="1134" w:hanging="567"/>
      </w:pPr>
      <w:rPr>
        <w:rFonts w:cs="Times New Roman" w:hint="default"/>
        <w:i w:val="0"/>
      </w:rPr>
    </w:lvl>
    <w:lvl w:ilvl="2">
      <w:start w:val="1"/>
      <w:numFmt w:val="lowerLetter"/>
      <w:lvlText w:val="(%3)"/>
      <w:lvlJc w:val="left"/>
      <w:pPr>
        <w:tabs>
          <w:tab w:val="num" w:pos="2160"/>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ind w:left="4275" w:hanging="1035"/>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120042D2"/>
    <w:multiLevelType w:val="multilevel"/>
    <w:tmpl w:val="2B085A5C"/>
    <w:lvl w:ilvl="0">
      <w:start w:val="1"/>
      <w:numFmt w:val="decimal"/>
      <w:lvlText w:val="%1."/>
      <w:lvlJc w:val="left"/>
      <w:pPr>
        <w:tabs>
          <w:tab w:val="num" w:pos="360"/>
        </w:tabs>
        <w:ind w:left="360" w:hanging="360"/>
      </w:pPr>
      <w:rPr>
        <w:rFonts w:hint="default"/>
        <w:b w:val="0"/>
        <w:i w:val="0"/>
        <w:u w:val="none"/>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1F777F"/>
    <w:multiLevelType w:val="hybridMultilevel"/>
    <w:tmpl w:val="AF446B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C2536"/>
    <w:multiLevelType w:val="hybridMultilevel"/>
    <w:tmpl w:val="1414BC18"/>
    <w:lvl w:ilvl="0" w:tplc="56E86068">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6" w15:restartNumberingAfterBreak="0">
    <w:nsid w:val="25D33BAE"/>
    <w:multiLevelType w:val="hybridMultilevel"/>
    <w:tmpl w:val="F03CE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94D87"/>
    <w:multiLevelType w:val="multilevel"/>
    <w:tmpl w:val="5176A534"/>
    <w:lvl w:ilvl="0">
      <w:start w:val="1"/>
      <w:numFmt w:val="decimal"/>
      <w:lvlText w:val="%1."/>
      <w:lvlJc w:val="left"/>
      <w:pPr>
        <w:tabs>
          <w:tab w:val="num" w:pos="567"/>
        </w:tabs>
        <w:ind w:left="567" w:hanging="567"/>
      </w:pPr>
      <w:rPr>
        <w:rFonts w:hint="default"/>
        <w:b w:val="0"/>
        <w:sz w:val="24"/>
        <w:szCs w:val="24"/>
      </w:rPr>
    </w:lvl>
    <w:lvl w:ilvl="1">
      <w:start w:val="1"/>
      <w:numFmt w:val="decimal"/>
      <w:isLgl/>
      <w:lvlText w:val="%1.%2"/>
      <w:lvlJc w:val="left"/>
      <w:pPr>
        <w:tabs>
          <w:tab w:val="num" w:pos="1287"/>
        </w:tabs>
        <w:ind w:left="1287"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098"/>
        </w:tabs>
        <w:ind w:left="2098" w:hanging="811"/>
      </w:pPr>
      <w:rPr>
        <w:rFonts w:ascii="Times New Roman" w:hAnsi="Times New Roman" w:hint="default"/>
        <w:b w:val="0"/>
        <w:i w:val="0"/>
        <w:sz w:val="24"/>
      </w:rPr>
    </w:lvl>
    <w:lvl w:ilvl="3">
      <w:start w:val="1"/>
      <w:numFmt w:val="decimal"/>
      <w:isLgl/>
      <w:lvlText w:val="%1.%2.%3.%4"/>
      <w:lvlJc w:val="left"/>
      <w:pPr>
        <w:tabs>
          <w:tab w:val="num" w:pos="2880"/>
        </w:tabs>
        <w:ind w:left="2880" w:hanging="720"/>
      </w:pPr>
      <w:rPr>
        <w:rFonts w:ascii="Times New Roman" w:hAnsi="Times New Roman" w:hint="default"/>
        <w:b w:val="0"/>
        <w:i w:val="0"/>
        <w:sz w:val="24"/>
      </w:rPr>
    </w:lvl>
    <w:lvl w:ilvl="4">
      <w:start w:val="1"/>
      <w:numFmt w:val="decimal"/>
      <w:isLgl/>
      <w:lvlText w:val="%1.%2.%3.%4.%5"/>
      <w:lvlJc w:val="left"/>
      <w:pPr>
        <w:tabs>
          <w:tab w:val="num" w:pos="3960"/>
        </w:tabs>
        <w:ind w:left="3960" w:hanging="1080"/>
      </w:pPr>
      <w:rPr>
        <w:rFonts w:ascii="Times New Roman" w:hAnsi="Times New Roman" w:hint="default"/>
        <w:b w:val="0"/>
        <w:i w:val="0"/>
        <w:sz w:val="24"/>
      </w:rPr>
    </w:lvl>
    <w:lvl w:ilvl="5">
      <w:start w:val="1"/>
      <w:numFmt w:val="decimal"/>
      <w:isLgl/>
      <w:lvlText w:val="%1.%2.%3.%4.%5.%6"/>
      <w:lvlJc w:val="left"/>
      <w:pPr>
        <w:tabs>
          <w:tab w:val="num" w:pos="4680"/>
        </w:tabs>
        <w:ind w:left="4680" w:hanging="1080"/>
      </w:pPr>
      <w:rPr>
        <w:rFonts w:hint="default"/>
        <w:i/>
      </w:rPr>
    </w:lvl>
    <w:lvl w:ilvl="6">
      <w:start w:val="1"/>
      <w:numFmt w:val="decimal"/>
      <w:isLgl/>
      <w:lvlText w:val="%1.%2.%3.%4.%5.%6.%7"/>
      <w:lvlJc w:val="left"/>
      <w:pPr>
        <w:tabs>
          <w:tab w:val="num" w:pos="5760"/>
        </w:tabs>
        <w:ind w:left="5760" w:hanging="1440"/>
      </w:pPr>
      <w:rPr>
        <w:rFonts w:hint="default"/>
        <w:i/>
      </w:rPr>
    </w:lvl>
    <w:lvl w:ilvl="7">
      <w:start w:val="1"/>
      <w:numFmt w:val="decimal"/>
      <w:isLgl/>
      <w:lvlText w:val="%1.%2.%3.%4.%5.%6.%7.%8"/>
      <w:lvlJc w:val="left"/>
      <w:pPr>
        <w:tabs>
          <w:tab w:val="num" w:pos="6480"/>
        </w:tabs>
        <w:ind w:left="6480" w:hanging="1440"/>
      </w:pPr>
      <w:rPr>
        <w:rFonts w:hint="default"/>
        <w:i/>
      </w:rPr>
    </w:lvl>
    <w:lvl w:ilvl="8">
      <w:start w:val="1"/>
      <w:numFmt w:val="decimal"/>
      <w:isLgl/>
      <w:lvlText w:val="%1.%2.%3.%4.%5.%6.%7.%8.%9"/>
      <w:lvlJc w:val="left"/>
      <w:pPr>
        <w:tabs>
          <w:tab w:val="num" w:pos="7560"/>
        </w:tabs>
        <w:ind w:left="7560" w:hanging="1800"/>
      </w:pPr>
      <w:rPr>
        <w:rFonts w:hint="default"/>
        <w:i/>
      </w:rPr>
    </w:lvl>
  </w:abstractNum>
  <w:abstractNum w:abstractNumId="8" w15:restartNumberingAfterBreak="0">
    <w:nsid w:val="41644CC1"/>
    <w:multiLevelType w:val="hybridMultilevel"/>
    <w:tmpl w:val="BE30BBB0"/>
    <w:lvl w:ilvl="0" w:tplc="2A788C16">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BE5E7D"/>
    <w:multiLevelType w:val="multilevel"/>
    <w:tmpl w:val="2B085A5C"/>
    <w:lvl w:ilvl="0">
      <w:start w:val="1"/>
      <w:numFmt w:val="decimal"/>
      <w:lvlText w:val="%1."/>
      <w:lvlJc w:val="left"/>
      <w:pPr>
        <w:tabs>
          <w:tab w:val="num" w:pos="360"/>
        </w:tabs>
        <w:ind w:left="360" w:hanging="360"/>
      </w:pPr>
      <w:rPr>
        <w:rFonts w:hint="default"/>
        <w:b w:val="0"/>
        <w:i w:val="0"/>
        <w:u w:val="none"/>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9D959E4"/>
    <w:multiLevelType w:val="hybridMultilevel"/>
    <w:tmpl w:val="AB962CE0"/>
    <w:lvl w:ilvl="0" w:tplc="58B4440A">
      <w:start w:val="1"/>
      <w:numFmt w:val="upperLetter"/>
      <w:lvlText w:val="(%1)"/>
      <w:lvlJc w:val="left"/>
      <w:pPr>
        <w:ind w:left="927" w:hanging="360"/>
      </w:pPr>
      <w:rPr>
        <w:rFonts w:cs="Times New Roman" w:hint="default"/>
      </w:rPr>
    </w:lvl>
    <w:lvl w:ilvl="1" w:tplc="82EC33F8">
      <w:start w:val="1"/>
      <w:numFmt w:val="lowerLetter"/>
      <w:lvlText w:val="%2."/>
      <w:lvlJc w:val="left"/>
      <w:pPr>
        <w:ind w:left="1647" w:hanging="360"/>
      </w:pPr>
      <w:rPr>
        <w:rFonts w:cs="Times New Roman"/>
        <w:b/>
      </w:rPr>
    </w:lvl>
    <w:lvl w:ilvl="2" w:tplc="101A1B2C">
      <w:start w:val="1"/>
      <w:numFmt w:val="lowerRoman"/>
      <w:lvlText w:val="(%3)"/>
      <w:lvlJc w:val="left"/>
      <w:pPr>
        <w:ind w:left="2547" w:hanging="360"/>
      </w:pPr>
      <w:rPr>
        <w:rFonts w:cs="Times New Roman" w:hint="default"/>
        <w:b/>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4D20148E"/>
    <w:multiLevelType w:val="multilevel"/>
    <w:tmpl w:val="2B085A5C"/>
    <w:lvl w:ilvl="0">
      <w:start w:val="1"/>
      <w:numFmt w:val="decimal"/>
      <w:lvlText w:val="%1."/>
      <w:lvlJc w:val="left"/>
      <w:pPr>
        <w:tabs>
          <w:tab w:val="num" w:pos="360"/>
        </w:tabs>
        <w:ind w:left="360" w:hanging="360"/>
      </w:pPr>
      <w:rPr>
        <w:rFonts w:hint="default"/>
        <w:b w:val="0"/>
        <w:i w:val="0"/>
        <w:u w:val="none"/>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D976260"/>
    <w:multiLevelType w:val="multilevel"/>
    <w:tmpl w:val="0D4EAE86"/>
    <w:styleLink w:val="CurrentList1"/>
    <w:lvl w:ilvl="0">
      <w:start w:val="1"/>
      <w:numFmt w:val="decimal"/>
      <w:lvlText w:val="%1"/>
      <w:lvlJc w:val="left"/>
      <w:pPr>
        <w:tabs>
          <w:tab w:val="num" w:pos="1069"/>
        </w:tabs>
        <w:ind w:left="1069" w:hanging="360"/>
      </w:pPr>
      <w:rPr>
        <w:rFonts w:hint="default"/>
        <w:b w:val="0"/>
        <w:i w:val="0"/>
        <w:u w:val="none"/>
      </w:rPr>
    </w:lvl>
    <w:lvl w:ilvl="1">
      <w:start w:val="1"/>
      <w:numFmt w:val="decimal"/>
      <w:lvlText w:val="(%2)"/>
      <w:lvlJc w:val="left"/>
      <w:pPr>
        <w:tabs>
          <w:tab w:val="num" w:pos="1429"/>
        </w:tabs>
        <w:ind w:left="1429" w:hanging="360"/>
      </w:pPr>
      <w:rPr>
        <w:rFonts w:hint="default"/>
        <w:b w:val="0"/>
        <w:i w:val="0"/>
      </w:rPr>
    </w:lvl>
    <w:lvl w:ilvl="2">
      <w:start w:val="1"/>
      <w:numFmt w:val="lowerLetter"/>
      <w:lvlText w:val="(%3)"/>
      <w:lvlJc w:val="left"/>
      <w:pPr>
        <w:tabs>
          <w:tab w:val="num" w:pos="1789"/>
        </w:tabs>
        <w:ind w:left="1789" w:hanging="360"/>
      </w:pPr>
      <w:rPr>
        <w:rFonts w:hint="default"/>
      </w:rPr>
    </w:lvl>
    <w:lvl w:ilvl="3">
      <w:start w:val="1"/>
      <w:numFmt w:val="lowerRoman"/>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bullet"/>
      <w:lvlText w:val=""/>
      <w:lvlJc w:val="left"/>
      <w:pPr>
        <w:tabs>
          <w:tab w:val="num" w:pos="3229"/>
        </w:tabs>
        <w:ind w:left="3229" w:hanging="360"/>
      </w:pPr>
      <w:rPr>
        <w:rFonts w:ascii="Symbol" w:hAnsi="Symbol" w:hint="default"/>
        <w:color w:val="auto"/>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15:restartNumberingAfterBreak="0">
    <w:nsid w:val="4E2B0D5B"/>
    <w:multiLevelType w:val="multilevel"/>
    <w:tmpl w:val="2B085A5C"/>
    <w:lvl w:ilvl="0">
      <w:start w:val="1"/>
      <w:numFmt w:val="decimal"/>
      <w:lvlText w:val="%1."/>
      <w:lvlJc w:val="left"/>
      <w:pPr>
        <w:tabs>
          <w:tab w:val="num" w:pos="360"/>
        </w:tabs>
        <w:ind w:left="360" w:hanging="360"/>
      </w:pPr>
      <w:rPr>
        <w:rFonts w:hint="default"/>
        <w:b w:val="0"/>
        <w:i w:val="0"/>
        <w:u w:val="none"/>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5" w15:restartNumberingAfterBreak="0">
    <w:nsid w:val="60200476"/>
    <w:multiLevelType w:val="multilevel"/>
    <w:tmpl w:val="2B085A5C"/>
    <w:lvl w:ilvl="0">
      <w:start w:val="1"/>
      <w:numFmt w:val="decimal"/>
      <w:lvlText w:val="%1."/>
      <w:lvlJc w:val="left"/>
      <w:pPr>
        <w:tabs>
          <w:tab w:val="num" w:pos="360"/>
        </w:tabs>
        <w:ind w:left="360" w:hanging="360"/>
      </w:pPr>
      <w:rPr>
        <w:rFonts w:hint="default"/>
        <w:b w:val="0"/>
        <w:i w:val="0"/>
        <w:u w:val="none"/>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2A6902"/>
    <w:multiLevelType w:val="multilevel"/>
    <w:tmpl w:val="4D52C604"/>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7" w15:restartNumberingAfterBreak="0">
    <w:nsid w:val="74D6034F"/>
    <w:multiLevelType w:val="multilevel"/>
    <w:tmpl w:val="18A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70B9F"/>
    <w:multiLevelType w:val="multilevel"/>
    <w:tmpl w:val="2B085A5C"/>
    <w:lvl w:ilvl="0">
      <w:start w:val="1"/>
      <w:numFmt w:val="decimal"/>
      <w:pStyle w:val="level1"/>
      <w:lvlText w:val="%1."/>
      <w:lvlJc w:val="left"/>
      <w:pPr>
        <w:tabs>
          <w:tab w:val="num" w:pos="360"/>
        </w:tabs>
        <w:ind w:left="360" w:hanging="360"/>
      </w:pPr>
      <w:rPr>
        <w:rFonts w:hint="default"/>
        <w:b w:val="0"/>
        <w:i w:val="0"/>
        <w:u w:val="none"/>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7460D08"/>
    <w:multiLevelType w:val="hybridMultilevel"/>
    <w:tmpl w:val="A9825E44"/>
    <w:lvl w:ilvl="0" w:tplc="27925690">
      <w:start w:val="1"/>
      <w:numFmt w:val="decimal"/>
      <w:lvlText w:val="%1."/>
      <w:lvlJc w:val="left"/>
      <w:pPr>
        <w:ind w:left="720" w:hanging="360"/>
      </w:pPr>
      <w:rPr>
        <w:rFonts w:hint="default"/>
        <w:b/>
        <w:bCs/>
        <w:u w:val="none"/>
      </w:rPr>
    </w:lvl>
    <w:lvl w:ilvl="1" w:tplc="08090019">
      <w:start w:val="1"/>
      <w:numFmt w:val="lowerLetter"/>
      <w:lvlText w:val="%2."/>
      <w:lvlJc w:val="left"/>
      <w:pPr>
        <w:ind w:left="1440" w:hanging="360"/>
      </w:pPr>
    </w:lvl>
    <w:lvl w:ilvl="2" w:tplc="08090005">
      <w:start w:val="1"/>
      <w:numFmt w:val="bullet"/>
      <w:lvlText w:val=""/>
      <w:lvlJc w:val="left"/>
      <w:pPr>
        <w:ind w:left="149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603660">
    <w:abstractNumId w:val="18"/>
  </w:num>
  <w:num w:numId="2" w16cid:durableId="1796018127">
    <w:abstractNumId w:val="18"/>
  </w:num>
  <w:num w:numId="3" w16cid:durableId="1059864539">
    <w:abstractNumId w:val="18"/>
  </w:num>
  <w:num w:numId="4" w16cid:durableId="2098818398">
    <w:abstractNumId w:val="18"/>
  </w:num>
  <w:num w:numId="5" w16cid:durableId="1769813740">
    <w:abstractNumId w:val="18"/>
  </w:num>
  <w:num w:numId="6" w16cid:durableId="37825540">
    <w:abstractNumId w:val="18"/>
  </w:num>
  <w:num w:numId="7" w16cid:durableId="1195918739">
    <w:abstractNumId w:val="18"/>
  </w:num>
  <w:num w:numId="8" w16cid:durableId="1793791554">
    <w:abstractNumId w:val="18"/>
  </w:num>
  <w:num w:numId="9" w16cid:durableId="1596092815">
    <w:abstractNumId w:val="18"/>
  </w:num>
  <w:num w:numId="10" w16cid:durableId="252789001">
    <w:abstractNumId w:val="14"/>
  </w:num>
  <w:num w:numId="11" w16cid:durableId="127631028">
    <w:abstractNumId w:val="16"/>
  </w:num>
  <w:num w:numId="12" w16cid:durableId="997003743">
    <w:abstractNumId w:val="12"/>
  </w:num>
  <w:num w:numId="13" w16cid:durableId="14410734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4" w16cid:durableId="1319310164">
    <w:abstractNumId w:val="5"/>
  </w:num>
  <w:num w:numId="15" w16cid:durableId="160901221">
    <w:abstractNumId w:val="17"/>
  </w:num>
  <w:num w:numId="16" w16cid:durableId="1691879990">
    <w:abstractNumId w:val="8"/>
  </w:num>
  <w:num w:numId="17" w16cid:durableId="66659642">
    <w:abstractNumId w:val="2"/>
  </w:num>
  <w:num w:numId="18" w16cid:durableId="510998544">
    <w:abstractNumId w:val="7"/>
  </w:num>
  <w:num w:numId="19" w16cid:durableId="1271861173">
    <w:abstractNumId w:val="1"/>
  </w:num>
  <w:num w:numId="20" w16cid:durableId="527186599">
    <w:abstractNumId w:val="10"/>
  </w:num>
  <w:num w:numId="21" w16cid:durableId="1341928546">
    <w:abstractNumId w:val="4"/>
  </w:num>
  <w:num w:numId="22" w16cid:durableId="1654486160">
    <w:abstractNumId w:val="6"/>
  </w:num>
  <w:num w:numId="23" w16cid:durableId="1801072740">
    <w:abstractNumId w:val="0"/>
  </w:num>
  <w:num w:numId="24" w16cid:durableId="989791536">
    <w:abstractNumId w:val="3"/>
  </w:num>
  <w:num w:numId="25" w16cid:durableId="998119171">
    <w:abstractNumId w:val="11"/>
  </w:num>
  <w:num w:numId="26" w16cid:durableId="931158501">
    <w:abstractNumId w:val="19"/>
  </w:num>
  <w:num w:numId="27" w16cid:durableId="986668500">
    <w:abstractNumId w:val="9"/>
  </w:num>
  <w:num w:numId="28" w16cid:durableId="1097747569">
    <w:abstractNumId w:val="15"/>
  </w:num>
  <w:num w:numId="29" w16cid:durableId="203376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38"/>
    <w:rsid w:val="00000384"/>
    <w:rsid w:val="000024F0"/>
    <w:rsid w:val="00004672"/>
    <w:rsid w:val="00004714"/>
    <w:rsid w:val="00004DA6"/>
    <w:rsid w:val="00007985"/>
    <w:rsid w:val="00010175"/>
    <w:rsid w:val="00010E12"/>
    <w:rsid w:val="00015453"/>
    <w:rsid w:val="00016138"/>
    <w:rsid w:val="00020CCE"/>
    <w:rsid w:val="0002358F"/>
    <w:rsid w:val="00023756"/>
    <w:rsid w:val="00023909"/>
    <w:rsid w:val="00023F00"/>
    <w:rsid w:val="000266AB"/>
    <w:rsid w:val="00027D64"/>
    <w:rsid w:val="00030CE0"/>
    <w:rsid w:val="00031803"/>
    <w:rsid w:val="000326D2"/>
    <w:rsid w:val="0003346C"/>
    <w:rsid w:val="000334F8"/>
    <w:rsid w:val="0003697D"/>
    <w:rsid w:val="00037394"/>
    <w:rsid w:val="00037779"/>
    <w:rsid w:val="000378F4"/>
    <w:rsid w:val="00042B2E"/>
    <w:rsid w:val="00043E0B"/>
    <w:rsid w:val="000468C8"/>
    <w:rsid w:val="0005063A"/>
    <w:rsid w:val="00052B38"/>
    <w:rsid w:val="0005469A"/>
    <w:rsid w:val="000577F9"/>
    <w:rsid w:val="00060AD3"/>
    <w:rsid w:val="00060E95"/>
    <w:rsid w:val="00061214"/>
    <w:rsid w:val="00061A93"/>
    <w:rsid w:val="000636C6"/>
    <w:rsid w:val="00063856"/>
    <w:rsid w:val="00070AD7"/>
    <w:rsid w:val="00071EB7"/>
    <w:rsid w:val="00072709"/>
    <w:rsid w:val="000739CE"/>
    <w:rsid w:val="00073C37"/>
    <w:rsid w:val="00080115"/>
    <w:rsid w:val="00083638"/>
    <w:rsid w:val="000850EE"/>
    <w:rsid w:val="00086B78"/>
    <w:rsid w:val="00086EF7"/>
    <w:rsid w:val="0008729C"/>
    <w:rsid w:val="000915D4"/>
    <w:rsid w:val="00092482"/>
    <w:rsid w:val="00092AC0"/>
    <w:rsid w:val="0009344C"/>
    <w:rsid w:val="00094B9A"/>
    <w:rsid w:val="00094F17"/>
    <w:rsid w:val="000972DF"/>
    <w:rsid w:val="000979A9"/>
    <w:rsid w:val="000A00BC"/>
    <w:rsid w:val="000A062E"/>
    <w:rsid w:val="000A2405"/>
    <w:rsid w:val="000A39C5"/>
    <w:rsid w:val="000A4AFE"/>
    <w:rsid w:val="000A61E0"/>
    <w:rsid w:val="000A62CE"/>
    <w:rsid w:val="000A6825"/>
    <w:rsid w:val="000B2675"/>
    <w:rsid w:val="000B3B24"/>
    <w:rsid w:val="000B4BDA"/>
    <w:rsid w:val="000B4F0F"/>
    <w:rsid w:val="000B59BE"/>
    <w:rsid w:val="000B716E"/>
    <w:rsid w:val="000B7441"/>
    <w:rsid w:val="000C08FB"/>
    <w:rsid w:val="000C0CDB"/>
    <w:rsid w:val="000C279F"/>
    <w:rsid w:val="000C43CE"/>
    <w:rsid w:val="000C57AF"/>
    <w:rsid w:val="000C58D7"/>
    <w:rsid w:val="000C5ABB"/>
    <w:rsid w:val="000C77C0"/>
    <w:rsid w:val="000C7B2F"/>
    <w:rsid w:val="000D03CF"/>
    <w:rsid w:val="000D069F"/>
    <w:rsid w:val="000D4080"/>
    <w:rsid w:val="000D50E5"/>
    <w:rsid w:val="000D5A24"/>
    <w:rsid w:val="000D61E0"/>
    <w:rsid w:val="000D62A7"/>
    <w:rsid w:val="000D6C86"/>
    <w:rsid w:val="000E01EC"/>
    <w:rsid w:val="000E4B24"/>
    <w:rsid w:val="000E5779"/>
    <w:rsid w:val="000E6024"/>
    <w:rsid w:val="000E769F"/>
    <w:rsid w:val="000F0880"/>
    <w:rsid w:val="000F0A7E"/>
    <w:rsid w:val="000F225A"/>
    <w:rsid w:val="000F268B"/>
    <w:rsid w:val="000F2908"/>
    <w:rsid w:val="000F3590"/>
    <w:rsid w:val="000F4B07"/>
    <w:rsid w:val="000F5E0B"/>
    <w:rsid w:val="000F5F41"/>
    <w:rsid w:val="00100215"/>
    <w:rsid w:val="001018F5"/>
    <w:rsid w:val="00101E39"/>
    <w:rsid w:val="00103A0B"/>
    <w:rsid w:val="001041F0"/>
    <w:rsid w:val="001053AD"/>
    <w:rsid w:val="00105926"/>
    <w:rsid w:val="001062B3"/>
    <w:rsid w:val="00106532"/>
    <w:rsid w:val="00107F74"/>
    <w:rsid w:val="001115BB"/>
    <w:rsid w:val="00111E26"/>
    <w:rsid w:val="001129DE"/>
    <w:rsid w:val="001141B4"/>
    <w:rsid w:val="00116370"/>
    <w:rsid w:val="00116983"/>
    <w:rsid w:val="00117A6E"/>
    <w:rsid w:val="00120CDE"/>
    <w:rsid w:val="00120E41"/>
    <w:rsid w:val="0012104A"/>
    <w:rsid w:val="00122BE1"/>
    <w:rsid w:val="00123FBB"/>
    <w:rsid w:val="00124C79"/>
    <w:rsid w:val="00125D7D"/>
    <w:rsid w:val="00126042"/>
    <w:rsid w:val="00126291"/>
    <w:rsid w:val="00126362"/>
    <w:rsid w:val="0012686B"/>
    <w:rsid w:val="00127323"/>
    <w:rsid w:val="00127A7C"/>
    <w:rsid w:val="00130373"/>
    <w:rsid w:val="001315BE"/>
    <w:rsid w:val="00131CC0"/>
    <w:rsid w:val="00131E46"/>
    <w:rsid w:val="00133953"/>
    <w:rsid w:val="00133A0D"/>
    <w:rsid w:val="00133AB3"/>
    <w:rsid w:val="00133DEF"/>
    <w:rsid w:val="00134AE7"/>
    <w:rsid w:val="00134D72"/>
    <w:rsid w:val="00136B65"/>
    <w:rsid w:val="00136B8D"/>
    <w:rsid w:val="0013736A"/>
    <w:rsid w:val="00143D0C"/>
    <w:rsid w:val="00144469"/>
    <w:rsid w:val="001474D2"/>
    <w:rsid w:val="00150F77"/>
    <w:rsid w:val="00151849"/>
    <w:rsid w:val="001519B1"/>
    <w:rsid w:val="00152769"/>
    <w:rsid w:val="00153A90"/>
    <w:rsid w:val="00154977"/>
    <w:rsid w:val="00154CF8"/>
    <w:rsid w:val="00157F4C"/>
    <w:rsid w:val="00160C1E"/>
    <w:rsid w:val="0016155E"/>
    <w:rsid w:val="0016216F"/>
    <w:rsid w:val="00162FFA"/>
    <w:rsid w:val="001649D9"/>
    <w:rsid w:val="00164EB1"/>
    <w:rsid w:val="00165839"/>
    <w:rsid w:val="00165B3C"/>
    <w:rsid w:val="0016647C"/>
    <w:rsid w:val="00167000"/>
    <w:rsid w:val="001710B1"/>
    <w:rsid w:val="00172965"/>
    <w:rsid w:val="00173ADC"/>
    <w:rsid w:val="0017525C"/>
    <w:rsid w:val="00175696"/>
    <w:rsid w:val="00175B3E"/>
    <w:rsid w:val="00176F27"/>
    <w:rsid w:val="001802D3"/>
    <w:rsid w:val="001806C4"/>
    <w:rsid w:val="00182B2F"/>
    <w:rsid w:val="001845A0"/>
    <w:rsid w:val="0018565F"/>
    <w:rsid w:val="001858B6"/>
    <w:rsid w:val="00186029"/>
    <w:rsid w:val="001861C7"/>
    <w:rsid w:val="001866A1"/>
    <w:rsid w:val="0018752E"/>
    <w:rsid w:val="00187D35"/>
    <w:rsid w:val="001905E8"/>
    <w:rsid w:val="001909C7"/>
    <w:rsid w:val="00190E3C"/>
    <w:rsid w:val="001920E6"/>
    <w:rsid w:val="001937B3"/>
    <w:rsid w:val="00194746"/>
    <w:rsid w:val="00194F78"/>
    <w:rsid w:val="001952FB"/>
    <w:rsid w:val="00195DFE"/>
    <w:rsid w:val="001961D3"/>
    <w:rsid w:val="001A3436"/>
    <w:rsid w:val="001A3876"/>
    <w:rsid w:val="001B00DE"/>
    <w:rsid w:val="001B13B6"/>
    <w:rsid w:val="001B21D3"/>
    <w:rsid w:val="001B359F"/>
    <w:rsid w:val="001B3A96"/>
    <w:rsid w:val="001B4ABB"/>
    <w:rsid w:val="001B53BF"/>
    <w:rsid w:val="001B5805"/>
    <w:rsid w:val="001B654A"/>
    <w:rsid w:val="001B6C66"/>
    <w:rsid w:val="001C365F"/>
    <w:rsid w:val="001C3DCF"/>
    <w:rsid w:val="001C5123"/>
    <w:rsid w:val="001C5CDE"/>
    <w:rsid w:val="001C6DAB"/>
    <w:rsid w:val="001C7E12"/>
    <w:rsid w:val="001D096C"/>
    <w:rsid w:val="001D0C65"/>
    <w:rsid w:val="001D37CB"/>
    <w:rsid w:val="001D4614"/>
    <w:rsid w:val="001D4D38"/>
    <w:rsid w:val="001D77EB"/>
    <w:rsid w:val="001E1E49"/>
    <w:rsid w:val="001E208D"/>
    <w:rsid w:val="001E699A"/>
    <w:rsid w:val="001F10B0"/>
    <w:rsid w:val="001F21E1"/>
    <w:rsid w:val="001F2577"/>
    <w:rsid w:val="001F31D6"/>
    <w:rsid w:val="001F3352"/>
    <w:rsid w:val="001F357F"/>
    <w:rsid w:val="001F3998"/>
    <w:rsid w:val="001F49BD"/>
    <w:rsid w:val="001F65D5"/>
    <w:rsid w:val="001F6C58"/>
    <w:rsid w:val="002010EE"/>
    <w:rsid w:val="00202723"/>
    <w:rsid w:val="00202C55"/>
    <w:rsid w:val="00202FDD"/>
    <w:rsid w:val="00203032"/>
    <w:rsid w:val="002030F2"/>
    <w:rsid w:val="0020421F"/>
    <w:rsid w:val="0020525D"/>
    <w:rsid w:val="0020537A"/>
    <w:rsid w:val="00205B63"/>
    <w:rsid w:val="002067E0"/>
    <w:rsid w:val="00206BAA"/>
    <w:rsid w:val="002102F0"/>
    <w:rsid w:val="002111B0"/>
    <w:rsid w:val="002121D0"/>
    <w:rsid w:val="00212C7B"/>
    <w:rsid w:val="002131FF"/>
    <w:rsid w:val="002148EE"/>
    <w:rsid w:val="00214BA4"/>
    <w:rsid w:val="00214FE9"/>
    <w:rsid w:val="0021510F"/>
    <w:rsid w:val="00215E97"/>
    <w:rsid w:val="00216A7B"/>
    <w:rsid w:val="002177AB"/>
    <w:rsid w:val="00220CAE"/>
    <w:rsid w:val="0022124C"/>
    <w:rsid w:val="00222311"/>
    <w:rsid w:val="00223572"/>
    <w:rsid w:val="00223E2F"/>
    <w:rsid w:val="00225530"/>
    <w:rsid w:val="00230EA1"/>
    <w:rsid w:val="00231549"/>
    <w:rsid w:val="00233C40"/>
    <w:rsid w:val="00236251"/>
    <w:rsid w:val="00236DCB"/>
    <w:rsid w:val="0023768A"/>
    <w:rsid w:val="00237B4C"/>
    <w:rsid w:val="002415F2"/>
    <w:rsid w:val="00241E31"/>
    <w:rsid w:val="002421F2"/>
    <w:rsid w:val="00243BBC"/>
    <w:rsid w:val="00244482"/>
    <w:rsid w:val="002453C7"/>
    <w:rsid w:val="00250DD5"/>
    <w:rsid w:val="00252089"/>
    <w:rsid w:val="002526B8"/>
    <w:rsid w:val="00252A04"/>
    <w:rsid w:val="0025369B"/>
    <w:rsid w:val="00253CB2"/>
    <w:rsid w:val="00254D07"/>
    <w:rsid w:val="00254F62"/>
    <w:rsid w:val="00255444"/>
    <w:rsid w:val="002557E9"/>
    <w:rsid w:val="002568A0"/>
    <w:rsid w:val="002575C8"/>
    <w:rsid w:val="002578A6"/>
    <w:rsid w:val="0026057B"/>
    <w:rsid w:val="00260D70"/>
    <w:rsid w:val="0026694F"/>
    <w:rsid w:val="00270638"/>
    <w:rsid w:val="0027086E"/>
    <w:rsid w:val="002711D5"/>
    <w:rsid w:val="00271876"/>
    <w:rsid w:val="00273029"/>
    <w:rsid w:val="002748A9"/>
    <w:rsid w:val="00274F22"/>
    <w:rsid w:val="00274FF5"/>
    <w:rsid w:val="0028068E"/>
    <w:rsid w:val="00280DA7"/>
    <w:rsid w:val="00283AFC"/>
    <w:rsid w:val="0028420D"/>
    <w:rsid w:val="0028510C"/>
    <w:rsid w:val="00285813"/>
    <w:rsid w:val="00285938"/>
    <w:rsid w:val="00286AFB"/>
    <w:rsid w:val="00290DC1"/>
    <w:rsid w:val="00291521"/>
    <w:rsid w:val="00292CED"/>
    <w:rsid w:val="00293247"/>
    <w:rsid w:val="00293437"/>
    <w:rsid w:val="00293D0B"/>
    <w:rsid w:val="00295C07"/>
    <w:rsid w:val="00296E03"/>
    <w:rsid w:val="002A03CD"/>
    <w:rsid w:val="002A2A34"/>
    <w:rsid w:val="002A364B"/>
    <w:rsid w:val="002A3C51"/>
    <w:rsid w:val="002A3C6D"/>
    <w:rsid w:val="002A3D6D"/>
    <w:rsid w:val="002A673F"/>
    <w:rsid w:val="002A7802"/>
    <w:rsid w:val="002A7A64"/>
    <w:rsid w:val="002B1484"/>
    <w:rsid w:val="002B1AB0"/>
    <w:rsid w:val="002B2132"/>
    <w:rsid w:val="002B378D"/>
    <w:rsid w:val="002C1CA2"/>
    <w:rsid w:val="002C20BE"/>
    <w:rsid w:val="002C415E"/>
    <w:rsid w:val="002C4341"/>
    <w:rsid w:val="002C58FE"/>
    <w:rsid w:val="002C627E"/>
    <w:rsid w:val="002C6912"/>
    <w:rsid w:val="002C7EA4"/>
    <w:rsid w:val="002D14FD"/>
    <w:rsid w:val="002D20BD"/>
    <w:rsid w:val="002D2F7D"/>
    <w:rsid w:val="002D33B6"/>
    <w:rsid w:val="002D6305"/>
    <w:rsid w:val="002E0FED"/>
    <w:rsid w:val="002E15E3"/>
    <w:rsid w:val="002E18C5"/>
    <w:rsid w:val="002E19BE"/>
    <w:rsid w:val="002E2616"/>
    <w:rsid w:val="002E274F"/>
    <w:rsid w:val="002E27AB"/>
    <w:rsid w:val="002E3101"/>
    <w:rsid w:val="002E389F"/>
    <w:rsid w:val="002E47D1"/>
    <w:rsid w:val="002E5053"/>
    <w:rsid w:val="002E510B"/>
    <w:rsid w:val="002E51B0"/>
    <w:rsid w:val="002E5894"/>
    <w:rsid w:val="002E5BE3"/>
    <w:rsid w:val="002E6FCF"/>
    <w:rsid w:val="002E788C"/>
    <w:rsid w:val="002F007E"/>
    <w:rsid w:val="002F05FA"/>
    <w:rsid w:val="002F22DA"/>
    <w:rsid w:val="002F251B"/>
    <w:rsid w:val="002F2DEE"/>
    <w:rsid w:val="002F4720"/>
    <w:rsid w:val="002F4B9A"/>
    <w:rsid w:val="002F5CCB"/>
    <w:rsid w:val="002F7137"/>
    <w:rsid w:val="002F74D9"/>
    <w:rsid w:val="002F786A"/>
    <w:rsid w:val="003017B6"/>
    <w:rsid w:val="003020DD"/>
    <w:rsid w:val="003037C3"/>
    <w:rsid w:val="00303B02"/>
    <w:rsid w:val="003057C1"/>
    <w:rsid w:val="00311918"/>
    <w:rsid w:val="00315CBF"/>
    <w:rsid w:val="00320008"/>
    <w:rsid w:val="00320118"/>
    <w:rsid w:val="0032147E"/>
    <w:rsid w:val="00322212"/>
    <w:rsid w:val="00322647"/>
    <w:rsid w:val="0032306A"/>
    <w:rsid w:val="00323BF1"/>
    <w:rsid w:val="00324AB0"/>
    <w:rsid w:val="003256FB"/>
    <w:rsid w:val="0032626B"/>
    <w:rsid w:val="0032636F"/>
    <w:rsid w:val="00326EA9"/>
    <w:rsid w:val="0033082E"/>
    <w:rsid w:val="00330986"/>
    <w:rsid w:val="00331A62"/>
    <w:rsid w:val="00332707"/>
    <w:rsid w:val="003340DA"/>
    <w:rsid w:val="00334738"/>
    <w:rsid w:val="00335C82"/>
    <w:rsid w:val="00335EAC"/>
    <w:rsid w:val="00336AC8"/>
    <w:rsid w:val="003375DF"/>
    <w:rsid w:val="00337662"/>
    <w:rsid w:val="00341208"/>
    <w:rsid w:val="003412D3"/>
    <w:rsid w:val="00341873"/>
    <w:rsid w:val="00343086"/>
    <w:rsid w:val="0034390F"/>
    <w:rsid w:val="003449B5"/>
    <w:rsid w:val="00344BEF"/>
    <w:rsid w:val="003457DC"/>
    <w:rsid w:val="003503B7"/>
    <w:rsid w:val="00351C4F"/>
    <w:rsid w:val="00351E3A"/>
    <w:rsid w:val="00351F8C"/>
    <w:rsid w:val="00352501"/>
    <w:rsid w:val="00353437"/>
    <w:rsid w:val="0035347A"/>
    <w:rsid w:val="00353F1A"/>
    <w:rsid w:val="003547CC"/>
    <w:rsid w:val="00356AE0"/>
    <w:rsid w:val="00356B4B"/>
    <w:rsid w:val="00357C04"/>
    <w:rsid w:val="00360762"/>
    <w:rsid w:val="00362AEB"/>
    <w:rsid w:val="00365665"/>
    <w:rsid w:val="00366767"/>
    <w:rsid w:val="00366C0F"/>
    <w:rsid w:val="003670AC"/>
    <w:rsid w:val="00367FA4"/>
    <w:rsid w:val="00370848"/>
    <w:rsid w:val="00370E95"/>
    <w:rsid w:val="003731DA"/>
    <w:rsid w:val="00373413"/>
    <w:rsid w:val="003736A0"/>
    <w:rsid w:val="00374A86"/>
    <w:rsid w:val="00375558"/>
    <w:rsid w:val="00375A9E"/>
    <w:rsid w:val="00376CA5"/>
    <w:rsid w:val="003804A0"/>
    <w:rsid w:val="00380B73"/>
    <w:rsid w:val="00381099"/>
    <w:rsid w:val="00381A39"/>
    <w:rsid w:val="00381B34"/>
    <w:rsid w:val="00382631"/>
    <w:rsid w:val="00382867"/>
    <w:rsid w:val="00383F89"/>
    <w:rsid w:val="00384890"/>
    <w:rsid w:val="003851F8"/>
    <w:rsid w:val="00386015"/>
    <w:rsid w:val="003868DF"/>
    <w:rsid w:val="00386BAC"/>
    <w:rsid w:val="00386BEC"/>
    <w:rsid w:val="0039065C"/>
    <w:rsid w:val="003909D4"/>
    <w:rsid w:val="0039149D"/>
    <w:rsid w:val="00392DC4"/>
    <w:rsid w:val="0039413C"/>
    <w:rsid w:val="00395588"/>
    <w:rsid w:val="0039560E"/>
    <w:rsid w:val="003976D2"/>
    <w:rsid w:val="003A3DD8"/>
    <w:rsid w:val="003A4DD9"/>
    <w:rsid w:val="003A4EAF"/>
    <w:rsid w:val="003A5506"/>
    <w:rsid w:val="003B090B"/>
    <w:rsid w:val="003B0F55"/>
    <w:rsid w:val="003B0FD4"/>
    <w:rsid w:val="003B0FF9"/>
    <w:rsid w:val="003B159B"/>
    <w:rsid w:val="003B1690"/>
    <w:rsid w:val="003B2F64"/>
    <w:rsid w:val="003B2FFD"/>
    <w:rsid w:val="003B3783"/>
    <w:rsid w:val="003B5A6F"/>
    <w:rsid w:val="003B6189"/>
    <w:rsid w:val="003B72EA"/>
    <w:rsid w:val="003C0452"/>
    <w:rsid w:val="003C0C66"/>
    <w:rsid w:val="003C141C"/>
    <w:rsid w:val="003C3F81"/>
    <w:rsid w:val="003C5154"/>
    <w:rsid w:val="003D2E6E"/>
    <w:rsid w:val="003D332F"/>
    <w:rsid w:val="003D5151"/>
    <w:rsid w:val="003D711C"/>
    <w:rsid w:val="003E20A4"/>
    <w:rsid w:val="003E3563"/>
    <w:rsid w:val="003E3838"/>
    <w:rsid w:val="003E459B"/>
    <w:rsid w:val="003E51C6"/>
    <w:rsid w:val="003E6941"/>
    <w:rsid w:val="003E7993"/>
    <w:rsid w:val="003F1543"/>
    <w:rsid w:val="003F2552"/>
    <w:rsid w:val="003F609D"/>
    <w:rsid w:val="003F62D0"/>
    <w:rsid w:val="003F6980"/>
    <w:rsid w:val="003F6AA6"/>
    <w:rsid w:val="003F7987"/>
    <w:rsid w:val="00400C48"/>
    <w:rsid w:val="004015DD"/>
    <w:rsid w:val="00403961"/>
    <w:rsid w:val="00407304"/>
    <w:rsid w:val="0040730D"/>
    <w:rsid w:val="00407A85"/>
    <w:rsid w:val="00407B21"/>
    <w:rsid w:val="00413877"/>
    <w:rsid w:val="00413D19"/>
    <w:rsid w:val="00414CFB"/>
    <w:rsid w:val="0041708B"/>
    <w:rsid w:val="00417DBD"/>
    <w:rsid w:val="00422A6F"/>
    <w:rsid w:val="0042726B"/>
    <w:rsid w:val="00427D80"/>
    <w:rsid w:val="00431101"/>
    <w:rsid w:val="00432361"/>
    <w:rsid w:val="00434770"/>
    <w:rsid w:val="00434C82"/>
    <w:rsid w:val="00434E1E"/>
    <w:rsid w:val="00435517"/>
    <w:rsid w:val="0043568C"/>
    <w:rsid w:val="00437923"/>
    <w:rsid w:val="004401D6"/>
    <w:rsid w:val="004430C1"/>
    <w:rsid w:val="0044523F"/>
    <w:rsid w:val="004463EC"/>
    <w:rsid w:val="0044714F"/>
    <w:rsid w:val="00451D95"/>
    <w:rsid w:val="004527FB"/>
    <w:rsid w:val="00452D6A"/>
    <w:rsid w:val="004534A7"/>
    <w:rsid w:val="00455498"/>
    <w:rsid w:val="00455DB0"/>
    <w:rsid w:val="00456657"/>
    <w:rsid w:val="00456C67"/>
    <w:rsid w:val="00457B97"/>
    <w:rsid w:val="00460EF8"/>
    <w:rsid w:val="00461449"/>
    <w:rsid w:val="00463DC3"/>
    <w:rsid w:val="00464063"/>
    <w:rsid w:val="004641B9"/>
    <w:rsid w:val="00464791"/>
    <w:rsid w:val="00466EB5"/>
    <w:rsid w:val="004721FE"/>
    <w:rsid w:val="00474E59"/>
    <w:rsid w:val="004754E9"/>
    <w:rsid w:val="00475CC0"/>
    <w:rsid w:val="00476C5F"/>
    <w:rsid w:val="00476F6E"/>
    <w:rsid w:val="004801C0"/>
    <w:rsid w:val="004807C4"/>
    <w:rsid w:val="004813F4"/>
    <w:rsid w:val="004816C7"/>
    <w:rsid w:val="00483E7F"/>
    <w:rsid w:val="00483FE1"/>
    <w:rsid w:val="004847CC"/>
    <w:rsid w:val="00484C0A"/>
    <w:rsid w:val="004856DE"/>
    <w:rsid w:val="0048638A"/>
    <w:rsid w:val="00490508"/>
    <w:rsid w:val="00490F8C"/>
    <w:rsid w:val="004928D0"/>
    <w:rsid w:val="00494DA3"/>
    <w:rsid w:val="0049536D"/>
    <w:rsid w:val="00495FE0"/>
    <w:rsid w:val="0049625A"/>
    <w:rsid w:val="00497C11"/>
    <w:rsid w:val="00497D95"/>
    <w:rsid w:val="004A01F2"/>
    <w:rsid w:val="004A1658"/>
    <w:rsid w:val="004A1A3C"/>
    <w:rsid w:val="004A1DCA"/>
    <w:rsid w:val="004A2DA0"/>
    <w:rsid w:val="004A59CD"/>
    <w:rsid w:val="004B03FA"/>
    <w:rsid w:val="004B06FB"/>
    <w:rsid w:val="004B1B9C"/>
    <w:rsid w:val="004B1C2F"/>
    <w:rsid w:val="004B1CF6"/>
    <w:rsid w:val="004B50A0"/>
    <w:rsid w:val="004B50E7"/>
    <w:rsid w:val="004B5700"/>
    <w:rsid w:val="004B5CDE"/>
    <w:rsid w:val="004B6B7B"/>
    <w:rsid w:val="004B6FDF"/>
    <w:rsid w:val="004B7511"/>
    <w:rsid w:val="004B7F7A"/>
    <w:rsid w:val="004C0220"/>
    <w:rsid w:val="004C029F"/>
    <w:rsid w:val="004C1634"/>
    <w:rsid w:val="004C193E"/>
    <w:rsid w:val="004C1B45"/>
    <w:rsid w:val="004C1C3D"/>
    <w:rsid w:val="004C1E70"/>
    <w:rsid w:val="004C20C4"/>
    <w:rsid w:val="004C2690"/>
    <w:rsid w:val="004C459A"/>
    <w:rsid w:val="004C4BBC"/>
    <w:rsid w:val="004C5F0E"/>
    <w:rsid w:val="004C6ECB"/>
    <w:rsid w:val="004D074F"/>
    <w:rsid w:val="004D26D1"/>
    <w:rsid w:val="004D29E4"/>
    <w:rsid w:val="004D3A81"/>
    <w:rsid w:val="004D799A"/>
    <w:rsid w:val="004D7DD0"/>
    <w:rsid w:val="004D7E9B"/>
    <w:rsid w:val="004E0D22"/>
    <w:rsid w:val="004E24D2"/>
    <w:rsid w:val="004E255A"/>
    <w:rsid w:val="004E29A1"/>
    <w:rsid w:val="004E5FB7"/>
    <w:rsid w:val="004E6304"/>
    <w:rsid w:val="004E71D3"/>
    <w:rsid w:val="004F6122"/>
    <w:rsid w:val="004F78A9"/>
    <w:rsid w:val="004F7F4C"/>
    <w:rsid w:val="005000B1"/>
    <w:rsid w:val="00502CDB"/>
    <w:rsid w:val="00503E03"/>
    <w:rsid w:val="00507159"/>
    <w:rsid w:val="00507DBD"/>
    <w:rsid w:val="00510503"/>
    <w:rsid w:val="00512B68"/>
    <w:rsid w:val="005133BB"/>
    <w:rsid w:val="00514D3E"/>
    <w:rsid w:val="00516002"/>
    <w:rsid w:val="005170F2"/>
    <w:rsid w:val="00520132"/>
    <w:rsid w:val="005204DC"/>
    <w:rsid w:val="00520743"/>
    <w:rsid w:val="00522055"/>
    <w:rsid w:val="0052249A"/>
    <w:rsid w:val="0052310E"/>
    <w:rsid w:val="00523EC3"/>
    <w:rsid w:val="00524706"/>
    <w:rsid w:val="0052477B"/>
    <w:rsid w:val="005249CE"/>
    <w:rsid w:val="00524D7F"/>
    <w:rsid w:val="0052526E"/>
    <w:rsid w:val="00525F5E"/>
    <w:rsid w:val="00527393"/>
    <w:rsid w:val="00530548"/>
    <w:rsid w:val="005307E5"/>
    <w:rsid w:val="00530CBB"/>
    <w:rsid w:val="00532994"/>
    <w:rsid w:val="00532B63"/>
    <w:rsid w:val="00533F73"/>
    <w:rsid w:val="005341F8"/>
    <w:rsid w:val="00536076"/>
    <w:rsid w:val="00536AE7"/>
    <w:rsid w:val="005402FD"/>
    <w:rsid w:val="00543AD8"/>
    <w:rsid w:val="00545555"/>
    <w:rsid w:val="00545D7F"/>
    <w:rsid w:val="0055074C"/>
    <w:rsid w:val="005509EC"/>
    <w:rsid w:val="00553AA7"/>
    <w:rsid w:val="00555AC9"/>
    <w:rsid w:val="00555AD8"/>
    <w:rsid w:val="0055644C"/>
    <w:rsid w:val="005570FD"/>
    <w:rsid w:val="0055728F"/>
    <w:rsid w:val="0055740B"/>
    <w:rsid w:val="0055798E"/>
    <w:rsid w:val="00561143"/>
    <w:rsid w:val="0056161E"/>
    <w:rsid w:val="00563EC0"/>
    <w:rsid w:val="00564BF9"/>
    <w:rsid w:val="00566FCC"/>
    <w:rsid w:val="00571965"/>
    <w:rsid w:val="00573A8F"/>
    <w:rsid w:val="00574BDF"/>
    <w:rsid w:val="005753E2"/>
    <w:rsid w:val="00577169"/>
    <w:rsid w:val="005772CC"/>
    <w:rsid w:val="00577ACB"/>
    <w:rsid w:val="00580E5B"/>
    <w:rsid w:val="0058173E"/>
    <w:rsid w:val="00582D2D"/>
    <w:rsid w:val="00583799"/>
    <w:rsid w:val="00583DDF"/>
    <w:rsid w:val="00583F2E"/>
    <w:rsid w:val="00584CDC"/>
    <w:rsid w:val="00585D7F"/>
    <w:rsid w:val="00586BFF"/>
    <w:rsid w:val="00587225"/>
    <w:rsid w:val="0058727C"/>
    <w:rsid w:val="0058777E"/>
    <w:rsid w:val="0058787D"/>
    <w:rsid w:val="0059048F"/>
    <w:rsid w:val="005904D0"/>
    <w:rsid w:val="00590AFA"/>
    <w:rsid w:val="0059151A"/>
    <w:rsid w:val="005919FA"/>
    <w:rsid w:val="00595373"/>
    <w:rsid w:val="00595F69"/>
    <w:rsid w:val="005A19B8"/>
    <w:rsid w:val="005A1B68"/>
    <w:rsid w:val="005A46BD"/>
    <w:rsid w:val="005A5807"/>
    <w:rsid w:val="005A5FA7"/>
    <w:rsid w:val="005A5FAC"/>
    <w:rsid w:val="005A5FF3"/>
    <w:rsid w:val="005A6516"/>
    <w:rsid w:val="005B0B21"/>
    <w:rsid w:val="005B18EB"/>
    <w:rsid w:val="005B1E16"/>
    <w:rsid w:val="005B2E6D"/>
    <w:rsid w:val="005B378D"/>
    <w:rsid w:val="005B44D5"/>
    <w:rsid w:val="005B4865"/>
    <w:rsid w:val="005B5808"/>
    <w:rsid w:val="005B58A0"/>
    <w:rsid w:val="005B5AA0"/>
    <w:rsid w:val="005C012F"/>
    <w:rsid w:val="005C10BD"/>
    <w:rsid w:val="005C27DC"/>
    <w:rsid w:val="005C30BA"/>
    <w:rsid w:val="005C53EA"/>
    <w:rsid w:val="005C700F"/>
    <w:rsid w:val="005D014A"/>
    <w:rsid w:val="005D141E"/>
    <w:rsid w:val="005D2784"/>
    <w:rsid w:val="005D281B"/>
    <w:rsid w:val="005D2F00"/>
    <w:rsid w:val="005D4C0F"/>
    <w:rsid w:val="005D5F59"/>
    <w:rsid w:val="005D628F"/>
    <w:rsid w:val="005E057A"/>
    <w:rsid w:val="005E2342"/>
    <w:rsid w:val="005E5BF5"/>
    <w:rsid w:val="005F0B17"/>
    <w:rsid w:val="005F1D89"/>
    <w:rsid w:val="005F4CD2"/>
    <w:rsid w:val="005F562C"/>
    <w:rsid w:val="005F5F37"/>
    <w:rsid w:val="005F6695"/>
    <w:rsid w:val="00601056"/>
    <w:rsid w:val="00601B91"/>
    <w:rsid w:val="0060308E"/>
    <w:rsid w:val="00604364"/>
    <w:rsid w:val="00604EED"/>
    <w:rsid w:val="006060C6"/>
    <w:rsid w:val="0060633A"/>
    <w:rsid w:val="006106B4"/>
    <w:rsid w:val="006113D1"/>
    <w:rsid w:val="006117ED"/>
    <w:rsid w:val="00612941"/>
    <w:rsid w:val="0061338C"/>
    <w:rsid w:val="006140A7"/>
    <w:rsid w:val="00615045"/>
    <w:rsid w:val="00617071"/>
    <w:rsid w:val="00620D5C"/>
    <w:rsid w:val="00621011"/>
    <w:rsid w:val="00621E37"/>
    <w:rsid w:val="00621F45"/>
    <w:rsid w:val="0062658C"/>
    <w:rsid w:val="00626660"/>
    <w:rsid w:val="006273DE"/>
    <w:rsid w:val="00627451"/>
    <w:rsid w:val="006279B9"/>
    <w:rsid w:val="00631CFE"/>
    <w:rsid w:val="006326D7"/>
    <w:rsid w:val="00632A90"/>
    <w:rsid w:val="00632AEB"/>
    <w:rsid w:val="00632C15"/>
    <w:rsid w:val="00634D41"/>
    <w:rsid w:val="00636395"/>
    <w:rsid w:val="0063721F"/>
    <w:rsid w:val="006400E0"/>
    <w:rsid w:val="00641C5A"/>
    <w:rsid w:val="00642089"/>
    <w:rsid w:val="00642AF3"/>
    <w:rsid w:val="00642BA7"/>
    <w:rsid w:val="006446DD"/>
    <w:rsid w:val="00644E3A"/>
    <w:rsid w:val="00647153"/>
    <w:rsid w:val="00647730"/>
    <w:rsid w:val="006501B9"/>
    <w:rsid w:val="00650528"/>
    <w:rsid w:val="00653378"/>
    <w:rsid w:val="00653783"/>
    <w:rsid w:val="00653D03"/>
    <w:rsid w:val="00654BDE"/>
    <w:rsid w:val="00654DA9"/>
    <w:rsid w:val="00655801"/>
    <w:rsid w:val="00655838"/>
    <w:rsid w:val="00656E36"/>
    <w:rsid w:val="00657210"/>
    <w:rsid w:val="00657C16"/>
    <w:rsid w:val="006601D2"/>
    <w:rsid w:val="00662DB7"/>
    <w:rsid w:val="00663321"/>
    <w:rsid w:val="006654D6"/>
    <w:rsid w:val="00665C6D"/>
    <w:rsid w:val="00667423"/>
    <w:rsid w:val="006709F1"/>
    <w:rsid w:val="006756F4"/>
    <w:rsid w:val="006761E8"/>
    <w:rsid w:val="0067662E"/>
    <w:rsid w:val="00680210"/>
    <w:rsid w:val="006807C4"/>
    <w:rsid w:val="0068283A"/>
    <w:rsid w:val="00682F05"/>
    <w:rsid w:val="00685340"/>
    <w:rsid w:val="0068592D"/>
    <w:rsid w:val="00686930"/>
    <w:rsid w:val="00686C8E"/>
    <w:rsid w:val="0068727C"/>
    <w:rsid w:val="00687A19"/>
    <w:rsid w:val="006900FB"/>
    <w:rsid w:val="0069097B"/>
    <w:rsid w:val="00691F7A"/>
    <w:rsid w:val="00692CD9"/>
    <w:rsid w:val="00695F74"/>
    <w:rsid w:val="00696F1D"/>
    <w:rsid w:val="006979F0"/>
    <w:rsid w:val="006A05EC"/>
    <w:rsid w:val="006A0B31"/>
    <w:rsid w:val="006A0FD6"/>
    <w:rsid w:val="006A1374"/>
    <w:rsid w:val="006A2745"/>
    <w:rsid w:val="006A2805"/>
    <w:rsid w:val="006A36BB"/>
    <w:rsid w:val="006A434A"/>
    <w:rsid w:val="006A49B9"/>
    <w:rsid w:val="006A4B9B"/>
    <w:rsid w:val="006A5BE8"/>
    <w:rsid w:val="006A6224"/>
    <w:rsid w:val="006A6D0E"/>
    <w:rsid w:val="006A72A0"/>
    <w:rsid w:val="006B0425"/>
    <w:rsid w:val="006B1360"/>
    <w:rsid w:val="006B2179"/>
    <w:rsid w:val="006B2A53"/>
    <w:rsid w:val="006B2ED6"/>
    <w:rsid w:val="006B473B"/>
    <w:rsid w:val="006B479F"/>
    <w:rsid w:val="006B7D12"/>
    <w:rsid w:val="006C0875"/>
    <w:rsid w:val="006C13C0"/>
    <w:rsid w:val="006C262E"/>
    <w:rsid w:val="006C282B"/>
    <w:rsid w:val="006C2A52"/>
    <w:rsid w:val="006C306D"/>
    <w:rsid w:val="006C3438"/>
    <w:rsid w:val="006C364E"/>
    <w:rsid w:val="006C4412"/>
    <w:rsid w:val="006C52A9"/>
    <w:rsid w:val="006C66DA"/>
    <w:rsid w:val="006C6733"/>
    <w:rsid w:val="006C683D"/>
    <w:rsid w:val="006D0003"/>
    <w:rsid w:val="006D1103"/>
    <w:rsid w:val="006D3B9F"/>
    <w:rsid w:val="006D5648"/>
    <w:rsid w:val="006D6B8C"/>
    <w:rsid w:val="006E37D2"/>
    <w:rsid w:val="006E4410"/>
    <w:rsid w:val="006E46D3"/>
    <w:rsid w:val="006E63DD"/>
    <w:rsid w:val="006E693C"/>
    <w:rsid w:val="006E6BDD"/>
    <w:rsid w:val="006E7E3E"/>
    <w:rsid w:val="006F26EA"/>
    <w:rsid w:val="006F3844"/>
    <w:rsid w:val="006F3A72"/>
    <w:rsid w:val="006F41CF"/>
    <w:rsid w:val="006F5203"/>
    <w:rsid w:val="006F6713"/>
    <w:rsid w:val="007018FA"/>
    <w:rsid w:val="00703080"/>
    <w:rsid w:val="007033B5"/>
    <w:rsid w:val="0070377D"/>
    <w:rsid w:val="00704771"/>
    <w:rsid w:val="00705606"/>
    <w:rsid w:val="00706536"/>
    <w:rsid w:val="007066D4"/>
    <w:rsid w:val="00707373"/>
    <w:rsid w:val="00707614"/>
    <w:rsid w:val="00707951"/>
    <w:rsid w:val="00707C76"/>
    <w:rsid w:val="00707CD4"/>
    <w:rsid w:val="007102B1"/>
    <w:rsid w:val="00711CF4"/>
    <w:rsid w:val="007129BE"/>
    <w:rsid w:val="007141CB"/>
    <w:rsid w:val="0071433B"/>
    <w:rsid w:val="00714684"/>
    <w:rsid w:val="00715CA3"/>
    <w:rsid w:val="00715D9A"/>
    <w:rsid w:val="007163A8"/>
    <w:rsid w:val="0072026C"/>
    <w:rsid w:val="00720432"/>
    <w:rsid w:val="00726701"/>
    <w:rsid w:val="007268A0"/>
    <w:rsid w:val="00727FC9"/>
    <w:rsid w:val="00732D71"/>
    <w:rsid w:val="00737CC5"/>
    <w:rsid w:val="00740D86"/>
    <w:rsid w:val="00741A3D"/>
    <w:rsid w:val="00743A63"/>
    <w:rsid w:val="00743D32"/>
    <w:rsid w:val="00746E54"/>
    <w:rsid w:val="00747B20"/>
    <w:rsid w:val="00752ACF"/>
    <w:rsid w:val="00752DA8"/>
    <w:rsid w:val="007536B3"/>
    <w:rsid w:val="00753E18"/>
    <w:rsid w:val="007565B0"/>
    <w:rsid w:val="00757343"/>
    <w:rsid w:val="00761116"/>
    <w:rsid w:val="00762F98"/>
    <w:rsid w:val="0076476C"/>
    <w:rsid w:val="00771199"/>
    <w:rsid w:val="00773E0B"/>
    <w:rsid w:val="007752A1"/>
    <w:rsid w:val="00775E05"/>
    <w:rsid w:val="00775E5E"/>
    <w:rsid w:val="007779D8"/>
    <w:rsid w:val="00780374"/>
    <w:rsid w:val="00782BA8"/>
    <w:rsid w:val="00782D57"/>
    <w:rsid w:val="00784509"/>
    <w:rsid w:val="00784E2E"/>
    <w:rsid w:val="00785641"/>
    <w:rsid w:val="00786D4A"/>
    <w:rsid w:val="00787535"/>
    <w:rsid w:val="0079019E"/>
    <w:rsid w:val="00791CB4"/>
    <w:rsid w:val="0079366A"/>
    <w:rsid w:val="00793893"/>
    <w:rsid w:val="00794F83"/>
    <w:rsid w:val="00795F79"/>
    <w:rsid w:val="007968B5"/>
    <w:rsid w:val="007A127F"/>
    <w:rsid w:val="007A438C"/>
    <w:rsid w:val="007A5467"/>
    <w:rsid w:val="007A5604"/>
    <w:rsid w:val="007A787D"/>
    <w:rsid w:val="007A78C8"/>
    <w:rsid w:val="007A7CED"/>
    <w:rsid w:val="007B080E"/>
    <w:rsid w:val="007B1B42"/>
    <w:rsid w:val="007B1C65"/>
    <w:rsid w:val="007B2773"/>
    <w:rsid w:val="007B28CD"/>
    <w:rsid w:val="007B6DD3"/>
    <w:rsid w:val="007B7341"/>
    <w:rsid w:val="007C07C0"/>
    <w:rsid w:val="007C13B2"/>
    <w:rsid w:val="007C1D0E"/>
    <w:rsid w:val="007C3177"/>
    <w:rsid w:val="007C3BF5"/>
    <w:rsid w:val="007C484A"/>
    <w:rsid w:val="007C609E"/>
    <w:rsid w:val="007C6251"/>
    <w:rsid w:val="007D2491"/>
    <w:rsid w:val="007D259B"/>
    <w:rsid w:val="007D2D01"/>
    <w:rsid w:val="007D60F3"/>
    <w:rsid w:val="007D6419"/>
    <w:rsid w:val="007D6B7C"/>
    <w:rsid w:val="007D6DA9"/>
    <w:rsid w:val="007D799B"/>
    <w:rsid w:val="007E066C"/>
    <w:rsid w:val="007E0D7B"/>
    <w:rsid w:val="007E123E"/>
    <w:rsid w:val="007E2DF9"/>
    <w:rsid w:val="007E3E18"/>
    <w:rsid w:val="007E473E"/>
    <w:rsid w:val="007E6485"/>
    <w:rsid w:val="007E6976"/>
    <w:rsid w:val="007E6A2A"/>
    <w:rsid w:val="007F0372"/>
    <w:rsid w:val="007F1557"/>
    <w:rsid w:val="007F17C0"/>
    <w:rsid w:val="007F2557"/>
    <w:rsid w:val="007F3825"/>
    <w:rsid w:val="007F3A0C"/>
    <w:rsid w:val="007F55FB"/>
    <w:rsid w:val="007F6656"/>
    <w:rsid w:val="007F6BF4"/>
    <w:rsid w:val="007F79A8"/>
    <w:rsid w:val="007F7FA7"/>
    <w:rsid w:val="00800A05"/>
    <w:rsid w:val="0080160C"/>
    <w:rsid w:val="00801896"/>
    <w:rsid w:val="00801F03"/>
    <w:rsid w:val="008056A9"/>
    <w:rsid w:val="008057DC"/>
    <w:rsid w:val="00806FF0"/>
    <w:rsid w:val="008102D6"/>
    <w:rsid w:val="00810661"/>
    <w:rsid w:val="008120FB"/>
    <w:rsid w:val="00812A7D"/>
    <w:rsid w:val="008136A0"/>
    <w:rsid w:val="008157A1"/>
    <w:rsid w:val="008161FF"/>
    <w:rsid w:val="0081763D"/>
    <w:rsid w:val="00821577"/>
    <w:rsid w:val="008232F0"/>
    <w:rsid w:val="008233FC"/>
    <w:rsid w:val="0082375D"/>
    <w:rsid w:val="008244B4"/>
    <w:rsid w:val="00824A47"/>
    <w:rsid w:val="00824D7B"/>
    <w:rsid w:val="00825E6E"/>
    <w:rsid w:val="00826771"/>
    <w:rsid w:val="00826D5B"/>
    <w:rsid w:val="00826D69"/>
    <w:rsid w:val="008275FB"/>
    <w:rsid w:val="00827A12"/>
    <w:rsid w:val="00831841"/>
    <w:rsid w:val="00832D8E"/>
    <w:rsid w:val="00833BD0"/>
    <w:rsid w:val="00836419"/>
    <w:rsid w:val="00836C09"/>
    <w:rsid w:val="00837477"/>
    <w:rsid w:val="008374E7"/>
    <w:rsid w:val="00837788"/>
    <w:rsid w:val="00837B0D"/>
    <w:rsid w:val="00841D11"/>
    <w:rsid w:val="0084255A"/>
    <w:rsid w:val="008455D3"/>
    <w:rsid w:val="00846323"/>
    <w:rsid w:val="00846D04"/>
    <w:rsid w:val="00846EEC"/>
    <w:rsid w:val="00847F54"/>
    <w:rsid w:val="00852532"/>
    <w:rsid w:val="00853BC9"/>
    <w:rsid w:val="00855256"/>
    <w:rsid w:val="00856478"/>
    <w:rsid w:val="00856A92"/>
    <w:rsid w:val="008575FA"/>
    <w:rsid w:val="00861A55"/>
    <w:rsid w:val="00861DF4"/>
    <w:rsid w:val="0086310D"/>
    <w:rsid w:val="00863D1B"/>
    <w:rsid w:val="008650E8"/>
    <w:rsid w:val="00865607"/>
    <w:rsid w:val="0086637A"/>
    <w:rsid w:val="00872FA3"/>
    <w:rsid w:val="0087312D"/>
    <w:rsid w:val="00873CD7"/>
    <w:rsid w:val="0087464A"/>
    <w:rsid w:val="00874882"/>
    <w:rsid w:val="008759DE"/>
    <w:rsid w:val="00875FBF"/>
    <w:rsid w:val="00876205"/>
    <w:rsid w:val="00876CBC"/>
    <w:rsid w:val="008779A9"/>
    <w:rsid w:val="00880B3A"/>
    <w:rsid w:val="0088568C"/>
    <w:rsid w:val="00891648"/>
    <w:rsid w:val="00891ED7"/>
    <w:rsid w:val="00892B0C"/>
    <w:rsid w:val="00893469"/>
    <w:rsid w:val="008934B1"/>
    <w:rsid w:val="00895288"/>
    <w:rsid w:val="008959AA"/>
    <w:rsid w:val="00896CF9"/>
    <w:rsid w:val="0089718D"/>
    <w:rsid w:val="00897C9F"/>
    <w:rsid w:val="008A14E2"/>
    <w:rsid w:val="008A1EB7"/>
    <w:rsid w:val="008A454B"/>
    <w:rsid w:val="008A6434"/>
    <w:rsid w:val="008A6957"/>
    <w:rsid w:val="008B07BC"/>
    <w:rsid w:val="008B2757"/>
    <w:rsid w:val="008B2861"/>
    <w:rsid w:val="008B348A"/>
    <w:rsid w:val="008B3D5A"/>
    <w:rsid w:val="008B4CCC"/>
    <w:rsid w:val="008B5E3B"/>
    <w:rsid w:val="008B6B4B"/>
    <w:rsid w:val="008B74A0"/>
    <w:rsid w:val="008B7F58"/>
    <w:rsid w:val="008C1331"/>
    <w:rsid w:val="008C1B33"/>
    <w:rsid w:val="008C3397"/>
    <w:rsid w:val="008C6945"/>
    <w:rsid w:val="008C7D92"/>
    <w:rsid w:val="008D075E"/>
    <w:rsid w:val="008D1C27"/>
    <w:rsid w:val="008D2440"/>
    <w:rsid w:val="008D399B"/>
    <w:rsid w:val="008D6D3E"/>
    <w:rsid w:val="008D6F0C"/>
    <w:rsid w:val="008D75F0"/>
    <w:rsid w:val="008E0E92"/>
    <w:rsid w:val="008E1BA3"/>
    <w:rsid w:val="008E288E"/>
    <w:rsid w:val="008E2C30"/>
    <w:rsid w:val="008E5797"/>
    <w:rsid w:val="008E57FA"/>
    <w:rsid w:val="008E70DD"/>
    <w:rsid w:val="008E79AD"/>
    <w:rsid w:val="008F0218"/>
    <w:rsid w:val="008F05E2"/>
    <w:rsid w:val="008F363D"/>
    <w:rsid w:val="008F72E6"/>
    <w:rsid w:val="00900872"/>
    <w:rsid w:val="00904294"/>
    <w:rsid w:val="00905461"/>
    <w:rsid w:val="00905AB8"/>
    <w:rsid w:val="00905CEB"/>
    <w:rsid w:val="0090692B"/>
    <w:rsid w:val="00907991"/>
    <w:rsid w:val="0091520B"/>
    <w:rsid w:val="00916EF2"/>
    <w:rsid w:val="00917288"/>
    <w:rsid w:val="00917CB3"/>
    <w:rsid w:val="00917CC6"/>
    <w:rsid w:val="009201FC"/>
    <w:rsid w:val="00921C28"/>
    <w:rsid w:val="00922B83"/>
    <w:rsid w:val="00927A9E"/>
    <w:rsid w:val="009309BE"/>
    <w:rsid w:val="00930EE4"/>
    <w:rsid w:val="00932DBC"/>
    <w:rsid w:val="00936203"/>
    <w:rsid w:val="00936C0C"/>
    <w:rsid w:val="00937386"/>
    <w:rsid w:val="00940011"/>
    <w:rsid w:val="00940013"/>
    <w:rsid w:val="00940B1D"/>
    <w:rsid w:val="009410D7"/>
    <w:rsid w:val="00941112"/>
    <w:rsid w:val="00941AB8"/>
    <w:rsid w:val="00942817"/>
    <w:rsid w:val="00944549"/>
    <w:rsid w:val="009446EC"/>
    <w:rsid w:val="00944719"/>
    <w:rsid w:val="00945F26"/>
    <w:rsid w:val="009461BE"/>
    <w:rsid w:val="00946AD2"/>
    <w:rsid w:val="00947369"/>
    <w:rsid w:val="00947617"/>
    <w:rsid w:val="00947D0B"/>
    <w:rsid w:val="0095085B"/>
    <w:rsid w:val="00951746"/>
    <w:rsid w:val="009518D0"/>
    <w:rsid w:val="00952A93"/>
    <w:rsid w:val="00952CD1"/>
    <w:rsid w:val="009537F1"/>
    <w:rsid w:val="009543CA"/>
    <w:rsid w:val="009549C6"/>
    <w:rsid w:val="009571E9"/>
    <w:rsid w:val="00965F17"/>
    <w:rsid w:val="009715F1"/>
    <w:rsid w:val="009721B4"/>
    <w:rsid w:val="009725B5"/>
    <w:rsid w:val="009726F6"/>
    <w:rsid w:val="00973C51"/>
    <w:rsid w:val="00977B47"/>
    <w:rsid w:val="00984DCF"/>
    <w:rsid w:val="0098546A"/>
    <w:rsid w:val="00986591"/>
    <w:rsid w:val="009878D5"/>
    <w:rsid w:val="00990BB1"/>
    <w:rsid w:val="009915CF"/>
    <w:rsid w:val="009922A5"/>
    <w:rsid w:val="009945D3"/>
    <w:rsid w:val="00994DE2"/>
    <w:rsid w:val="00994E0D"/>
    <w:rsid w:val="0099520C"/>
    <w:rsid w:val="009A00DA"/>
    <w:rsid w:val="009A033A"/>
    <w:rsid w:val="009A3323"/>
    <w:rsid w:val="009A52C4"/>
    <w:rsid w:val="009A6B62"/>
    <w:rsid w:val="009A6F83"/>
    <w:rsid w:val="009A708D"/>
    <w:rsid w:val="009B11F8"/>
    <w:rsid w:val="009B2B16"/>
    <w:rsid w:val="009B4089"/>
    <w:rsid w:val="009B59FA"/>
    <w:rsid w:val="009B5E22"/>
    <w:rsid w:val="009B7269"/>
    <w:rsid w:val="009C0811"/>
    <w:rsid w:val="009C0D4A"/>
    <w:rsid w:val="009C186C"/>
    <w:rsid w:val="009C1907"/>
    <w:rsid w:val="009C5985"/>
    <w:rsid w:val="009D0187"/>
    <w:rsid w:val="009D30A3"/>
    <w:rsid w:val="009D35E7"/>
    <w:rsid w:val="009E047B"/>
    <w:rsid w:val="009E0673"/>
    <w:rsid w:val="009E0891"/>
    <w:rsid w:val="009E0954"/>
    <w:rsid w:val="009E1CFC"/>
    <w:rsid w:val="009E21A9"/>
    <w:rsid w:val="009E224E"/>
    <w:rsid w:val="009E2ACC"/>
    <w:rsid w:val="009E419E"/>
    <w:rsid w:val="009E5982"/>
    <w:rsid w:val="009E77BB"/>
    <w:rsid w:val="009F0B0B"/>
    <w:rsid w:val="009F29F9"/>
    <w:rsid w:val="009F5585"/>
    <w:rsid w:val="009F62B7"/>
    <w:rsid w:val="009F7726"/>
    <w:rsid w:val="009F7B5A"/>
    <w:rsid w:val="00A028CA"/>
    <w:rsid w:val="00A03325"/>
    <w:rsid w:val="00A04593"/>
    <w:rsid w:val="00A0782A"/>
    <w:rsid w:val="00A10424"/>
    <w:rsid w:val="00A10BAB"/>
    <w:rsid w:val="00A11DC9"/>
    <w:rsid w:val="00A14411"/>
    <w:rsid w:val="00A14700"/>
    <w:rsid w:val="00A15913"/>
    <w:rsid w:val="00A15CDA"/>
    <w:rsid w:val="00A161D8"/>
    <w:rsid w:val="00A17142"/>
    <w:rsid w:val="00A177CD"/>
    <w:rsid w:val="00A1786B"/>
    <w:rsid w:val="00A20E24"/>
    <w:rsid w:val="00A22BC8"/>
    <w:rsid w:val="00A2327C"/>
    <w:rsid w:val="00A23CDB"/>
    <w:rsid w:val="00A26527"/>
    <w:rsid w:val="00A27F54"/>
    <w:rsid w:val="00A30C7C"/>
    <w:rsid w:val="00A30F89"/>
    <w:rsid w:val="00A31924"/>
    <w:rsid w:val="00A34167"/>
    <w:rsid w:val="00A34997"/>
    <w:rsid w:val="00A35BFC"/>
    <w:rsid w:val="00A372C7"/>
    <w:rsid w:val="00A375C3"/>
    <w:rsid w:val="00A40EB4"/>
    <w:rsid w:val="00A42225"/>
    <w:rsid w:val="00A4271C"/>
    <w:rsid w:val="00A4292F"/>
    <w:rsid w:val="00A42DDC"/>
    <w:rsid w:val="00A445D5"/>
    <w:rsid w:val="00A45859"/>
    <w:rsid w:val="00A466DB"/>
    <w:rsid w:val="00A46CB7"/>
    <w:rsid w:val="00A47108"/>
    <w:rsid w:val="00A52509"/>
    <w:rsid w:val="00A52CC8"/>
    <w:rsid w:val="00A53957"/>
    <w:rsid w:val="00A54F44"/>
    <w:rsid w:val="00A564BA"/>
    <w:rsid w:val="00A56C86"/>
    <w:rsid w:val="00A61EFC"/>
    <w:rsid w:val="00A6202A"/>
    <w:rsid w:val="00A6258A"/>
    <w:rsid w:val="00A64D48"/>
    <w:rsid w:val="00A65544"/>
    <w:rsid w:val="00A65B8C"/>
    <w:rsid w:val="00A66474"/>
    <w:rsid w:val="00A664AC"/>
    <w:rsid w:val="00A66D35"/>
    <w:rsid w:val="00A67B19"/>
    <w:rsid w:val="00A71061"/>
    <w:rsid w:val="00A71188"/>
    <w:rsid w:val="00A71196"/>
    <w:rsid w:val="00A7385A"/>
    <w:rsid w:val="00A7431B"/>
    <w:rsid w:val="00A7473C"/>
    <w:rsid w:val="00A7613E"/>
    <w:rsid w:val="00A767CD"/>
    <w:rsid w:val="00A81563"/>
    <w:rsid w:val="00A82FF2"/>
    <w:rsid w:val="00A834F1"/>
    <w:rsid w:val="00A83AB5"/>
    <w:rsid w:val="00A858E0"/>
    <w:rsid w:val="00A87087"/>
    <w:rsid w:val="00A92838"/>
    <w:rsid w:val="00A97A6C"/>
    <w:rsid w:val="00AA1F01"/>
    <w:rsid w:val="00AA36CD"/>
    <w:rsid w:val="00AA39C4"/>
    <w:rsid w:val="00AA3D36"/>
    <w:rsid w:val="00AA51B9"/>
    <w:rsid w:val="00AB0964"/>
    <w:rsid w:val="00AB5C90"/>
    <w:rsid w:val="00AB60B1"/>
    <w:rsid w:val="00AB6406"/>
    <w:rsid w:val="00AC16E1"/>
    <w:rsid w:val="00AC28A9"/>
    <w:rsid w:val="00AC5DE0"/>
    <w:rsid w:val="00AC6297"/>
    <w:rsid w:val="00AC6568"/>
    <w:rsid w:val="00AD08C5"/>
    <w:rsid w:val="00AD1807"/>
    <w:rsid w:val="00AD362C"/>
    <w:rsid w:val="00AD534F"/>
    <w:rsid w:val="00AD6389"/>
    <w:rsid w:val="00AD65D2"/>
    <w:rsid w:val="00AD66AA"/>
    <w:rsid w:val="00AE106D"/>
    <w:rsid w:val="00AE19EE"/>
    <w:rsid w:val="00AE370D"/>
    <w:rsid w:val="00AE4C39"/>
    <w:rsid w:val="00AE50B3"/>
    <w:rsid w:val="00AE5FA1"/>
    <w:rsid w:val="00AE6177"/>
    <w:rsid w:val="00AE66F9"/>
    <w:rsid w:val="00AE76E5"/>
    <w:rsid w:val="00AF0D43"/>
    <w:rsid w:val="00AF374B"/>
    <w:rsid w:val="00AF4637"/>
    <w:rsid w:val="00AF4D54"/>
    <w:rsid w:val="00AF5FAD"/>
    <w:rsid w:val="00AF65B8"/>
    <w:rsid w:val="00AF71D8"/>
    <w:rsid w:val="00B00E1D"/>
    <w:rsid w:val="00B01535"/>
    <w:rsid w:val="00B02BF0"/>
    <w:rsid w:val="00B036E1"/>
    <w:rsid w:val="00B05925"/>
    <w:rsid w:val="00B05B0B"/>
    <w:rsid w:val="00B05DC9"/>
    <w:rsid w:val="00B05E18"/>
    <w:rsid w:val="00B067AC"/>
    <w:rsid w:val="00B11829"/>
    <w:rsid w:val="00B12EBF"/>
    <w:rsid w:val="00B13A1D"/>
    <w:rsid w:val="00B16123"/>
    <w:rsid w:val="00B1682E"/>
    <w:rsid w:val="00B17399"/>
    <w:rsid w:val="00B17B91"/>
    <w:rsid w:val="00B20841"/>
    <w:rsid w:val="00B2168B"/>
    <w:rsid w:val="00B2193C"/>
    <w:rsid w:val="00B21BFE"/>
    <w:rsid w:val="00B21FFE"/>
    <w:rsid w:val="00B22097"/>
    <w:rsid w:val="00B22378"/>
    <w:rsid w:val="00B229C5"/>
    <w:rsid w:val="00B25539"/>
    <w:rsid w:val="00B278AE"/>
    <w:rsid w:val="00B27E78"/>
    <w:rsid w:val="00B30601"/>
    <w:rsid w:val="00B314F0"/>
    <w:rsid w:val="00B34223"/>
    <w:rsid w:val="00B35280"/>
    <w:rsid w:val="00B36A43"/>
    <w:rsid w:val="00B37009"/>
    <w:rsid w:val="00B401F0"/>
    <w:rsid w:val="00B40D4A"/>
    <w:rsid w:val="00B4134D"/>
    <w:rsid w:val="00B41819"/>
    <w:rsid w:val="00B45614"/>
    <w:rsid w:val="00B45B75"/>
    <w:rsid w:val="00B4686E"/>
    <w:rsid w:val="00B46E9C"/>
    <w:rsid w:val="00B472A7"/>
    <w:rsid w:val="00B47587"/>
    <w:rsid w:val="00B47F05"/>
    <w:rsid w:val="00B50017"/>
    <w:rsid w:val="00B50C70"/>
    <w:rsid w:val="00B51DEF"/>
    <w:rsid w:val="00B5364C"/>
    <w:rsid w:val="00B53892"/>
    <w:rsid w:val="00B60106"/>
    <w:rsid w:val="00B6142A"/>
    <w:rsid w:val="00B636AB"/>
    <w:rsid w:val="00B63BDF"/>
    <w:rsid w:val="00B6566B"/>
    <w:rsid w:val="00B6578D"/>
    <w:rsid w:val="00B672AE"/>
    <w:rsid w:val="00B700CB"/>
    <w:rsid w:val="00B728EF"/>
    <w:rsid w:val="00B73984"/>
    <w:rsid w:val="00B73CD8"/>
    <w:rsid w:val="00B74FBE"/>
    <w:rsid w:val="00B77620"/>
    <w:rsid w:val="00B7798B"/>
    <w:rsid w:val="00B819EE"/>
    <w:rsid w:val="00B81F74"/>
    <w:rsid w:val="00B83919"/>
    <w:rsid w:val="00B861A8"/>
    <w:rsid w:val="00B86673"/>
    <w:rsid w:val="00B87903"/>
    <w:rsid w:val="00B90857"/>
    <w:rsid w:val="00B90919"/>
    <w:rsid w:val="00B92325"/>
    <w:rsid w:val="00B94C97"/>
    <w:rsid w:val="00B964D3"/>
    <w:rsid w:val="00B97B63"/>
    <w:rsid w:val="00BA07D4"/>
    <w:rsid w:val="00BA1877"/>
    <w:rsid w:val="00BA28FF"/>
    <w:rsid w:val="00BA3068"/>
    <w:rsid w:val="00BA3480"/>
    <w:rsid w:val="00BA43B4"/>
    <w:rsid w:val="00BA5BCE"/>
    <w:rsid w:val="00BA5BE9"/>
    <w:rsid w:val="00BA6C9E"/>
    <w:rsid w:val="00BA776F"/>
    <w:rsid w:val="00BB0E49"/>
    <w:rsid w:val="00BB1327"/>
    <w:rsid w:val="00BB2DCE"/>
    <w:rsid w:val="00BB3D1B"/>
    <w:rsid w:val="00BB57CB"/>
    <w:rsid w:val="00BB5D30"/>
    <w:rsid w:val="00BB5E40"/>
    <w:rsid w:val="00BB6830"/>
    <w:rsid w:val="00BB68FC"/>
    <w:rsid w:val="00BB6A1F"/>
    <w:rsid w:val="00BB6B99"/>
    <w:rsid w:val="00BC0464"/>
    <w:rsid w:val="00BC08DD"/>
    <w:rsid w:val="00BC359E"/>
    <w:rsid w:val="00BC35BB"/>
    <w:rsid w:val="00BC4349"/>
    <w:rsid w:val="00BC4485"/>
    <w:rsid w:val="00BC4B8C"/>
    <w:rsid w:val="00BC6697"/>
    <w:rsid w:val="00BD1EF2"/>
    <w:rsid w:val="00BD32F9"/>
    <w:rsid w:val="00BD359A"/>
    <w:rsid w:val="00BD3885"/>
    <w:rsid w:val="00BD5E7D"/>
    <w:rsid w:val="00BD61F0"/>
    <w:rsid w:val="00BD62B2"/>
    <w:rsid w:val="00BD7D3C"/>
    <w:rsid w:val="00BE0571"/>
    <w:rsid w:val="00BE0781"/>
    <w:rsid w:val="00BE0F32"/>
    <w:rsid w:val="00BE26B6"/>
    <w:rsid w:val="00BE4935"/>
    <w:rsid w:val="00BE7B63"/>
    <w:rsid w:val="00BF225E"/>
    <w:rsid w:val="00BF2D4F"/>
    <w:rsid w:val="00BF457E"/>
    <w:rsid w:val="00BF4EC4"/>
    <w:rsid w:val="00BF62F5"/>
    <w:rsid w:val="00BF676A"/>
    <w:rsid w:val="00BF7002"/>
    <w:rsid w:val="00C017D9"/>
    <w:rsid w:val="00C02ECA"/>
    <w:rsid w:val="00C02F99"/>
    <w:rsid w:val="00C0395E"/>
    <w:rsid w:val="00C04B8B"/>
    <w:rsid w:val="00C067BB"/>
    <w:rsid w:val="00C07AAA"/>
    <w:rsid w:val="00C11A14"/>
    <w:rsid w:val="00C15FC2"/>
    <w:rsid w:val="00C16790"/>
    <w:rsid w:val="00C16816"/>
    <w:rsid w:val="00C1720C"/>
    <w:rsid w:val="00C17B26"/>
    <w:rsid w:val="00C20A46"/>
    <w:rsid w:val="00C20E84"/>
    <w:rsid w:val="00C214B8"/>
    <w:rsid w:val="00C2168F"/>
    <w:rsid w:val="00C22540"/>
    <w:rsid w:val="00C2339D"/>
    <w:rsid w:val="00C23825"/>
    <w:rsid w:val="00C238B1"/>
    <w:rsid w:val="00C249B3"/>
    <w:rsid w:val="00C252DD"/>
    <w:rsid w:val="00C27D62"/>
    <w:rsid w:val="00C30347"/>
    <w:rsid w:val="00C303E4"/>
    <w:rsid w:val="00C336A4"/>
    <w:rsid w:val="00C356DF"/>
    <w:rsid w:val="00C36A94"/>
    <w:rsid w:val="00C37333"/>
    <w:rsid w:val="00C41246"/>
    <w:rsid w:val="00C41506"/>
    <w:rsid w:val="00C418E7"/>
    <w:rsid w:val="00C41AC2"/>
    <w:rsid w:val="00C41F68"/>
    <w:rsid w:val="00C42026"/>
    <w:rsid w:val="00C44969"/>
    <w:rsid w:val="00C44E14"/>
    <w:rsid w:val="00C46FD8"/>
    <w:rsid w:val="00C537C8"/>
    <w:rsid w:val="00C54047"/>
    <w:rsid w:val="00C552E7"/>
    <w:rsid w:val="00C5563B"/>
    <w:rsid w:val="00C56636"/>
    <w:rsid w:val="00C56CFD"/>
    <w:rsid w:val="00C56E09"/>
    <w:rsid w:val="00C570C9"/>
    <w:rsid w:val="00C5753C"/>
    <w:rsid w:val="00C57ADD"/>
    <w:rsid w:val="00C57BE0"/>
    <w:rsid w:val="00C62B68"/>
    <w:rsid w:val="00C63E19"/>
    <w:rsid w:val="00C667AD"/>
    <w:rsid w:val="00C6695C"/>
    <w:rsid w:val="00C67CCE"/>
    <w:rsid w:val="00C67F47"/>
    <w:rsid w:val="00C719AE"/>
    <w:rsid w:val="00C71E1C"/>
    <w:rsid w:val="00C72B7F"/>
    <w:rsid w:val="00C73192"/>
    <w:rsid w:val="00C73728"/>
    <w:rsid w:val="00C74805"/>
    <w:rsid w:val="00C749CA"/>
    <w:rsid w:val="00C75327"/>
    <w:rsid w:val="00C76BC4"/>
    <w:rsid w:val="00C811A9"/>
    <w:rsid w:val="00C813DC"/>
    <w:rsid w:val="00C831CD"/>
    <w:rsid w:val="00C8460B"/>
    <w:rsid w:val="00C86AAC"/>
    <w:rsid w:val="00C90F28"/>
    <w:rsid w:val="00C92353"/>
    <w:rsid w:val="00C92892"/>
    <w:rsid w:val="00C93F0E"/>
    <w:rsid w:val="00C9439B"/>
    <w:rsid w:val="00C9508B"/>
    <w:rsid w:val="00C9678A"/>
    <w:rsid w:val="00CA0D23"/>
    <w:rsid w:val="00CA14C9"/>
    <w:rsid w:val="00CA1A66"/>
    <w:rsid w:val="00CA2F64"/>
    <w:rsid w:val="00CA3033"/>
    <w:rsid w:val="00CA6017"/>
    <w:rsid w:val="00CA644B"/>
    <w:rsid w:val="00CA670A"/>
    <w:rsid w:val="00CA6D93"/>
    <w:rsid w:val="00CA7008"/>
    <w:rsid w:val="00CA7EF2"/>
    <w:rsid w:val="00CB0AE7"/>
    <w:rsid w:val="00CC0295"/>
    <w:rsid w:val="00CC0390"/>
    <w:rsid w:val="00CC03E5"/>
    <w:rsid w:val="00CC1B1F"/>
    <w:rsid w:val="00CC2BC9"/>
    <w:rsid w:val="00CC3145"/>
    <w:rsid w:val="00CC432D"/>
    <w:rsid w:val="00CC493F"/>
    <w:rsid w:val="00CC717A"/>
    <w:rsid w:val="00CD0FD5"/>
    <w:rsid w:val="00CD25B0"/>
    <w:rsid w:val="00CD2918"/>
    <w:rsid w:val="00CD582D"/>
    <w:rsid w:val="00CD71F5"/>
    <w:rsid w:val="00CD7801"/>
    <w:rsid w:val="00CE1D6B"/>
    <w:rsid w:val="00CE29C4"/>
    <w:rsid w:val="00CE33C9"/>
    <w:rsid w:val="00CE598A"/>
    <w:rsid w:val="00CE5E02"/>
    <w:rsid w:val="00CE68C6"/>
    <w:rsid w:val="00CE6A6E"/>
    <w:rsid w:val="00CE7057"/>
    <w:rsid w:val="00CE7ACE"/>
    <w:rsid w:val="00CF0065"/>
    <w:rsid w:val="00CF07EF"/>
    <w:rsid w:val="00CF7A0E"/>
    <w:rsid w:val="00D003DF"/>
    <w:rsid w:val="00D02006"/>
    <w:rsid w:val="00D02055"/>
    <w:rsid w:val="00D02C02"/>
    <w:rsid w:val="00D033D8"/>
    <w:rsid w:val="00D04933"/>
    <w:rsid w:val="00D101A9"/>
    <w:rsid w:val="00D1134A"/>
    <w:rsid w:val="00D1201F"/>
    <w:rsid w:val="00D15120"/>
    <w:rsid w:val="00D17401"/>
    <w:rsid w:val="00D20A36"/>
    <w:rsid w:val="00D20F03"/>
    <w:rsid w:val="00D21A7F"/>
    <w:rsid w:val="00D227AC"/>
    <w:rsid w:val="00D22A79"/>
    <w:rsid w:val="00D23134"/>
    <w:rsid w:val="00D24E86"/>
    <w:rsid w:val="00D25637"/>
    <w:rsid w:val="00D26BF2"/>
    <w:rsid w:val="00D27015"/>
    <w:rsid w:val="00D30D60"/>
    <w:rsid w:val="00D3138D"/>
    <w:rsid w:val="00D31639"/>
    <w:rsid w:val="00D31A8D"/>
    <w:rsid w:val="00D3232B"/>
    <w:rsid w:val="00D32FC9"/>
    <w:rsid w:val="00D33668"/>
    <w:rsid w:val="00D33F05"/>
    <w:rsid w:val="00D34D2A"/>
    <w:rsid w:val="00D37E07"/>
    <w:rsid w:val="00D40B09"/>
    <w:rsid w:val="00D41853"/>
    <w:rsid w:val="00D41EB1"/>
    <w:rsid w:val="00D4267F"/>
    <w:rsid w:val="00D4285C"/>
    <w:rsid w:val="00D45252"/>
    <w:rsid w:val="00D455A5"/>
    <w:rsid w:val="00D5100F"/>
    <w:rsid w:val="00D513B7"/>
    <w:rsid w:val="00D517C6"/>
    <w:rsid w:val="00D51F50"/>
    <w:rsid w:val="00D52B9A"/>
    <w:rsid w:val="00D535D1"/>
    <w:rsid w:val="00D5566B"/>
    <w:rsid w:val="00D56290"/>
    <w:rsid w:val="00D57B65"/>
    <w:rsid w:val="00D61B5B"/>
    <w:rsid w:val="00D624FA"/>
    <w:rsid w:val="00D62EEE"/>
    <w:rsid w:val="00D6426E"/>
    <w:rsid w:val="00D65955"/>
    <w:rsid w:val="00D66209"/>
    <w:rsid w:val="00D671FF"/>
    <w:rsid w:val="00D67358"/>
    <w:rsid w:val="00D675EC"/>
    <w:rsid w:val="00D70BD8"/>
    <w:rsid w:val="00D71434"/>
    <w:rsid w:val="00D72542"/>
    <w:rsid w:val="00D734E0"/>
    <w:rsid w:val="00D76586"/>
    <w:rsid w:val="00D81533"/>
    <w:rsid w:val="00D85072"/>
    <w:rsid w:val="00D87AE2"/>
    <w:rsid w:val="00D90723"/>
    <w:rsid w:val="00D90C11"/>
    <w:rsid w:val="00D91F30"/>
    <w:rsid w:val="00D9310F"/>
    <w:rsid w:val="00D931C2"/>
    <w:rsid w:val="00D96453"/>
    <w:rsid w:val="00D9723F"/>
    <w:rsid w:val="00DA0441"/>
    <w:rsid w:val="00DA09AB"/>
    <w:rsid w:val="00DA5295"/>
    <w:rsid w:val="00DA5942"/>
    <w:rsid w:val="00DB30DA"/>
    <w:rsid w:val="00DB35CE"/>
    <w:rsid w:val="00DB44F1"/>
    <w:rsid w:val="00DB493B"/>
    <w:rsid w:val="00DB5912"/>
    <w:rsid w:val="00DB6F31"/>
    <w:rsid w:val="00DB7A24"/>
    <w:rsid w:val="00DC0CAB"/>
    <w:rsid w:val="00DC452A"/>
    <w:rsid w:val="00DC675D"/>
    <w:rsid w:val="00DC69F0"/>
    <w:rsid w:val="00DC7F05"/>
    <w:rsid w:val="00DD150A"/>
    <w:rsid w:val="00DD6B64"/>
    <w:rsid w:val="00DD777D"/>
    <w:rsid w:val="00DE0AA7"/>
    <w:rsid w:val="00DE1330"/>
    <w:rsid w:val="00DE1508"/>
    <w:rsid w:val="00DE1C95"/>
    <w:rsid w:val="00DE3489"/>
    <w:rsid w:val="00DE3C53"/>
    <w:rsid w:val="00DE3EA8"/>
    <w:rsid w:val="00DE4440"/>
    <w:rsid w:val="00DE4AC8"/>
    <w:rsid w:val="00DE55E4"/>
    <w:rsid w:val="00DE5909"/>
    <w:rsid w:val="00DE5A48"/>
    <w:rsid w:val="00DF10E2"/>
    <w:rsid w:val="00DF1950"/>
    <w:rsid w:val="00DF1A76"/>
    <w:rsid w:val="00DF31A6"/>
    <w:rsid w:val="00DF3239"/>
    <w:rsid w:val="00DF3E13"/>
    <w:rsid w:val="00DF76EA"/>
    <w:rsid w:val="00E00267"/>
    <w:rsid w:val="00E02D4A"/>
    <w:rsid w:val="00E03B8B"/>
    <w:rsid w:val="00E03D77"/>
    <w:rsid w:val="00E03F6C"/>
    <w:rsid w:val="00E044CF"/>
    <w:rsid w:val="00E04BAA"/>
    <w:rsid w:val="00E060AF"/>
    <w:rsid w:val="00E06F46"/>
    <w:rsid w:val="00E07077"/>
    <w:rsid w:val="00E07C83"/>
    <w:rsid w:val="00E11A25"/>
    <w:rsid w:val="00E12827"/>
    <w:rsid w:val="00E14362"/>
    <w:rsid w:val="00E15B93"/>
    <w:rsid w:val="00E16A74"/>
    <w:rsid w:val="00E17D12"/>
    <w:rsid w:val="00E21394"/>
    <w:rsid w:val="00E2487D"/>
    <w:rsid w:val="00E25494"/>
    <w:rsid w:val="00E25603"/>
    <w:rsid w:val="00E26076"/>
    <w:rsid w:val="00E267DA"/>
    <w:rsid w:val="00E27004"/>
    <w:rsid w:val="00E30B27"/>
    <w:rsid w:val="00E31CC7"/>
    <w:rsid w:val="00E31F5D"/>
    <w:rsid w:val="00E3308F"/>
    <w:rsid w:val="00E3394E"/>
    <w:rsid w:val="00E34ACA"/>
    <w:rsid w:val="00E350CB"/>
    <w:rsid w:val="00E3586B"/>
    <w:rsid w:val="00E36B30"/>
    <w:rsid w:val="00E41027"/>
    <w:rsid w:val="00E4207C"/>
    <w:rsid w:val="00E42A4A"/>
    <w:rsid w:val="00E43C31"/>
    <w:rsid w:val="00E43D74"/>
    <w:rsid w:val="00E44A70"/>
    <w:rsid w:val="00E44BE4"/>
    <w:rsid w:val="00E46370"/>
    <w:rsid w:val="00E46A62"/>
    <w:rsid w:val="00E47365"/>
    <w:rsid w:val="00E50A10"/>
    <w:rsid w:val="00E50F29"/>
    <w:rsid w:val="00E512C2"/>
    <w:rsid w:val="00E51E7C"/>
    <w:rsid w:val="00E5225C"/>
    <w:rsid w:val="00E52868"/>
    <w:rsid w:val="00E53B39"/>
    <w:rsid w:val="00E54F99"/>
    <w:rsid w:val="00E55719"/>
    <w:rsid w:val="00E568C5"/>
    <w:rsid w:val="00E627A4"/>
    <w:rsid w:val="00E6439E"/>
    <w:rsid w:val="00E6456C"/>
    <w:rsid w:val="00E64BF7"/>
    <w:rsid w:val="00E64E83"/>
    <w:rsid w:val="00E66440"/>
    <w:rsid w:val="00E67E2A"/>
    <w:rsid w:val="00E70C58"/>
    <w:rsid w:val="00E71544"/>
    <w:rsid w:val="00E71B1E"/>
    <w:rsid w:val="00E7305A"/>
    <w:rsid w:val="00E816D1"/>
    <w:rsid w:val="00E82CD1"/>
    <w:rsid w:val="00E84DEB"/>
    <w:rsid w:val="00E85C72"/>
    <w:rsid w:val="00E85D2A"/>
    <w:rsid w:val="00E86121"/>
    <w:rsid w:val="00E86C13"/>
    <w:rsid w:val="00E87D6E"/>
    <w:rsid w:val="00E936EE"/>
    <w:rsid w:val="00E94996"/>
    <w:rsid w:val="00E94CE2"/>
    <w:rsid w:val="00E95236"/>
    <w:rsid w:val="00E9568D"/>
    <w:rsid w:val="00E95AEC"/>
    <w:rsid w:val="00E967DB"/>
    <w:rsid w:val="00E97E4D"/>
    <w:rsid w:val="00EA1561"/>
    <w:rsid w:val="00EA3A98"/>
    <w:rsid w:val="00EA50DE"/>
    <w:rsid w:val="00EA65C3"/>
    <w:rsid w:val="00EA7217"/>
    <w:rsid w:val="00EA77A6"/>
    <w:rsid w:val="00EA7A84"/>
    <w:rsid w:val="00EB074A"/>
    <w:rsid w:val="00EB33FF"/>
    <w:rsid w:val="00EB4579"/>
    <w:rsid w:val="00EB5F2C"/>
    <w:rsid w:val="00EB6017"/>
    <w:rsid w:val="00EB6098"/>
    <w:rsid w:val="00EB7D79"/>
    <w:rsid w:val="00EC0AEC"/>
    <w:rsid w:val="00EC1AA6"/>
    <w:rsid w:val="00EC21AD"/>
    <w:rsid w:val="00EC3431"/>
    <w:rsid w:val="00EC50EC"/>
    <w:rsid w:val="00EC5996"/>
    <w:rsid w:val="00EC6E98"/>
    <w:rsid w:val="00EC7764"/>
    <w:rsid w:val="00EC7A7E"/>
    <w:rsid w:val="00ED010C"/>
    <w:rsid w:val="00ED0E62"/>
    <w:rsid w:val="00ED0ED4"/>
    <w:rsid w:val="00ED276D"/>
    <w:rsid w:val="00ED2911"/>
    <w:rsid w:val="00ED41A8"/>
    <w:rsid w:val="00ED58B9"/>
    <w:rsid w:val="00ED70D5"/>
    <w:rsid w:val="00ED76BE"/>
    <w:rsid w:val="00EE16D2"/>
    <w:rsid w:val="00EE315A"/>
    <w:rsid w:val="00EE36C9"/>
    <w:rsid w:val="00EE51E4"/>
    <w:rsid w:val="00EE7AFE"/>
    <w:rsid w:val="00EF36F3"/>
    <w:rsid w:val="00EF4A98"/>
    <w:rsid w:val="00EF5634"/>
    <w:rsid w:val="00EF5C17"/>
    <w:rsid w:val="00EF5D72"/>
    <w:rsid w:val="00EF67C1"/>
    <w:rsid w:val="00F00E06"/>
    <w:rsid w:val="00F0231C"/>
    <w:rsid w:val="00F02D60"/>
    <w:rsid w:val="00F03EE1"/>
    <w:rsid w:val="00F0529F"/>
    <w:rsid w:val="00F055CE"/>
    <w:rsid w:val="00F065C5"/>
    <w:rsid w:val="00F06F33"/>
    <w:rsid w:val="00F072E2"/>
    <w:rsid w:val="00F074EA"/>
    <w:rsid w:val="00F14179"/>
    <w:rsid w:val="00F14889"/>
    <w:rsid w:val="00F16344"/>
    <w:rsid w:val="00F207C6"/>
    <w:rsid w:val="00F2170D"/>
    <w:rsid w:val="00F226A2"/>
    <w:rsid w:val="00F22C75"/>
    <w:rsid w:val="00F26747"/>
    <w:rsid w:val="00F31562"/>
    <w:rsid w:val="00F34554"/>
    <w:rsid w:val="00F35935"/>
    <w:rsid w:val="00F3698F"/>
    <w:rsid w:val="00F369FD"/>
    <w:rsid w:val="00F41DBF"/>
    <w:rsid w:val="00F43273"/>
    <w:rsid w:val="00F470D5"/>
    <w:rsid w:val="00F47E59"/>
    <w:rsid w:val="00F5060B"/>
    <w:rsid w:val="00F50A76"/>
    <w:rsid w:val="00F51763"/>
    <w:rsid w:val="00F543A8"/>
    <w:rsid w:val="00F54BB1"/>
    <w:rsid w:val="00F55614"/>
    <w:rsid w:val="00F600BF"/>
    <w:rsid w:val="00F6108B"/>
    <w:rsid w:val="00F61248"/>
    <w:rsid w:val="00F628C7"/>
    <w:rsid w:val="00F63120"/>
    <w:rsid w:val="00F63167"/>
    <w:rsid w:val="00F64DB3"/>
    <w:rsid w:val="00F65845"/>
    <w:rsid w:val="00F66D3E"/>
    <w:rsid w:val="00F714A9"/>
    <w:rsid w:val="00F71F35"/>
    <w:rsid w:val="00F73A89"/>
    <w:rsid w:val="00F73F0C"/>
    <w:rsid w:val="00F75B4B"/>
    <w:rsid w:val="00F76B90"/>
    <w:rsid w:val="00F76E48"/>
    <w:rsid w:val="00F7773A"/>
    <w:rsid w:val="00F87518"/>
    <w:rsid w:val="00F87AB5"/>
    <w:rsid w:val="00F90782"/>
    <w:rsid w:val="00F9188D"/>
    <w:rsid w:val="00F92C04"/>
    <w:rsid w:val="00F93276"/>
    <w:rsid w:val="00F94016"/>
    <w:rsid w:val="00F95A63"/>
    <w:rsid w:val="00F95C4D"/>
    <w:rsid w:val="00F971A0"/>
    <w:rsid w:val="00F97640"/>
    <w:rsid w:val="00FA290E"/>
    <w:rsid w:val="00FA4574"/>
    <w:rsid w:val="00FA46AE"/>
    <w:rsid w:val="00FA7AD3"/>
    <w:rsid w:val="00FB0131"/>
    <w:rsid w:val="00FB0474"/>
    <w:rsid w:val="00FB22C9"/>
    <w:rsid w:val="00FB397D"/>
    <w:rsid w:val="00FB3AAA"/>
    <w:rsid w:val="00FB3FEB"/>
    <w:rsid w:val="00FB7430"/>
    <w:rsid w:val="00FC17A6"/>
    <w:rsid w:val="00FC1893"/>
    <w:rsid w:val="00FC311A"/>
    <w:rsid w:val="00FC440B"/>
    <w:rsid w:val="00FC487C"/>
    <w:rsid w:val="00FC6080"/>
    <w:rsid w:val="00FC7747"/>
    <w:rsid w:val="00FD14FE"/>
    <w:rsid w:val="00FD1A03"/>
    <w:rsid w:val="00FD1F57"/>
    <w:rsid w:val="00FD20CA"/>
    <w:rsid w:val="00FD2B66"/>
    <w:rsid w:val="00FD33F4"/>
    <w:rsid w:val="00FD3C19"/>
    <w:rsid w:val="00FD3D81"/>
    <w:rsid w:val="00FD44F2"/>
    <w:rsid w:val="00FD54CA"/>
    <w:rsid w:val="00FD5C4C"/>
    <w:rsid w:val="00FD65C8"/>
    <w:rsid w:val="00FD703D"/>
    <w:rsid w:val="00FE1BC7"/>
    <w:rsid w:val="00FE282C"/>
    <w:rsid w:val="00FE423D"/>
    <w:rsid w:val="00FF089D"/>
    <w:rsid w:val="00FF117D"/>
    <w:rsid w:val="00FF1AF1"/>
    <w:rsid w:val="00FF3074"/>
    <w:rsid w:val="00FF386A"/>
    <w:rsid w:val="00FF3A1B"/>
    <w:rsid w:val="00FF555F"/>
    <w:rsid w:val="00FF57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319EA"/>
  <w15:chartTrackingRefBased/>
  <w15:docId w15:val="{A4EE6BB8-F9CD-4549-8E0E-A799B7C6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2B66"/>
    <w:pPr>
      <w:spacing w:after="240" w:line="360" w:lineRule="auto"/>
      <w:jc w:val="both"/>
      <w:outlineLvl w:val="1"/>
    </w:pPr>
    <w:rPr>
      <w:b/>
      <w:bCs/>
      <w:caps/>
      <w:sz w:val="28"/>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FD2B66"/>
    <w:pPr>
      <w:keepNext/>
      <w:spacing w:before="240" w:after="60"/>
      <w:outlineLvl w:val="3"/>
    </w:pPr>
    <w:rPr>
      <w:b/>
      <w:bCs/>
      <w:sz w:val="28"/>
      <w:szCs w:val="28"/>
    </w:rPr>
  </w:style>
  <w:style w:type="paragraph" w:styleId="Heading5">
    <w:name w:val="heading 5"/>
    <w:basedOn w:val="Normal"/>
    <w:next w:val="Normal"/>
    <w:link w:val="Heading5Char"/>
    <w:qFormat/>
    <w:rsid w:val="00FD2B6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suppressAutoHyphens/>
      <w:spacing w:before="240" w:after="240" w:line="480" w:lineRule="auto"/>
      <w:jc w:val="both"/>
      <w:outlineLvl w:val="0"/>
    </w:pPr>
    <w:rPr>
      <w:szCs w:val="20"/>
    </w:rPr>
  </w:style>
  <w:style w:type="paragraph" w:customStyle="1" w:styleId="ParaLevel2">
    <w:name w:val="ParaLevel2"/>
    <w:basedOn w:val="Normal"/>
    <w:pPr>
      <w:suppressAutoHyphens/>
      <w:spacing w:before="240" w:after="240" w:line="480" w:lineRule="auto"/>
      <w:jc w:val="both"/>
      <w:outlineLvl w:val="1"/>
    </w:pPr>
    <w:rPr>
      <w:szCs w:val="20"/>
    </w:rPr>
  </w:style>
  <w:style w:type="paragraph" w:customStyle="1" w:styleId="ParaLevel3">
    <w:name w:val="ParaLevel3"/>
    <w:basedOn w:val="Normal"/>
    <w:pPr>
      <w:suppressAutoHyphens/>
      <w:spacing w:before="240" w:after="240" w:line="480" w:lineRule="auto"/>
      <w:jc w:val="both"/>
      <w:outlineLvl w:val="2"/>
    </w:pPr>
    <w:rPr>
      <w:szCs w:val="20"/>
    </w:rPr>
  </w:style>
  <w:style w:type="paragraph" w:customStyle="1" w:styleId="ParaLevel4">
    <w:name w:val="ParaLevel4"/>
    <w:basedOn w:val="Normal"/>
    <w:pPr>
      <w:suppressAutoHyphens/>
      <w:spacing w:before="240" w:after="240" w:line="480" w:lineRule="auto"/>
      <w:jc w:val="both"/>
      <w:outlineLvl w:val="3"/>
    </w:pPr>
    <w:rPr>
      <w:szCs w:val="20"/>
    </w:rPr>
  </w:style>
  <w:style w:type="paragraph" w:customStyle="1" w:styleId="ParaLevel5">
    <w:name w:val="ParaLevel5"/>
    <w:basedOn w:val="Normal"/>
    <w:pPr>
      <w:suppressAutoHyphens/>
      <w:spacing w:before="240" w:after="240" w:line="480" w:lineRule="auto"/>
      <w:jc w:val="both"/>
      <w:outlineLvl w:val="4"/>
    </w:pPr>
    <w:rPr>
      <w:szCs w:val="20"/>
    </w:rPr>
  </w:style>
  <w:style w:type="paragraph" w:customStyle="1" w:styleId="ParaLevel6">
    <w:name w:val="ParaLevel6"/>
    <w:basedOn w:val="Normal"/>
    <w:pPr>
      <w:suppressAutoHyphens/>
      <w:spacing w:before="240" w:after="240" w:line="480" w:lineRule="auto"/>
      <w:jc w:val="both"/>
      <w:outlineLvl w:val="5"/>
    </w:pPr>
    <w:rPr>
      <w:szCs w:val="20"/>
    </w:rPr>
  </w:style>
  <w:style w:type="paragraph" w:customStyle="1" w:styleId="ParaLevel7">
    <w:name w:val="ParaLevel7"/>
    <w:basedOn w:val="Normal"/>
    <w:pPr>
      <w:suppressAutoHyphens/>
      <w:spacing w:before="240" w:after="240" w:line="480" w:lineRule="auto"/>
      <w:jc w:val="both"/>
      <w:outlineLvl w:val="6"/>
    </w:pPr>
    <w:rPr>
      <w:szCs w:val="20"/>
    </w:rPr>
  </w:style>
  <w:style w:type="paragraph" w:customStyle="1" w:styleId="ParaLevel8">
    <w:name w:val="ParaLevel8"/>
    <w:basedOn w:val="Normal"/>
    <w:pPr>
      <w:suppressAutoHyphens/>
      <w:spacing w:before="240" w:after="240" w:line="480" w:lineRule="auto"/>
      <w:jc w:val="both"/>
      <w:outlineLvl w:val="7"/>
    </w:pPr>
    <w:rPr>
      <w:szCs w:val="20"/>
    </w:rPr>
  </w:style>
  <w:style w:type="paragraph" w:customStyle="1" w:styleId="ParaLevel9">
    <w:name w:val="ParaLevel9"/>
    <w:basedOn w:val="Normal"/>
    <w:p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1"/>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numbering" w:customStyle="1" w:styleId="CurrentList1">
    <w:name w:val="Current List1"/>
    <w:rsid w:val="00083638"/>
    <w:pPr>
      <w:numPr>
        <w:numId w:val="12"/>
      </w:numPr>
    </w:pPr>
  </w:style>
  <w:style w:type="paragraph" w:customStyle="1" w:styleId="eMailBlock">
    <w:name w:val="eMailBlock"/>
    <w:basedOn w:val="Title"/>
    <w:rPr>
      <w:sz w:val="26"/>
    </w:rPr>
  </w:style>
  <w:style w:type="paragraph" w:styleId="BalloonText">
    <w:name w:val="Balloon Text"/>
    <w:basedOn w:val="Normal"/>
    <w:semiHidden/>
    <w:rsid w:val="00FD2B66"/>
    <w:rPr>
      <w:rFonts w:ascii="Tahoma" w:hAnsi="Tahoma" w:cs="Tahoma"/>
      <w:sz w:val="16"/>
      <w:szCs w:val="16"/>
    </w:rPr>
  </w:style>
  <w:style w:type="character" w:customStyle="1" w:styleId="Heading2Char">
    <w:name w:val="Heading 2 Char"/>
    <w:link w:val="Heading2"/>
    <w:locked/>
    <w:rsid w:val="00FD2B66"/>
    <w:rPr>
      <w:b/>
      <w:bCs/>
      <w:caps/>
      <w:sz w:val="28"/>
      <w:szCs w:val="26"/>
      <w:lang w:val="en-GB" w:eastAsia="en-US" w:bidi="ar-SA"/>
    </w:rPr>
  </w:style>
  <w:style w:type="paragraph" w:styleId="FootnoteText">
    <w:name w:val="footnote text"/>
    <w:basedOn w:val="Normal"/>
    <w:link w:val="FootnoteTextChar"/>
    <w:semiHidden/>
    <w:rsid w:val="00FD2B66"/>
    <w:rPr>
      <w:sz w:val="20"/>
      <w:szCs w:val="20"/>
    </w:rPr>
  </w:style>
  <w:style w:type="character" w:customStyle="1" w:styleId="FootnoteTextChar">
    <w:name w:val="Footnote Text Char"/>
    <w:link w:val="FootnoteText"/>
    <w:semiHidden/>
    <w:locked/>
    <w:rsid w:val="00FD2B66"/>
    <w:rPr>
      <w:lang w:val="en-GB" w:eastAsia="en-US" w:bidi="ar-SA"/>
    </w:rPr>
  </w:style>
  <w:style w:type="character" w:styleId="FootnoteReference">
    <w:name w:val="footnote reference"/>
    <w:semiHidden/>
    <w:rsid w:val="00FD2B66"/>
    <w:rPr>
      <w:rFonts w:cs="Times New Roman"/>
      <w:vertAlign w:val="superscript"/>
    </w:rPr>
  </w:style>
  <w:style w:type="paragraph" w:styleId="ListParagraph">
    <w:name w:val="List Paragraph"/>
    <w:basedOn w:val="Normal"/>
    <w:uiPriority w:val="34"/>
    <w:qFormat/>
    <w:rsid w:val="00FD2B66"/>
    <w:pPr>
      <w:ind w:left="708"/>
    </w:pPr>
  </w:style>
  <w:style w:type="character" w:styleId="Emphasis">
    <w:name w:val="Emphasis"/>
    <w:qFormat/>
    <w:rsid w:val="00FD2B66"/>
    <w:rPr>
      <w:i/>
      <w:iCs/>
    </w:rPr>
  </w:style>
  <w:style w:type="character" w:customStyle="1" w:styleId="Heading5Char">
    <w:name w:val="Heading 5 Char"/>
    <w:link w:val="Heading5"/>
    <w:locked/>
    <w:rsid w:val="00FD2B66"/>
    <w:rPr>
      <w:b/>
      <w:bCs/>
      <w:i/>
      <w:iCs/>
      <w:sz w:val="26"/>
      <w:szCs w:val="26"/>
      <w:lang w:val="en-GB" w:eastAsia="en-US" w:bidi="ar-SA"/>
    </w:rPr>
  </w:style>
  <w:style w:type="character" w:customStyle="1" w:styleId="FooterChar1">
    <w:name w:val="Footer Char1"/>
    <w:link w:val="Footer"/>
    <w:rsid w:val="00FD2B66"/>
    <w:rPr>
      <w:rFonts w:ascii="Univers (W1)" w:hAnsi="Univers (W1)"/>
      <w:sz w:val="24"/>
      <w:lang w:val="en-GB" w:eastAsia="en-US" w:bidi="ar-SA"/>
    </w:rPr>
  </w:style>
  <w:style w:type="character" w:customStyle="1" w:styleId="FooterChar">
    <w:name w:val="Footer Char"/>
    <w:locked/>
    <w:rsid w:val="00FD2B66"/>
    <w:rPr>
      <w:rFonts w:cs="Times New Roman"/>
      <w:sz w:val="24"/>
      <w:lang w:val="x-none" w:eastAsia="en-US"/>
    </w:rPr>
  </w:style>
  <w:style w:type="paragraph" w:customStyle="1" w:styleId="ColorfulList-Accent11">
    <w:name w:val="Colorful List - Accent 11"/>
    <w:basedOn w:val="Normal"/>
    <w:rsid w:val="00FD2B66"/>
    <w:pPr>
      <w:ind w:left="708"/>
    </w:pPr>
  </w:style>
  <w:style w:type="character" w:styleId="Hyperlink">
    <w:name w:val="Hyperlink"/>
    <w:basedOn w:val="DefaultParagraphFont"/>
    <w:rsid w:val="0088568C"/>
    <w:rPr>
      <w:color w:val="0563C1" w:themeColor="hyperlink"/>
      <w:u w:val="single"/>
    </w:rPr>
  </w:style>
  <w:style w:type="character" w:styleId="UnresolvedMention">
    <w:name w:val="Unresolved Mention"/>
    <w:basedOn w:val="DefaultParagraphFont"/>
    <w:uiPriority w:val="99"/>
    <w:semiHidden/>
    <w:unhideWhenUsed/>
    <w:rsid w:val="0088568C"/>
    <w:rPr>
      <w:color w:val="605E5C"/>
      <w:shd w:val="clear" w:color="auto" w:fill="E1DFDD"/>
    </w:rPr>
  </w:style>
  <w:style w:type="paragraph" w:customStyle="1" w:styleId="level1">
    <w:name w:val="__level 1"/>
    <w:basedOn w:val="ParaLevel1"/>
    <w:qFormat/>
    <w:rsid w:val="00B46E9C"/>
    <w:pPr>
      <w:numPr>
        <w:numId w:val="13"/>
      </w:numPr>
      <w:tabs>
        <w:tab w:val="clear" w:pos="360"/>
        <w:tab w:val="num" w:pos="720"/>
      </w:tabs>
      <w:ind w:left="720" w:hanging="720"/>
    </w:pPr>
  </w:style>
  <w:style w:type="paragraph" w:customStyle="1" w:styleId="quote0">
    <w:name w:val="_quote"/>
    <w:basedOn w:val="Quote"/>
    <w:qFormat/>
    <w:rsid w:val="00B46E9C"/>
  </w:style>
  <w:style w:type="paragraph" w:styleId="Revision">
    <w:name w:val="Revision"/>
    <w:hidden/>
    <w:uiPriority w:val="99"/>
    <w:semiHidden/>
    <w:rsid w:val="00E267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3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f32f\Application%20Data\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0C6F18AA2124FAA70F063C5929885" ma:contentTypeVersion="15" ma:contentTypeDescription="Create a new document." ma:contentTypeScope="" ma:versionID="203eff051caf96e6d5e19276acd18b4b">
  <xsd:schema xmlns:xsd="http://www.w3.org/2001/XMLSchema" xmlns:xs="http://www.w3.org/2001/XMLSchema" xmlns:p="http://schemas.microsoft.com/office/2006/metadata/properties" xmlns:ns1="http://schemas.microsoft.com/sharepoint/v3" xmlns:ns3="136cb4b4-2d6b-4245-8710-0897d85c0f0e" xmlns:ns4="1f6313e8-1eda-4f13-a7ae-8d72c6366861" targetNamespace="http://schemas.microsoft.com/office/2006/metadata/properties" ma:root="true" ma:fieldsID="e00ce05ee02e45cc100ec352aed865c6" ns1:_="" ns3:_="" ns4:_="">
    <xsd:import namespace="http://schemas.microsoft.com/sharepoint/v3"/>
    <xsd:import namespace="136cb4b4-2d6b-4245-8710-0897d85c0f0e"/>
    <xsd:import namespace="1f6313e8-1eda-4f13-a7ae-8d72c63668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cb4b4-2d6b-4245-8710-0897d85c0f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313e8-1eda-4f13-a7ae-8d72c63668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9AACF-1B1C-4C6A-B24C-B7A526FC2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6cb4b4-2d6b-4245-8710-0897d85c0f0e"/>
    <ds:schemaRef ds:uri="1f6313e8-1eda-4f13-a7ae-8d72c6366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FEBD3-7A30-4B32-A0CE-905EFAE54647}">
  <ds:schemaRefs>
    <ds:schemaRef ds:uri="http://schemas.openxmlformats.org/officeDocument/2006/bibliography"/>
  </ds:schemaRefs>
</ds:datastoreItem>
</file>

<file path=customXml/itemProps3.xml><?xml version="1.0" encoding="utf-8"?>
<ds:datastoreItem xmlns:ds="http://schemas.openxmlformats.org/officeDocument/2006/customXml" ds:itemID="{2B3DD46F-07CF-4E2F-8885-1AB14418B4F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5E504E3-7672-48CD-A017-665B66078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hc_judg2k</Template>
  <TotalTime>0</TotalTime>
  <Pages>1</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acf32f</dc:creator>
  <cp:keywords/>
  <dc:description/>
  <cp:lastModifiedBy>Popplewell, Lord Justice</cp:lastModifiedBy>
  <cp:revision>2</cp:revision>
  <cp:lastPrinted>2025-11-20T17:07:00Z</cp:lastPrinted>
  <dcterms:created xsi:type="dcterms:W3CDTF">2025-11-28T14:36:00Z</dcterms:created>
  <dcterms:modified xsi:type="dcterms:W3CDTF">2025-11-28T14:36:00Z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
  </property>
  <property fmtid="{D5CDD505-2E9C-101B-9397-08002B2CF9AE}" pid="6" name="ApprovedStage">
    <vt:lpwstr>Draft</vt:lpwstr>
  </property>
  <property fmtid="{D5CDD505-2E9C-101B-9397-08002B2CF9AE}" pid="7" name="NCDiv">
    <vt:lpwstr>QB</vt:lpwstr>
  </property>
  <property fmtid="{D5CDD505-2E9C-101B-9397-08002B2CF9AE}" pid="8" name="NCJudge">
    <vt:lpwstr>THE HON. MR JUSTICE POPPLEWELL</vt:lpwstr>
  </property>
  <property fmtid="{D5CDD505-2E9C-101B-9397-08002B2CF9AE}" pid="9" name="NCCaseNum">
    <vt:lpwstr>2011 FOLIO 888</vt:lpwstr>
  </property>
  <property fmtid="{D5CDD505-2E9C-101B-9397-08002B2CF9AE}" pid="10" name="ContentTypeId">
    <vt:lpwstr>0x0101003310C6F18AA2124FAA70F063C5929885</vt:lpwstr>
  </property>
</Properties>
</file>