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8D94" w14:textId="182E41CC" w:rsidR="00C439A3" w:rsidRDefault="00C7371D" w:rsidP="00C7371D">
      <w:pPr>
        <w:jc w:val="center"/>
      </w:pPr>
      <w:r w:rsidRPr="00C7371D">
        <w:rPr>
          <w:noProof/>
        </w:rPr>
        <w:drawing>
          <wp:inline distT="0" distB="0" distL="0" distR="0" wp14:anchorId="419EF17F" wp14:editId="6E17594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5B6C492" w14:textId="77777777" w:rsidR="00C7371D" w:rsidRDefault="00C7371D">
      <w:pPr>
        <w:jc w:val="right"/>
      </w:pPr>
    </w:p>
    <w:p w14:paraId="3E4B4D0B" w14:textId="4C20DF0C" w:rsidR="00C439A3" w:rsidRDefault="00C439A3">
      <w:pPr>
        <w:pStyle w:val="CoverText"/>
        <w:jc w:val="left"/>
        <w:rPr>
          <w:bCs/>
          <w:sz w:val="20"/>
          <w:u w:val="none"/>
        </w:rPr>
      </w:pPr>
      <w:r>
        <w:rPr>
          <w:bCs/>
        </w:rPr>
        <w:t xml:space="preserve">Neutral Citation Number: </w:t>
      </w:r>
      <w:r w:rsidR="00D95EE6">
        <w:rPr>
          <w:bCs/>
        </w:rPr>
        <w:t>[2024] EWCA Civ 641</w:t>
      </w:r>
      <w:r>
        <w:rPr>
          <w:bCs/>
        </w:rPr>
        <w:br/>
      </w:r>
    </w:p>
    <w:p w14:paraId="69D77696" w14:textId="29068C0F" w:rsidR="00C439A3" w:rsidRDefault="00C439A3">
      <w:pPr>
        <w:pStyle w:val="CoverText"/>
        <w:rPr>
          <w:b/>
          <w:spacing w:val="-3"/>
        </w:rPr>
      </w:pPr>
      <w:r>
        <w:t xml:space="preserve">Case No: </w:t>
      </w:r>
      <w:r w:rsidR="001D640E">
        <w:t>CA-2023-001273</w:t>
      </w:r>
    </w:p>
    <w:p w14:paraId="5F70EF57" w14:textId="77777777" w:rsidR="001D640E"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9ED3F4C" w14:textId="29273033"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1D640E">
        <w:t>CIVIL</w:t>
      </w:r>
      <w:r>
        <w:t xml:space="preserve"> DIVISION)</w:t>
      </w:r>
    </w:p>
    <w:p w14:paraId="6DA2022D" w14:textId="0A9ABC25"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1D640E">
        <w:t>THE HIGH COURT OF JUSTICE</w:t>
      </w:r>
    </w:p>
    <w:p w14:paraId="6D307B41" w14:textId="377B2ADA" w:rsidR="001D640E"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0B27CDEE" w14:textId="6E4B82F6" w:rsidR="001D640E"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FINANCIAL LIST (KBD)</w:t>
      </w:r>
    </w:p>
    <w:p w14:paraId="7B3A61B2" w14:textId="5787EBBF" w:rsidR="00C439A3"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PICKEN</w:t>
      </w:r>
    </w:p>
    <w:p w14:paraId="146BECD6" w14:textId="0166E996" w:rsidR="001D640E"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lang w:eastAsia="en-GB"/>
        </w:rPr>
      </w:pPr>
      <w:r w:rsidRPr="001D640E">
        <w:rPr>
          <w:lang w:eastAsia="en-GB"/>
        </w:rPr>
        <w:t>[2023] EWHC 711 (Comm)</w:t>
      </w:r>
    </w:p>
    <w:p w14:paraId="641BD570" w14:textId="77777777" w:rsidR="001D640E" w:rsidRPr="001D640E"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211E3BF" w14:textId="77777777" w:rsidR="00C439A3" w:rsidRDefault="00C439A3">
      <w:pPr>
        <w:pStyle w:val="CoverText"/>
      </w:pPr>
      <w:r>
        <w:t>Royal Courts of Justice</w:t>
      </w:r>
    </w:p>
    <w:p w14:paraId="535AE429" w14:textId="77777777" w:rsidR="00C439A3" w:rsidRDefault="00C439A3">
      <w:pPr>
        <w:pStyle w:val="CoverText"/>
      </w:pPr>
      <w:r>
        <w:t>Strand, London, WC2A 2LL</w:t>
      </w:r>
    </w:p>
    <w:p w14:paraId="60EFE790" w14:textId="77777777" w:rsidR="00C439A3" w:rsidRDefault="00C439A3">
      <w:pPr>
        <w:suppressAutoHyphens/>
        <w:jc w:val="right"/>
        <w:rPr>
          <w:spacing w:val="-3"/>
          <w:u w:val="single"/>
        </w:rPr>
      </w:pPr>
    </w:p>
    <w:p w14:paraId="6E936403" w14:textId="1CF91A3A" w:rsidR="00C439A3" w:rsidRDefault="00C439A3">
      <w:pPr>
        <w:pStyle w:val="CoverText"/>
        <w:rPr>
          <w:b/>
        </w:rPr>
      </w:pPr>
      <w:r>
        <w:t xml:space="preserve">Date: </w:t>
      </w:r>
      <w:r w:rsidR="00BF7460">
        <w:t>12/06/2024</w:t>
      </w:r>
    </w:p>
    <w:p w14:paraId="7089FB72" w14:textId="77777777" w:rsidR="001D640E" w:rsidRDefault="001D640E">
      <w:pPr>
        <w:suppressAutoHyphens/>
        <w:jc w:val="center"/>
        <w:rPr>
          <w:b/>
          <w:spacing w:val="-3"/>
        </w:rPr>
      </w:pPr>
    </w:p>
    <w:p w14:paraId="2770CC17" w14:textId="1AD82180" w:rsidR="00C439A3" w:rsidRDefault="00C439A3">
      <w:pPr>
        <w:suppressAutoHyphens/>
        <w:jc w:val="center"/>
        <w:rPr>
          <w:b/>
          <w:spacing w:val="-3"/>
        </w:rPr>
      </w:pPr>
      <w:r>
        <w:rPr>
          <w:b/>
          <w:spacing w:val="-3"/>
        </w:rPr>
        <w:t>Before :</w:t>
      </w:r>
    </w:p>
    <w:p w14:paraId="2D5251B8" w14:textId="77777777" w:rsidR="00C439A3" w:rsidRDefault="00C439A3">
      <w:pPr>
        <w:suppressAutoHyphens/>
        <w:jc w:val="center"/>
        <w:rPr>
          <w:spacing w:val="-3"/>
        </w:rPr>
      </w:pPr>
    </w:p>
    <w:p w14:paraId="4A15BEA2" w14:textId="04B62FAE" w:rsidR="00C439A3"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p>
    <w:p w14:paraId="3F3F2EEF" w14:textId="1FA2B78B" w:rsidR="00C439A3"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POPPLEWELL</w:t>
      </w:r>
      <w:r w:rsidR="00C439A3">
        <w:br/>
      </w:r>
      <w:r w:rsidR="00C439A3">
        <w:rPr>
          <w:b w:val="0"/>
          <w:bCs/>
          <w:u w:val="none"/>
        </w:rPr>
        <w:t>and</w:t>
      </w:r>
    </w:p>
    <w:p w14:paraId="75F857BE" w14:textId="22CE013F" w:rsidR="00C439A3" w:rsidRDefault="001D640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FALK</w:t>
      </w:r>
    </w:p>
    <w:p w14:paraId="534B1AD2" w14:textId="77777777" w:rsidR="00C439A3" w:rsidRDefault="00C439A3">
      <w:pPr>
        <w:suppressAutoHyphens/>
        <w:jc w:val="center"/>
        <w:rPr>
          <w:spacing w:val="-3"/>
        </w:rPr>
      </w:pPr>
      <w:r>
        <w:rPr>
          <w:spacing w:val="-3"/>
        </w:rPr>
        <w:t>- - - - - - - - - - - - - - - - - - - - -</w:t>
      </w:r>
    </w:p>
    <w:p w14:paraId="646250B9" w14:textId="77777777" w:rsidR="00695FF1" w:rsidRDefault="00695FF1">
      <w:pPr>
        <w:suppressAutoHyphens/>
        <w:jc w:val="center"/>
        <w:rPr>
          <w:b/>
          <w:spacing w:val="-3"/>
        </w:rPr>
      </w:pPr>
    </w:p>
    <w:p w14:paraId="0350BB71" w14:textId="35E319D2" w:rsidR="00C439A3" w:rsidRDefault="00C439A3">
      <w:pPr>
        <w:suppressAutoHyphens/>
        <w:jc w:val="center"/>
        <w:rPr>
          <w:b/>
          <w:spacing w:val="-3"/>
        </w:rPr>
      </w:pPr>
      <w:r>
        <w:rPr>
          <w:b/>
          <w:spacing w:val="-3"/>
        </w:rPr>
        <w:t>Between :</w:t>
      </w:r>
    </w:p>
    <w:p w14:paraId="4B3386A9" w14:textId="77777777" w:rsidR="00C439A3" w:rsidRDefault="00C439A3">
      <w:pPr>
        <w:suppressAutoHyphens/>
        <w:rPr>
          <w:b/>
          <w:spacing w:val="-3"/>
        </w:rPr>
      </w:pPr>
    </w:p>
    <w:tbl>
      <w:tblPr>
        <w:tblW w:w="10498" w:type="dxa"/>
        <w:tblInd w:w="-459" w:type="dxa"/>
        <w:tblLayout w:type="fixed"/>
        <w:tblLook w:val="0000" w:firstRow="0" w:lastRow="0" w:firstColumn="0" w:lastColumn="0" w:noHBand="0" w:noVBand="0"/>
      </w:tblPr>
      <w:tblGrid>
        <w:gridCol w:w="1419"/>
        <w:gridCol w:w="7235"/>
        <w:gridCol w:w="1844"/>
      </w:tblGrid>
      <w:tr w:rsidR="00C439A3" w14:paraId="5EB26ED7" w14:textId="77777777" w:rsidTr="00A35A3D">
        <w:trPr>
          <w:trHeight w:val="1293"/>
        </w:trPr>
        <w:tc>
          <w:tcPr>
            <w:tcW w:w="1419" w:type="dxa"/>
          </w:tcPr>
          <w:p w14:paraId="12C1EC79" w14:textId="77777777" w:rsidR="00C439A3" w:rsidRDefault="00C439A3">
            <w:pPr>
              <w:suppressAutoHyphens/>
              <w:rPr>
                <w:b/>
                <w:spacing w:val="-3"/>
              </w:rPr>
            </w:pPr>
          </w:p>
        </w:tc>
        <w:tc>
          <w:tcPr>
            <w:tcW w:w="7235" w:type="dxa"/>
          </w:tcPr>
          <w:p w14:paraId="14CE5048" w14:textId="71435AA1" w:rsidR="00263188" w:rsidRPr="00C92236" w:rsidRDefault="001D640E" w:rsidP="00C92236">
            <w:pPr>
              <w:pStyle w:val="ListParagraph"/>
              <w:numPr>
                <w:ilvl w:val="0"/>
                <w:numId w:val="20"/>
              </w:numPr>
              <w:jc w:val="center"/>
              <w:textAlignment w:val="baseline"/>
              <w:rPr>
                <w:b/>
                <w:bCs/>
                <w:color w:val="000000"/>
              </w:rPr>
            </w:pPr>
            <w:r w:rsidRPr="00C92236">
              <w:rPr>
                <w:b/>
                <w:bCs/>
                <w:color w:val="000000"/>
                <w:lang w:val="en-US"/>
              </w:rPr>
              <w:t>PALLADIAN PARTNERS LP</w:t>
            </w:r>
          </w:p>
          <w:p w14:paraId="6DD4197D" w14:textId="7CA1DD9A" w:rsidR="00263188" w:rsidRPr="00C92236" w:rsidRDefault="001D640E" w:rsidP="00C92236">
            <w:pPr>
              <w:pStyle w:val="ListParagraph"/>
              <w:numPr>
                <w:ilvl w:val="0"/>
                <w:numId w:val="20"/>
              </w:numPr>
              <w:jc w:val="center"/>
              <w:textAlignment w:val="baseline"/>
              <w:rPr>
                <w:b/>
                <w:bCs/>
                <w:color w:val="000000"/>
              </w:rPr>
            </w:pPr>
            <w:r w:rsidRPr="00C92236">
              <w:rPr>
                <w:b/>
                <w:bCs/>
                <w:color w:val="000000"/>
                <w:lang w:val="en-US"/>
              </w:rPr>
              <w:t>HBK MASTER FUND LP</w:t>
            </w:r>
          </w:p>
          <w:p w14:paraId="6CC61325" w14:textId="350DBA68" w:rsidR="00263188" w:rsidRPr="00C92236" w:rsidRDefault="001D640E" w:rsidP="00C92236">
            <w:pPr>
              <w:pStyle w:val="ListParagraph"/>
              <w:numPr>
                <w:ilvl w:val="0"/>
                <w:numId w:val="20"/>
              </w:numPr>
              <w:jc w:val="center"/>
              <w:textAlignment w:val="baseline"/>
              <w:rPr>
                <w:b/>
                <w:bCs/>
                <w:color w:val="000000"/>
              </w:rPr>
            </w:pPr>
            <w:r w:rsidRPr="00C92236">
              <w:rPr>
                <w:b/>
                <w:bCs/>
                <w:color w:val="000000"/>
                <w:lang w:val="en-US"/>
              </w:rPr>
              <w:t>HIRSH GROUP LLC</w:t>
            </w:r>
          </w:p>
          <w:p w14:paraId="349997BA" w14:textId="2551449B" w:rsidR="00263188" w:rsidRPr="00C92236" w:rsidRDefault="001D640E" w:rsidP="00C92236">
            <w:pPr>
              <w:pStyle w:val="ListParagraph"/>
              <w:numPr>
                <w:ilvl w:val="0"/>
                <w:numId w:val="20"/>
              </w:numPr>
              <w:spacing w:after="160"/>
              <w:jc w:val="center"/>
              <w:textAlignment w:val="baseline"/>
              <w:rPr>
                <w:b/>
                <w:bCs/>
                <w:color w:val="000000"/>
                <w:lang w:val="en-US"/>
              </w:rPr>
            </w:pPr>
            <w:r w:rsidRPr="00C92236">
              <w:rPr>
                <w:b/>
                <w:bCs/>
                <w:color w:val="000000"/>
                <w:lang w:val="en-US"/>
              </w:rPr>
              <w:t>VIRTUAL EMERALD INTERNATIONAL LIMITED</w:t>
            </w:r>
          </w:p>
        </w:tc>
        <w:tc>
          <w:tcPr>
            <w:tcW w:w="1844" w:type="dxa"/>
          </w:tcPr>
          <w:p w14:paraId="645F4502" w14:textId="77777777" w:rsidR="00C439A3" w:rsidRDefault="006D24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w:t>
            </w:r>
          </w:p>
          <w:p w14:paraId="035E9623" w14:textId="32BDFB69" w:rsidR="006D245E" w:rsidRDefault="006D24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p>
        </w:tc>
      </w:tr>
      <w:tr w:rsidR="00C439A3" w14:paraId="7A7958ED" w14:textId="77777777" w:rsidTr="00A35A3D">
        <w:trPr>
          <w:trHeight w:val="577"/>
        </w:trPr>
        <w:tc>
          <w:tcPr>
            <w:tcW w:w="1419" w:type="dxa"/>
          </w:tcPr>
          <w:p w14:paraId="7E531BCC" w14:textId="77777777" w:rsidR="00C439A3" w:rsidRDefault="00C439A3">
            <w:pPr>
              <w:suppressAutoHyphens/>
              <w:rPr>
                <w:b/>
                <w:spacing w:val="-3"/>
              </w:rPr>
            </w:pPr>
          </w:p>
        </w:tc>
        <w:tc>
          <w:tcPr>
            <w:tcW w:w="7235" w:type="dxa"/>
          </w:tcPr>
          <w:p w14:paraId="47536A04" w14:textId="190998B7" w:rsidR="00C439A3" w:rsidRDefault="00C439A3">
            <w:pPr>
              <w:tabs>
                <w:tab w:val="center" w:pos="3312"/>
              </w:tabs>
              <w:suppressAutoHyphens/>
              <w:jc w:val="center"/>
              <w:rPr>
                <w:b/>
                <w:spacing w:val="-3"/>
              </w:rPr>
            </w:pPr>
            <w:r>
              <w:rPr>
                <w:b/>
                <w:spacing w:val="-3"/>
              </w:rPr>
              <w:t xml:space="preserve">- and </w:t>
            </w:r>
            <w:r w:rsidR="00263188">
              <w:rPr>
                <w:b/>
                <w:spacing w:val="-3"/>
              </w:rPr>
              <w:t>–</w:t>
            </w:r>
          </w:p>
          <w:p w14:paraId="555E5E50" w14:textId="77777777" w:rsidR="00263188" w:rsidRDefault="00263188">
            <w:pPr>
              <w:tabs>
                <w:tab w:val="center" w:pos="3312"/>
              </w:tabs>
              <w:suppressAutoHyphens/>
              <w:jc w:val="center"/>
              <w:rPr>
                <w:b/>
                <w:spacing w:val="-3"/>
              </w:rPr>
            </w:pPr>
          </w:p>
        </w:tc>
        <w:tc>
          <w:tcPr>
            <w:tcW w:w="1844" w:type="dxa"/>
          </w:tcPr>
          <w:p w14:paraId="205510FC" w14:textId="77777777" w:rsidR="00C439A3" w:rsidRDefault="00C439A3">
            <w:pPr>
              <w:suppressAutoHyphens/>
              <w:jc w:val="right"/>
              <w:rPr>
                <w:b/>
                <w:spacing w:val="-3"/>
              </w:rPr>
            </w:pPr>
          </w:p>
        </w:tc>
      </w:tr>
      <w:tr w:rsidR="00C439A3" w14:paraId="7B1A2FAC" w14:textId="77777777" w:rsidTr="00A35A3D">
        <w:trPr>
          <w:trHeight w:val="871"/>
        </w:trPr>
        <w:tc>
          <w:tcPr>
            <w:tcW w:w="1419" w:type="dxa"/>
          </w:tcPr>
          <w:p w14:paraId="1C5583F2" w14:textId="77777777" w:rsidR="00C439A3" w:rsidRDefault="00C439A3">
            <w:pPr>
              <w:suppressAutoHyphens/>
              <w:rPr>
                <w:b/>
                <w:spacing w:val="-3"/>
              </w:rPr>
            </w:pPr>
          </w:p>
        </w:tc>
        <w:tc>
          <w:tcPr>
            <w:tcW w:w="7235" w:type="dxa"/>
          </w:tcPr>
          <w:p w14:paraId="0FE13E7C" w14:textId="4F26D32B" w:rsidR="00C439A3" w:rsidRDefault="001D640E" w:rsidP="00BC0015">
            <w:pPr>
              <w:pStyle w:val="ListParagraph"/>
              <w:numPr>
                <w:ilvl w:val="0"/>
                <w:numId w:val="17"/>
              </w:numPr>
              <w:spacing w:before="0" w:beforeAutospacing="0" w:after="0" w:afterAutospacing="0"/>
              <w:jc w:val="center"/>
              <w:rPr>
                <w:b/>
                <w:bCs/>
                <w:color w:val="000000"/>
                <w:lang w:val="fr-FR"/>
              </w:rPr>
            </w:pPr>
            <w:r w:rsidRPr="001D640E">
              <w:rPr>
                <w:b/>
                <w:bCs/>
                <w:color w:val="000000"/>
                <w:lang w:val="fr-FR"/>
              </w:rPr>
              <w:t>THE REPUBLIC OF ARGENTINA</w:t>
            </w:r>
          </w:p>
          <w:p w14:paraId="7489B784" w14:textId="77777777" w:rsidR="00BC0015" w:rsidRDefault="00BC0015" w:rsidP="00BC0015">
            <w:pPr>
              <w:pStyle w:val="ListParagraph"/>
              <w:spacing w:before="0" w:beforeAutospacing="0" w:after="0" w:afterAutospacing="0"/>
              <w:ind w:left="825"/>
              <w:rPr>
                <w:b/>
                <w:bCs/>
                <w:color w:val="000000"/>
                <w:lang w:val="fr-FR"/>
              </w:rPr>
            </w:pPr>
          </w:p>
          <w:p w14:paraId="17B39A88" w14:textId="56949890" w:rsidR="00263188" w:rsidRPr="001D640E" w:rsidRDefault="00263188" w:rsidP="00BC0015">
            <w:pPr>
              <w:pStyle w:val="ListParagraph"/>
              <w:spacing w:before="0" w:beforeAutospacing="0" w:after="0" w:afterAutospacing="0"/>
              <w:ind w:left="825"/>
              <w:rPr>
                <w:color w:val="000000"/>
              </w:rPr>
            </w:pPr>
          </w:p>
        </w:tc>
        <w:tc>
          <w:tcPr>
            <w:tcW w:w="1844" w:type="dxa"/>
          </w:tcPr>
          <w:p w14:paraId="552BFFC4" w14:textId="77777777" w:rsidR="00695FF1" w:rsidRDefault="00695FF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p w14:paraId="603C0F0C" w14:textId="13FFE4BD" w:rsidR="00C439A3" w:rsidRDefault="00695FF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First Defendant</w:t>
            </w:r>
          </w:p>
        </w:tc>
      </w:tr>
      <w:tr w:rsidR="00695FF1" w14:paraId="3BCD11F6" w14:textId="77777777" w:rsidTr="00A35A3D">
        <w:trPr>
          <w:trHeight w:val="577"/>
        </w:trPr>
        <w:tc>
          <w:tcPr>
            <w:tcW w:w="1419" w:type="dxa"/>
          </w:tcPr>
          <w:p w14:paraId="67DE85FB" w14:textId="77777777" w:rsidR="00695FF1" w:rsidRDefault="00695FF1">
            <w:pPr>
              <w:suppressAutoHyphens/>
              <w:rPr>
                <w:b/>
                <w:spacing w:val="-3"/>
              </w:rPr>
            </w:pPr>
          </w:p>
        </w:tc>
        <w:tc>
          <w:tcPr>
            <w:tcW w:w="7235" w:type="dxa"/>
          </w:tcPr>
          <w:p w14:paraId="5EC6E5EB" w14:textId="49F7998F" w:rsidR="00695FF1" w:rsidRPr="00363739" w:rsidRDefault="00695FF1" w:rsidP="001D640E">
            <w:pPr>
              <w:pStyle w:val="ListParagraph"/>
              <w:spacing w:before="0" w:beforeAutospacing="0" w:after="0" w:afterAutospacing="0"/>
              <w:ind w:left="720" w:hanging="360"/>
              <w:jc w:val="center"/>
              <w:rPr>
                <w:b/>
                <w:bCs/>
                <w:color w:val="000000"/>
              </w:rPr>
            </w:pPr>
            <w:r w:rsidRPr="001D640E">
              <w:rPr>
                <w:b/>
                <w:bCs/>
                <w:color w:val="000000"/>
                <w:spacing w:val="-3"/>
              </w:rPr>
              <w:t>(2)   </w:t>
            </w:r>
            <w:r w:rsidRPr="00363739">
              <w:rPr>
                <w:b/>
                <w:bCs/>
                <w:color w:val="000000"/>
              </w:rPr>
              <w:t>THE BANK OF NEW YORK MELLON (as Trustee)</w:t>
            </w:r>
          </w:p>
        </w:tc>
        <w:tc>
          <w:tcPr>
            <w:tcW w:w="1844" w:type="dxa"/>
          </w:tcPr>
          <w:p w14:paraId="0F6F4C41" w14:textId="27C118DA" w:rsidR="00695FF1" w:rsidRDefault="00695FF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Second </w:t>
            </w:r>
            <w:r w:rsidRPr="00A35A3D">
              <w:t>Defendant</w:t>
            </w:r>
          </w:p>
        </w:tc>
      </w:tr>
    </w:tbl>
    <w:p w14:paraId="36A3E467" w14:textId="77777777" w:rsidR="00C439A3" w:rsidRDefault="00C439A3">
      <w:pPr>
        <w:suppressAutoHyphens/>
        <w:rPr>
          <w:b/>
          <w:spacing w:val="-3"/>
        </w:rPr>
      </w:pPr>
    </w:p>
    <w:p w14:paraId="24E5F958" w14:textId="77777777" w:rsidR="006D245E" w:rsidRDefault="006D245E">
      <w:pPr>
        <w:suppressAutoHyphens/>
        <w:jc w:val="center"/>
        <w:rPr>
          <w:spacing w:val="-3"/>
        </w:rPr>
      </w:pPr>
    </w:p>
    <w:p w14:paraId="487E1444" w14:textId="0A25C37C" w:rsidR="00C439A3" w:rsidRDefault="00C439A3" w:rsidP="006D245E">
      <w:pPr>
        <w:suppressAutoHyphens/>
        <w:jc w:val="center"/>
        <w:rPr>
          <w:spacing w:val="-3"/>
        </w:rPr>
      </w:pPr>
      <w:r>
        <w:rPr>
          <w:spacing w:val="-3"/>
        </w:rPr>
        <w:t>- - - - - - - - - - - - - - - - - - - - -</w:t>
      </w:r>
    </w:p>
    <w:p w14:paraId="27DC4E2B" w14:textId="77777777" w:rsidR="00C439A3" w:rsidRDefault="00C439A3">
      <w:pPr>
        <w:suppressAutoHyphens/>
        <w:jc w:val="center"/>
        <w:rPr>
          <w:spacing w:val="-3"/>
        </w:rPr>
      </w:pPr>
      <w:r>
        <w:rPr>
          <w:spacing w:val="-3"/>
        </w:rPr>
        <w:t>- - - - - - - - - - - - - - - - - - - - -</w:t>
      </w:r>
    </w:p>
    <w:p w14:paraId="49AF9CD0" w14:textId="77777777" w:rsidR="00C439A3" w:rsidRDefault="00C439A3">
      <w:pPr>
        <w:suppressAutoHyphens/>
        <w:jc w:val="center"/>
        <w:rPr>
          <w:spacing w:val="-3"/>
        </w:rPr>
      </w:pPr>
    </w:p>
    <w:p w14:paraId="711FC58E" w14:textId="2A6BC5CF" w:rsidR="00C439A3" w:rsidRDefault="006D245E">
      <w:pPr>
        <w:suppressAutoHyphens/>
        <w:jc w:val="center"/>
        <w:rPr>
          <w:b/>
          <w:spacing w:val="-3"/>
        </w:rPr>
      </w:pPr>
      <w:r>
        <w:rPr>
          <w:b/>
          <w:bCs/>
          <w:color w:val="000000"/>
        </w:rPr>
        <w:t xml:space="preserve">Mr David Railton KC, </w:t>
      </w:r>
      <w:r w:rsidR="00E25645">
        <w:rPr>
          <w:b/>
          <w:bCs/>
          <w:color w:val="000000"/>
        </w:rPr>
        <w:t>Mr Ben Valentin KC</w:t>
      </w:r>
      <w:r w:rsidR="00D47481">
        <w:rPr>
          <w:b/>
          <w:bCs/>
          <w:color w:val="000000"/>
        </w:rPr>
        <w:t xml:space="preserve">, </w:t>
      </w:r>
      <w:r>
        <w:rPr>
          <w:b/>
          <w:bCs/>
          <w:color w:val="000000"/>
        </w:rPr>
        <w:t>Ms Tamara Oppenheimer KC, Mr Samuel Ritchie and Ms Francesca Ruddy</w:t>
      </w:r>
      <w:r w:rsidR="00C439A3">
        <w:rPr>
          <w:bCs/>
          <w:spacing w:val="-3"/>
        </w:rPr>
        <w:t xml:space="preserve"> (instructed by </w:t>
      </w:r>
      <w:r>
        <w:rPr>
          <w:b/>
          <w:spacing w:val="-3"/>
        </w:rPr>
        <w:t>Sullivan and Cromwell UK LLP</w:t>
      </w:r>
      <w:r w:rsidR="00C439A3">
        <w:rPr>
          <w:bCs/>
          <w:spacing w:val="-3"/>
        </w:rPr>
        <w:t xml:space="preserve">) for the </w:t>
      </w:r>
      <w:r>
        <w:rPr>
          <w:b/>
          <w:spacing w:val="-3"/>
        </w:rPr>
        <w:t>Appellant</w:t>
      </w:r>
    </w:p>
    <w:p w14:paraId="0CBD0A18" w14:textId="77777777" w:rsidR="008A62C0" w:rsidRDefault="008A62C0">
      <w:pPr>
        <w:suppressAutoHyphens/>
        <w:jc w:val="center"/>
        <w:rPr>
          <w:bCs/>
          <w:spacing w:val="-3"/>
        </w:rPr>
      </w:pPr>
    </w:p>
    <w:p w14:paraId="6AEACB4D" w14:textId="5AB740AF" w:rsidR="00C439A3" w:rsidRDefault="006D245E">
      <w:pPr>
        <w:suppressAutoHyphens/>
        <w:jc w:val="center"/>
        <w:rPr>
          <w:b/>
          <w:spacing w:val="-3"/>
        </w:rPr>
      </w:pPr>
      <w:r>
        <w:rPr>
          <w:b/>
          <w:bCs/>
          <w:color w:val="000000"/>
        </w:rPr>
        <w:lastRenderedPageBreak/>
        <w:t>Ms Susan Prevezer KC, Mr Alex Barden and Mr James Shaerf</w:t>
      </w:r>
      <w:r w:rsidR="00C439A3">
        <w:rPr>
          <w:b/>
          <w:spacing w:val="-3"/>
        </w:rPr>
        <w:t xml:space="preserve"> </w:t>
      </w:r>
      <w:r w:rsidR="00C439A3">
        <w:rPr>
          <w:bCs/>
          <w:spacing w:val="-3"/>
        </w:rPr>
        <w:t>(instructed by</w:t>
      </w:r>
      <w:r w:rsidR="00C439A3">
        <w:rPr>
          <w:b/>
          <w:spacing w:val="-3"/>
        </w:rPr>
        <w:t xml:space="preserve"> </w:t>
      </w:r>
      <w:r>
        <w:rPr>
          <w:b/>
          <w:bCs/>
          <w:color w:val="000000"/>
        </w:rPr>
        <w:t>Quinn Emanuel Urquhart &amp; Sullivan UK LLP</w:t>
      </w:r>
      <w:r w:rsidR="00C439A3">
        <w:rPr>
          <w:bCs/>
          <w:spacing w:val="-3"/>
        </w:rPr>
        <w:t xml:space="preserve">) for the </w:t>
      </w:r>
      <w:r w:rsidR="008A62C0">
        <w:rPr>
          <w:b/>
          <w:spacing w:val="-3"/>
        </w:rPr>
        <w:t>Respondents</w:t>
      </w:r>
    </w:p>
    <w:p w14:paraId="037ACAA4" w14:textId="77777777" w:rsidR="00396C88" w:rsidRDefault="00396C88">
      <w:pPr>
        <w:suppressAutoHyphens/>
        <w:jc w:val="center"/>
        <w:rPr>
          <w:b/>
          <w:spacing w:val="-3"/>
        </w:rPr>
      </w:pPr>
    </w:p>
    <w:p w14:paraId="17555F48" w14:textId="28F732D4" w:rsidR="00396C88" w:rsidRPr="00BD74E2" w:rsidRDefault="00396C88">
      <w:pPr>
        <w:suppressAutoHyphens/>
        <w:jc w:val="center"/>
        <w:rPr>
          <w:bCs/>
          <w:spacing w:val="-3"/>
        </w:rPr>
      </w:pPr>
      <w:r>
        <w:rPr>
          <w:b/>
          <w:spacing w:val="-3"/>
        </w:rPr>
        <w:t xml:space="preserve">The Second </w:t>
      </w:r>
      <w:r w:rsidR="00BD74E2">
        <w:rPr>
          <w:b/>
          <w:spacing w:val="-3"/>
        </w:rPr>
        <w:t>D</w:t>
      </w:r>
      <w:r>
        <w:rPr>
          <w:b/>
          <w:spacing w:val="-3"/>
        </w:rPr>
        <w:t xml:space="preserve">efendant </w:t>
      </w:r>
      <w:r w:rsidRPr="00BD74E2">
        <w:rPr>
          <w:bCs/>
          <w:spacing w:val="-3"/>
        </w:rPr>
        <w:t>did not appear and was not represe</w:t>
      </w:r>
      <w:r w:rsidR="00BD74E2" w:rsidRPr="00BD74E2">
        <w:rPr>
          <w:bCs/>
          <w:spacing w:val="-3"/>
        </w:rPr>
        <w:t>nted</w:t>
      </w:r>
    </w:p>
    <w:p w14:paraId="4C862668" w14:textId="77777777" w:rsidR="00C439A3" w:rsidRDefault="00C439A3">
      <w:pPr>
        <w:suppressAutoHyphens/>
        <w:jc w:val="center"/>
        <w:rPr>
          <w:b/>
          <w:spacing w:val="-3"/>
        </w:rPr>
      </w:pPr>
    </w:p>
    <w:p w14:paraId="517C511A" w14:textId="329B5588" w:rsidR="00C439A3" w:rsidRDefault="00C439A3">
      <w:pPr>
        <w:suppressAutoHyphens/>
        <w:jc w:val="center"/>
        <w:rPr>
          <w:spacing w:val="-3"/>
        </w:rPr>
      </w:pPr>
      <w:r>
        <w:rPr>
          <w:spacing w:val="-3"/>
        </w:rPr>
        <w:t xml:space="preserve">Hearing dates : </w:t>
      </w:r>
      <w:r w:rsidR="006D245E">
        <w:rPr>
          <w:spacing w:val="-3"/>
        </w:rPr>
        <w:t>21 – 23 May 2024</w:t>
      </w:r>
    </w:p>
    <w:p w14:paraId="29402CCF" w14:textId="77777777" w:rsidR="00C439A3" w:rsidRDefault="00C439A3">
      <w:pPr>
        <w:suppressAutoHyphens/>
        <w:jc w:val="center"/>
        <w:rPr>
          <w:spacing w:val="-3"/>
        </w:rPr>
      </w:pPr>
      <w:r>
        <w:rPr>
          <w:spacing w:val="-3"/>
        </w:rPr>
        <w:t>- - - - - - - - - - - - - - - - - - - - -</w:t>
      </w:r>
    </w:p>
    <w:p w14:paraId="1E03DD4A" w14:textId="25723B7F" w:rsidR="00C439A3" w:rsidRDefault="00C7371D" w:rsidP="00C7371D">
      <w:pPr>
        <w:pStyle w:val="CoverDesc"/>
      </w:pPr>
      <w:r>
        <w:t>Approved Judgment</w:t>
      </w:r>
    </w:p>
    <w:p w14:paraId="3B5A3A70" w14:textId="77777777" w:rsidR="00C7371D" w:rsidRDefault="00C7371D" w:rsidP="00C7371D">
      <w:pPr>
        <w:jc w:val="center"/>
      </w:pPr>
      <w:r>
        <w:t xml:space="preserve"> </w:t>
      </w:r>
    </w:p>
    <w:p w14:paraId="5804CBEE" w14:textId="18CE2B2F" w:rsidR="00C7371D" w:rsidRDefault="00C7371D" w:rsidP="00C7371D">
      <w:pPr>
        <w:jc w:val="center"/>
      </w:pPr>
      <w:r>
        <w:t>This judgment was handed down remotely at 1</w:t>
      </w:r>
      <w:r w:rsidR="00AC019A">
        <w:t>1:0</w:t>
      </w:r>
      <w:r>
        <w:t xml:space="preserve">0am on </w:t>
      </w:r>
      <w:r w:rsidR="00AC019A">
        <w:t>12 June 2024</w:t>
      </w:r>
      <w:r>
        <w:t xml:space="preserve"> by circulation to the parties or their representatives by e-mail and by release to the National Archives.</w:t>
      </w:r>
    </w:p>
    <w:p w14:paraId="4A06D1BD" w14:textId="77777777" w:rsidR="00C7371D" w:rsidRDefault="00C7371D" w:rsidP="00C7371D">
      <w:pPr>
        <w:jc w:val="center"/>
      </w:pPr>
    </w:p>
    <w:p w14:paraId="2D9FE586" w14:textId="77777777" w:rsidR="00C7371D" w:rsidRDefault="00C7371D" w:rsidP="00C7371D">
      <w:pPr>
        <w:jc w:val="center"/>
      </w:pPr>
      <w:r>
        <w:t>.............................</w:t>
      </w:r>
    </w:p>
    <w:p w14:paraId="704FF0CE" w14:textId="02A92292" w:rsidR="00C7371D" w:rsidRPr="00C7371D" w:rsidRDefault="00C7371D" w:rsidP="00C7371D">
      <w:pPr>
        <w:jc w:val="center"/>
      </w:pPr>
    </w:p>
    <w:p w14:paraId="154D1C6E" w14:textId="77777777" w:rsidR="00C439A3" w:rsidRDefault="00C439A3">
      <w:pPr>
        <w:pStyle w:val="CoverDesc"/>
        <w:rPr>
          <w:sz w:val="24"/>
        </w:rPr>
      </w:pPr>
    </w:p>
    <w:p w14:paraId="538FB8E1" w14:textId="77777777" w:rsidR="00F50AFF" w:rsidRDefault="00F50AFF">
      <w:pPr>
        <w:sectPr w:rsidR="00F50AFF">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bookmarkStart w:id="0" w:name="bkCACaveat3"/>
      <w:bookmarkEnd w:id="0"/>
    </w:p>
    <w:p w14:paraId="4BB464EE" w14:textId="6F36A26B" w:rsidR="00C439A3" w:rsidRDefault="008A62C0" w:rsidP="00363739">
      <w:pPr>
        <w:spacing w:after="240" w:line="360" w:lineRule="auto"/>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 xml:space="preserve">LORD JUSTICE POPPLEWELL </w:t>
      </w:r>
      <w:r w:rsidR="00C439A3">
        <w:rPr>
          <w:b/>
        </w:rPr>
        <w:t>:</w:t>
      </w:r>
    </w:p>
    <w:p w14:paraId="21B17551" w14:textId="5E2AEFC4" w:rsidR="008D67A7" w:rsidRPr="008D67A7" w:rsidRDefault="008D67A7" w:rsidP="00C7371D">
      <w:pPr>
        <w:pStyle w:val="ParaLevel1"/>
        <w:numPr>
          <w:ilvl w:val="0"/>
          <w:numId w:val="0"/>
        </w:numPr>
        <w:rPr>
          <w:b/>
          <w:bCs/>
        </w:rPr>
      </w:pPr>
      <w:r w:rsidRPr="008D67A7">
        <w:rPr>
          <w:b/>
          <w:bCs/>
        </w:rPr>
        <w:t>Introduction</w:t>
      </w:r>
    </w:p>
    <w:p w14:paraId="617F31B0" w14:textId="7D861025" w:rsidR="004170FD" w:rsidRDefault="000F770B" w:rsidP="00C662F9">
      <w:pPr>
        <w:pStyle w:val="ParaLevel1"/>
        <w:numPr>
          <w:ilvl w:val="0"/>
          <w:numId w:val="11"/>
        </w:numPr>
        <w:ind w:left="454" w:hanging="454"/>
      </w:pPr>
      <w:r>
        <w:t xml:space="preserve">This appeal </w:t>
      </w:r>
      <w:r w:rsidR="00707734">
        <w:t xml:space="preserve">is </w:t>
      </w:r>
      <w:r w:rsidR="00717A0F">
        <w:t xml:space="preserve">concerned with </w:t>
      </w:r>
      <w:r w:rsidR="007E490A">
        <w:t xml:space="preserve">the proper construction of a short provision in </w:t>
      </w:r>
      <w:r w:rsidR="0055140C">
        <w:t xml:space="preserve">Euro denominated </w:t>
      </w:r>
      <w:r w:rsidR="005E01A0">
        <w:t>de</w:t>
      </w:r>
      <w:r w:rsidR="00AC3E29">
        <w:t>b</w:t>
      </w:r>
      <w:r w:rsidR="005E01A0">
        <w:t>t securities</w:t>
      </w:r>
      <w:r w:rsidR="00F47783">
        <w:t xml:space="preserve"> (</w:t>
      </w:r>
      <w:r w:rsidR="002F16C6">
        <w:t>‘t</w:t>
      </w:r>
      <w:r w:rsidR="00F47783">
        <w:t>he Securities</w:t>
      </w:r>
      <w:r w:rsidR="002F16C6">
        <w:t>’</w:t>
      </w:r>
      <w:r w:rsidR="00F47783">
        <w:t>)</w:t>
      </w:r>
      <w:r w:rsidR="002F16C6">
        <w:t xml:space="preserve"> </w:t>
      </w:r>
      <w:r w:rsidR="005E01A0">
        <w:t>issued by the Appellant, the Republic of Argentina</w:t>
      </w:r>
      <w:r w:rsidR="008A1C7A">
        <w:t xml:space="preserve"> (‘the Republic’).  </w:t>
      </w:r>
      <w:r w:rsidR="00457868">
        <w:t>Payment under the Securities was linked to th</w:t>
      </w:r>
      <w:r w:rsidR="00C80ACF">
        <w:t xml:space="preserve">e Republic’s </w:t>
      </w:r>
      <w:r w:rsidR="00A00F81">
        <w:t>Gross Domestic Product (‘GDP’)</w:t>
      </w:r>
      <w:r w:rsidR="00C80ACF">
        <w:t xml:space="preserve">.  </w:t>
      </w:r>
      <w:r w:rsidR="00DA67B0">
        <w:t xml:space="preserve">The Securities were issued in two tranches, </w:t>
      </w:r>
      <w:r w:rsidR="00FB1326">
        <w:t>the first in 2005, following</w:t>
      </w:r>
      <w:r w:rsidR="00A02C85">
        <w:t xml:space="preserve"> a national financial crisis </w:t>
      </w:r>
      <w:r w:rsidR="004638C9">
        <w:t xml:space="preserve">and </w:t>
      </w:r>
      <w:r w:rsidR="0087083B">
        <w:t xml:space="preserve">sovereign </w:t>
      </w:r>
      <w:r w:rsidR="004638C9">
        <w:t xml:space="preserve">debt default </w:t>
      </w:r>
      <w:r w:rsidR="00A02C85">
        <w:t>of unprecedented scale</w:t>
      </w:r>
      <w:r w:rsidR="00620855">
        <w:t xml:space="preserve">.  </w:t>
      </w:r>
      <w:r w:rsidR="00483F6C">
        <w:t>A second tranche was issued in 2010 in materially identical terms</w:t>
      </w:r>
      <w:r w:rsidR="003F66D0">
        <w:t xml:space="preserve">. </w:t>
      </w:r>
      <w:r w:rsidR="00483F6C">
        <w:t xml:space="preserve"> </w:t>
      </w:r>
      <w:r w:rsidR="005A1398">
        <w:t xml:space="preserve">The Securities </w:t>
      </w:r>
      <w:r w:rsidR="001370F9">
        <w:t xml:space="preserve">were </w:t>
      </w:r>
      <w:r w:rsidR="00665223">
        <w:t xml:space="preserve">an adjunct to the </w:t>
      </w:r>
      <w:r w:rsidR="00BF251D">
        <w:t>re</w:t>
      </w:r>
      <w:r w:rsidR="00942E33">
        <w:t xml:space="preserve">structuring </w:t>
      </w:r>
      <w:r w:rsidR="008D24B0">
        <w:t xml:space="preserve">of </w:t>
      </w:r>
      <w:r w:rsidR="00BF251D">
        <w:t>some US$</w:t>
      </w:r>
      <w:r w:rsidR="005A1398">
        <w:t>94</w:t>
      </w:r>
      <w:r w:rsidR="00BF251D">
        <w:t xml:space="preserve"> billion</w:t>
      </w:r>
      <w:r w:rsidR="003C4BAD">
        <w:t xml:space="preserve"> </w:t>
      </w:r>
      <w:r w:rsidR="0079342F">
        <w:t xml:space="preserve">of </w:t>
      </w:r>
      <w:r w:rsidR="008D24B0">
        <w:t xml:space="preserve">debt </w:t>
      </w:r>
      <w:r w:rsidR="003C4BAD">
        <w:t>by way of debt swap</w:t>
      </w:r>
      <w:r w:rsidR="00910D12">
        <w:t xml:space="preserve"> </w:t>
      </w:r>
      <w:r w:rsidR="005B6E62">
        <w:t>with the existing creditors.</w:t>
      </w:r>
    </w:p>
    <w:p w14:paraId="1B264F48" w14:textId="287D640E" w:rsidR="009C09DC" w:rsidRDefault="004170FD" w:rsidP="00C662F9">
      <w:pPr>
        <w:pStyle w:val="ParaLevel1"/>
        <w:numPr>
          <w:ilvl w:val="0"/>
          <w:numId w:val="11"/>
        </w:numPr>
        <w:ind w:left="454" w:hanging="454"/>
      </w:pPr>
      <w:r>
        <w:t xml:space="preserve">In </w:t>
      </w:r>
      <w:r w:rsidR="000F770B">
        <w:t>broad terms, the Securities</w:t>
      </w:r>
      <w:r w:rsidR="00B66D2B">
        <w:t xml:space="preserve">, which </w:t>
      </w:r>
      <w:r w:rsidR="00CE7B45">
        <w:t>mature in 2035</w:t>
      </w:r>
      <w:r w:rsidR="00B66D2B">
        <w:t xml:space="preserve">, </w:t>
      </w:r>
      <w:r w:rsidR="000F770B">
        <w:t xml:space="preserve">provided for payment to the </w:t>
      </w:r>
      <w:r w:rsidR="00AE31BC">
        <w:t>holders</w:t>
      </w:r>
      <w:r w:rsidR="000F770B">
        <w:t xml:space="preserve"> of an annual coupon</w:t>
      </w:r>
      <w:r w:rsidR="00CE7B45">
        <w:t xml:space="preserve">, </w:t>
      </w:r>
      <w:r w:rsidR="000F770B">
        <w:t xml:space="preserve">payable if </w:t>
      </w:r>
      <w:r w:rsidR="006D2946">
        <w:t xml:space="preserve">and only if </w:t>
      </w:r>
      <w:r w:rsidR="000F770B">
        <w:t xml:space="preserve">GDP </w:t>
      </w:r>
      <w:r w:rsidR="006D2946">
        <w:t xml:space="preserve">for </w:t>
      </w:r>
      <w:r w:rsidR="00EA494A">
        <w:t xml:space="preserve">the calendar </w:t>
      </w:r>
      <w:r w:rsidR="006D2946">
        <w:t xml:space="preserve">year </w:t>
      </w:r>
      <w:r w:rsidR="00EA494A">
        <w:t xml:space="preserve">in question </w:t>
      </w:r>
      <w:r w:rsidR="000F770B">
        <w:t xml:space="preserve">exceeded </w:t>
      </w:r>
      <w:r w:rsidR="00473CAE">
        <w:t xml:space="preserve">that </w:t>
      </w:r>
      <w:r w:rsidR="00961BB4">
        <w:t xml:space="preserve">set out in a table </w:t>
      </w:r>
      <w:r w:rsidR="001B090A">
        <w:t xml:space="preserve">which identified a </w:t>
      </w:r>
      <w:r w:rsidR="00961BB4">
        <w:t xml:space="preserve">base case figure for </w:t>
      </w:r>
      <w:r w:rsidR="00E21E6B">
        <w:t xml:space="preserve">each of </w:t>
      </w:r>
      <w:r w:rsidR="00832F71">
        <w:t>the calendar years from 2005 to 2034</w:t>
      </w:r>
      <w:r w:rsidR="00387D78">
        <w:t xml:space="preserve">; and if the </w:t>
      </w:r>
      <w:r w:rsidR="002D6190">
        <w:t xml:space="preserve">growth in GDP from the previous year exceeded the growth in the base case table.  </w:t>
      </w:r>
      <w:r w:rsidR="000F770B">
        <w:t>Th</w:t>
      </w:r>
      <w:r w:rsidR="00742D0E">
        <w:t xml:space="preserve">ose </w:t>
      </w:r>
      <w:r w:rsidR="000F770B">
        <w:t xml:space="preserve">base case </w:t>
      </w:r>
      <w:r w:rsidR="00A956AE">
        <w:t xml:space="preserve">figures </w:t>
      </w:r>
      <w:r w:rsidR="000F770B">
        <w:t xml:space="preserve">fell to be adjusted if and when GDP came to be measured by </w:t>
      </w:r>
      <w:r w:rsidR="00AC18AF">
        <w:t xml:space="preserve">the Republic using </w:t>
      </w:r>
      <w:r w:rsidR="000F770B">
        <w:t>a different data methodology from that at the time the Securities were issued, known as ‘rebasing’.</w:t>
      </w:r>
      <w:r w:rsidR="00C12719">
        <w:t xml:space="preserve">  </w:t>
      </w:r>
      <w:r w:rsidR="000F770B">
        <w:t xml:space="preserve">The issue </w:t>
      </w:r>
      <w:r w:rsidR="007217F9">
        <w:t xml:space="preserve">in the appeal is the </w:t>
      </w:r>
      <w:r w:rsidR="00D26C83">
        <w:t xml:space="preserve">proper construction of </w:t>
      </w:r>
      <w:r w:rsidR="000F770B">
        <w:t>the wording which made provision for the adjustment of the base case figures in the event of such rebasing.</w:t>
      </w:r>
      <w:r w:rsidR="00812C66" w:rsidRPr="00812C66">
        <w:t xml:space="preserve"> </w:t>
      </w:r>
      <w:r w:rsidR="009C09DC">
        <w:t xml:space="preserve"> </w:t>
      </w:r>
      <w:r w:rsidR="00504D7A">
        <w:t>T</w:t>
      </w:r>
      <w:r w:rsidR="00812C66">
        <w:t xml:space="preserve">he relevant wording is to be found in </w:t>
      </w:r>
      <w:r w:rsidR="00B0043E">
        <w:t>the terms and conditions of the global securities which accompanied a</w:t>
      </w:r>
      <w:r w:rsidR="004E4408">
        <w:t xml:space="preserve"> </w:t>
      </w:r>
      <w:r w:rsidR="00AB36EA">
        <w:t xml:space="preserve">Trust Indenture </w:t>
      </w:r>
      <w:r w:rsidR="0075534E">
        <w:t xml:space="preserve">dated 2 June 2005 issued by the Republic and </w:t>
      </w:r>
      <w:r w:rsidR="006432FF">
        <w:t>countersigned by the B</w:t>
      </w:r>
      <w:r w:rsidR="0071339A">
        <w:t>a</w:t>
      </w:r>
      <w:r w:rsidR="006432FF">
        <w:t>nk of New York Mellon</w:t>
      </w:r>
      <w:r w:rsidR="0071339A">
        <w:t xml:space="preserve"> (the Second Defendant in the action) as Trustee</w:t>
      </w:r>
      <w:r w:rsidR="00375F2B">
        <w:t>.</w:t>
      </w:r>
    </w:p>
    <w:p w14:paraId="27BC501B" w14:textId="77777777" w:rsidR="009C09DC" w:rsidRDefault="009C09DC" w:rsidP="00C662F9">
      <w:pPr>
        <w:pStyle w:val="ParaLevel1"/>
        <w:numPr>
          <w:ilvl w:val="0"/>
          <w:numId w:val="11"/>
        </w:numPr>
        <w:ind w:left="454" w:hanging="454"/>
      </w:pPr>
      <w:r>
        <w:t>The Respondents are four institutional and corporate investors (‘the Claimants’) who claimed payments for their share of the coupon said to be due for 2013.  The Republic contended that no sum was due.   Mr Justice Picken (‘the Judge’) upheld their claim and ordered payment of the coupon in the total sum of about EUR 1.3 billion</w:t>
      </w:r>
      <w:r w:rsidRPr="00026DD2">
        <w:t xml:space="preserve"> </w:t>
      </w:r>
      <w:r>
        <w:t>(due to all holders).  The Republic appeals with permission of Phillips LJ.</w:t>
      </w:r>
    </w:p>
    <w:p w14:paraId="4AAD6DF5" w14:textId="473CF99A" w:rsidR="008A62C0" w:rsidRDefault="0071339A" w:rsidP="00C662F9">
      <w:pPr>
        <w:pStyle w:val="ParaLevel1"/>
        <w:numPr>
          <w:ilvl w:val="0"/>
          <w:numId w:val="11"/>
        </w:numPr>
        <w:ind w:left="454" w:hanging="454"/>
      </w:pPr>
      <w:r>
        <w:t xml:space="preserve">At the trial before the Judge there was </w:t>
      </w:r>
      <w:r w:rsidR="00D622D9">
        <w:t xml:space="preserve">also </w:t>
      </w:r>
      <w:r>
        <w:t xml:space="preserve">an issue as to whether the </w:t>
      </w:r>
      <w:r w:rsidR="00C54C4F">
        <w:t>Claimant</w:t>
      </w:r>
      <w:r w:rsidR="00344CB4">
        <w:t>s’</w:t>
      </w:r>
      <w:r w:rsidR="00C54C4F">
        <w:t xml:space="preserve"> entitlement under the coupon, if established, </w:t>
      </w:r>
      <w:r w:rsidR="00985F84">
        <w:t>entitled them to a judgment in their own right in respect of their holdings</w:t>
      </w:r>
      <w:r w:rsidR="00197C89">
        <w:t>, as well as relief being given to the Trustee in respect of all holders of the Securities</w:t>
      </w:r>
      <w:r w:rsidR="00C54C4F">
        <w:t>.</w:t>
      </w:r>
      <w:r w:rsidR="00D622D9">
        <w:t xml:space="preserve">  </w:t>
      </w:r>
      <w:r w:rsidR="00C54C4F">
        <w:t xml:space="preserve">That issue was resolved in favour of the Claimants and has not been the subject of an appeal.  </w:t>
      </w:r>
      <w:r w:rsidR="00A950CA">
        <w:t xml:space="preserve">The Judge also had before him an alternative claim by the Claimants that if they failed on the construction issue, the Republic was liable for </w:t>
      </w:r>
      <w:r w:rsidR="00504D7A">
        <w:t xml:space="preserve">having made </w:t>
      </w:r>
      <w:r w:rsidR="00A950CA">
        <w:t>its determination of GDP</w:t>
      </w:r>
      <w:r w:rsidR="00C01426">
        <w:t xml:space="preserve"> for </w:t>
      </w:r>
      <w:r w:rsidR="00E25E1F">
        <w:t xml:space="preserve">2013 </w:t>
      </w:r>
      <w:r w:rsidR="00C01426">
        <w:t>in bad faith.  The Judge did not need to decide that issue and did not do so.  The appeal proceeds, therefore, solely on the question of construction.</w:t>
      </w:r>
      <w:r w:rsidR="00812C66">
        <w:t xml:space="preserve">  </w:t>
      </w:r>
    </w:p>
    <w:p w14:paraId="392FC04B" w14:textId="002BC4BB" w:rsidR="0060217B" w:rsidRPr="00DC4289" w:rsidRDefault="008D67A7" w:rsidP="00C7371D">
      <w:pPr>
        <w:pStyle w:val="ParaLevel1"/>
        <w:numPr>
          <w:ilvl w:val="0"/>
          <w:numId w:val="0"/>
        </w:numPr>
        <w:rPr>
          <w:b/>
          <w:bCs/>
        </w:rPr>
      </w:pPr>
      <w:r w:rsidRPr="00DC4289">
        <w:rPr>
          <w:b/>
          <w:bCs/>
        </w:rPr>
        <w:t>Concepts used in measuring GDP</w:t>
      </w:r>
    </w:p>
    <w:p w14:paraId="7A6035FA" w14:textId="3948F261" w:rsidR="008A62C0" w:rsidRDefault="00647AB4" w:rsidP="00C662F9">
      <w:pPr>
        <w:pStyle w:val="ParaLevel1"/>
        <w:numPr>
          <w:ilvl w:val="0"/>
          <w:numId w:val="11"/>
        </w:numPr>
        <w:ind w:left="454" w:hanging="454"/>
      </w:pPr>
      <w:r>
        <w:t>T</w:t>
      </w:r>
      <w:r w:rsidR="004E3564">
        <w:t>he language of th</w:t>
      </w:r>
      <w:r w:rsidR="00B27074">
        <w:t>e</w:t>
      </w:r>
      <w:r w:rsidR="004E3564">
        <w:t xml:space="preserve"> </w:t>
      </w:r>
      <w:r w:rsidR="006B07A6">
        <w:t xml:space="preserve">Securities </w:t>
      </w:r>
      <w:r w:rsidR="004E3564">
        <w:t>i</w:t>
      </w:r>
      <w:r w:rsidR="00592872">
        <w:t>s</w:t>
      </w:r>
      <w:r w:rsidR="004E3564">
        <w:t xml:space="preserve"> </w:t>
      </w:r>
      <w:r w:rsidR="00592872">
        <w:t>to</w:t>
      </w:r>
      <w:r w:rsidR="00F837CC">
        <w:t xml:space="preserve"> be</w:t>
      </w:r>
      <w:r w:rsidR="00592872">
        <w:t xml:space="preserve"> </w:t>
      </w:r>
      <w:r w:rsidR="0027771F">
        <w:t xml:space="preserve">interpreted </w:t>
      </w:r>
      <w:r w:rsidR="00592872">
        <w:t xml:space="preserve">against the background of </w:t>
      </w:r>
      <w:r w:rsidR="004E3564">
        <w:t xml:space="preserve">some </w:t>
      </w:r>
      <w:r w:rsidR="00B27074">
        <w:t xml:space="preserve">of the basic concepts used in measuring GDP.  </w:t>
      </w:r>
      <w:r w:rsidR="004721A9">
        <w:t>What follows was common ground between the parties and the experts whose evidence was adduced at trial.</w:t>
      </w:r>
    </w:p>
    <w:p w14:paraId="75D6643A" w14:textId="77777777" w:rsidR="00F837CC" w:rsidRDefault="00F837CC" w:rsidP="00C7371D">
      <w:pPr>
        <w:pStyle w:val="ParaLevel1"/>
        <w:numPr>
          <w:ilvl w:val="0"/>
          <w:numId w:val="0"/>
        </w:numPr>
        <w:rPr>
          <w:i/>
          <w:iCs/>
        </w:rPr>
      </w:pPr>
    </w:p>
    <w:p w14:paraId="0FF787C1" w14:textId="77777777" w:rsidR="00F837CC" w:rsidRDefault="00F837CC" w:rsidP="00C7371D">
      <w:pPr>
        <w:pStyle w:val="ParaLevel1"/>
        <w:numPr>
          <w:ilvl w:val="0"/>
          <w:numId w:val="0"/>
        </w:numPr>
        <w:rPr>
          <w:i/>
          <w:iCs/>
        </w:rPr>
      </w:pPr>
    </w:p>
    <w:p w14:paraId="11C1C95B" w14:textId="3CCFEE58" w:rsidR="00E012AD" w:rsidRPr="00E012AD" w:rsidRDefault="00E012AD" w:rsidP="00C7371D">
      <w:pPr>
        <w:pStyle w:val="ParaLevel1"/>
        <w:numPr>
          <w:ilvl w:val="0"/>
          <w:numId w:val="0"/>
        </w:numPr>
        <w:rPr>
          <w:i/>
          <w:iCs/>
        </w:rPr>
      </w:pPr>
      <w:r w:rsidRPr="00E012AD">
        <w:rPr>
          <w:i/>
          <w:iCs/>
        </w:rPr>
        <w:lastRenderedPageBreak/>
        <w:t>Nominal GDP in current prices and real GDP in constant prices</w:t>
      </w:r>
    </w:p>
    <w:p w14:paraId="515A3040" w14:textId="7385B509" w:rsidR="008764DE" w:rsidRDefault="00B772AC" w:rsidP="00C662F9">
      <w:pPr>
        <w:pStyle w:val="ParaLevel1"/>
        <w:numPr>
          <w:ilvl w:val="0"/>
          <w:numId w:val="11"/>
        </w:numPr>
        <w:ind w:left="454" w:hanging="454"/>
      </w:pPr>
      <w:r>
        <w:t xml:space="preserve">As is well known, GDP is a measure of </w:t>
      </w:r>
      <w:r w:rsidR="00A6746F">
        <w:t xml:space="preserve">a country’s </w:t>
      </w:r>
      <w:r w:rsidR="00665AC3">
        <w:t xml:space="preserve">economic </w:t>
      </w:r>
      <w:r w:rsidR="00A6746F">
        <w:t>output</w:t>
      </w:r>
      <w:r w:rsidR="00EB217F">
        <w:t xml:space="preserve"> in terms of goods and services. </w:t>
      </w:r>
      <w:r w:rsidR="002272DF">
        <w:t xml:space="preserve"> It is not limited to market services but include</w:t>
      </w:r>
      <w:r w:rsidR="008764DE">
        <w:t>s</w:t>
      </w:r>
      <w:r w:rsidR="002272DF">
        <w:t>, for example, the value of</w:t>
      </w:r>
      <w:r w:rsidR="002C5957">
        <w:t xml:space="preserve"> education services provided by the government within a country.</w:t>
      </w:r>
      <w:r w:rsidR="00EB217F">
        <w:t xml:space="preserve"> </w:t>
      </w:r>
      <w:r w:rsidR="00A755EE">
        <w:t xml:space="preserve">It is an important macroeconomic indicator used </w:t>
      </w:r>
      <w:r w:rsidR="00EA4938">
        <w:t xml:space="preserve">internally to determine </w:t>
      </w:r>
      <w:r w:rsidR="00F77E43">
        <w:t xml:space="preserve">policy, for example fiscal, monetary and industrial policy; and externally </w:t>
      </w:r>
      <w:r w:rsidR="00AE0E70">
        <w:t xml:space="preserve">in </w:t>
      </w:r>
      <w:r w:rsidR="00AB7DE5">
        <w:t xml:space="preserve">informing </w:t>
      </w:r>
      <w:r w:rsidR="00F77E43">
        <w:t>internation</w:t>
      </w:r>
      <w:r w:rsidR="000D5DF7">
        <w:t xml:space="preserve">al </w:t>
      </w:r>
      <w:r w:rsidR="00F77E43">
        <w:t xml:space="preserve">views of the strength and </w:t>
      </w:r>
      <w:r w:rsidR="00A426BC">
        <w:t xml:space="preserve">trajectory </w:t>
      </w:r>
      <w:r w:rsidR="00F77E43">
        <w:t>of a country’s econom</w:t>
      </w:r>
      <w:r w:rsidR="00A426BC">
        <w:t>y.</w:t>
      </w:r>
    </w:p>
    <w:p w14:paraId="39B5826B" w14:textId="29445F23" w:rsidR="0033229B" w:rsidRDefault="005B2A95" w:rsidP="00C662F9">
      <w:pPr>
        <w:pStyle w:val="ParaLevel1"/>
        <w:numPr>
          <w:ilvl w:val="0"/>
          <w:numId w:val="11"/>
        </w:numPr>
        <w:ind w:left="454" w:hanging="454"/>
      </w:pPr>
      <w:r>
        <w:t xml:space="preserve">In measurement of GDP </w:t>
      </w:r>
      <w:r w:rsidR="00223E59">
        <w:t xml:space="preserve">three broad approaches may be adopted.  An </w:t>
      </w:r>
      <w:r w:rsidR="00D234B4">
        <w:t xml:space="preserve">expenditure approach </w:t>
      </w:r>
      <w:r w:rsidR="00557966">
        <w:t xml:space="preserve">seeks to identify the </w:t>
      </w:r>
      <w:r w:rsidR="00223E59">
        <w:t xml:space="preserve">total </w:t>
      </w:r>
      <w:r w:rsidR="00557966">
        <w:t>sum of expenditure on final goods and services purchased by all users; a</w:t>
      </w:r>
      <w:r w:rsidR="003B10DC">
        <w:t xml:space="preserve"> production approach seeks to measure the incremental added value </w:t>
      </w:r>
      <w:r w:rsidR="00B42D3B">
        <w:t>at each stage of production; an income approach seeks to measure</w:t>
      </w:r>
      <w:r w:rsidR="005063E6">
        <w:t xml:space="preserve"> by reference to the total wages, interest</w:t>
      </w:r>
      <w:r w:rsidR="00223E59">
        <w:t>,</w:t>
      </w:r>
      <w:r w:rsidR="005063E6">
        <w:t xml:space="preserve"> rent and profits received by households.  </w:t>
      </w:r>
      <w:r w:rsidR="003650B3">
        <w:t xml:space="preserve">In practice </w:t>
      </w:r>
      <w:r w:rsidR="00884FBF">
        <w:t>a</w:t>
      </w:r>
      <w:r w:rsidR="005063E6">
        <w:t xml:space="preserve"> combination of such approaches will often be used. </w:t>
      </w:r>
      <w:r w:rsidR="00AD28BA">
        <w:t xml:space="preserve">The </w:t>
      </w:r>
      <w:r w:rsidR="0033229B">
        <w:t>Republic</w:t>
      </w:r>
      <w:r w:rsidR="00AD28BA">
        <w:t xml:space="preserve"> p</w:t>
      </w:r>
      <w:r w:rsidR="0033229B">
        <w:t xml:space="preserve">redominantly used the production and expenditure approaches.  </w:t>
      </w:r>
      <w:r w:rsidR="00D74D30">
        <w:t xml:space="preserve">Its GDP </w:t>
      </w:r>
      <w:r w:rsidR="00A95A0A">
        <w:t>data w</w:t>
      </w:r>
      <w:r w:rsidR="0059652E">
        <w:t>ere</w:t>
      </w:r>
      <w:r w:rsidR="00A95A0A">
        <w:t xml:space="preserve"> compiled and </w:t>
      </w:r>
      <w:r w:rsidR="008F14E8">
        <w:t xml:space="preserve">published by </w:t>
      </w:r>
      <w:r w:rsidR="00530174">
        <w:t xml:space="preserve">The National Institute of Statistics and Censuses (‘INDEC’), </w:t>
      </w:r>
      <w:r w:rsidR="008D5D20" w:rsidRPr="00B910C8">
        <w:rPr>
          <w:color w:val="000000"/>
          <w:lang w:val="en-US"/>
        </w:rPr>
        <w:t>which is</w:t>
      </w:r>
      <w:r w:rsidR="00A95A0A">
        <w:rPr>
          <w:color w:val="000000"/>
          <w:lang w:val="en-US"/>
        </w:rPr>
        <w:t xml:space="preserve"> </w:t>
      </w:r>
      <w:r w:rsidR="0017513C">
        <w:rPr>
          <w:color w:val="000000"/>
          <w:lang w:val="en-US"/>
        </w:rPr>
        <w:t xml:space="preserve">a public body within </w:t>
      </w:r>
      <w:r w:rsidR="00DA6B40">
        <w:rPr>
          <w:color w:val="000000"/>
          <w:lang w:val="en-US"/>
        </w:rPr>
        <w:t xml:space="preserve">the orbit of the </w:t>
      </w:r>
      <w:r w:rsidR="008D5D20" w:rsidRPr="00B910C8">
        <w:rPr>
          <w:color w:val="000000"/>
          <w:lang w:val="en-US"/>
        </w:rPr>
        <w:t>Republic’s Ministry of Economy</w:t>
      </w:r>
      <w:r w:rsidR="00A95A0A">
        <w:rPr>
          <w:color w:val="000000"/>
          <w:lang w:val="en-US"/>
        </w:rPr>
        <w:t>.</w:t>
      </w:r>
    </w:p>
    <w:p w14:paraId="0805EF21" w14:textId="5DFDD0C7" w:rsidR="00A428B6" w:rsidRDefault="00ED0CFD" w:rsidP="00C662F9">
      <w:pPr>
        <w:pStyle w:val="ParaLevel1"/>
        <w:numPr>
          <w:ilvl w:val="0"/>
          <w:numId w:val="11"/>
        </w:numPr>
        <w:ind w:left="454" w:hanging="454"/>
      </w:pPr>
      <w:r>
        <w:t xml:space="preserve">The </w:t>
      </w:r>
      <w:r w:rsidR="00834030">
        <w:t>exercis</w:t>
      </w:r>
      <w:r w:rsidR="004B3973">
        <w:t>e</w:t>
      </w:r>
      <w:r>
        <w:t xml:space="preserve"> </w:t>
      </w:r>
      <w:r w:rsidR="006B30B6">
        <w:t xml:space="preserve">not only requires selection of </w:t>
      </w:r>
      <w:r w:rsidR="000008B7">
        <w:t xml:space="preserve">one or more of </w:t>
      </w:r>
      <w:r w:rsidR="006B30B6">
        <w:t>these approaches</w:t>
      </w:r>
      <w:r w:rsidR="00884FBF">
        <w:t>,</w:t>
      </w:r>
      <w:r w:rsidR="006B30B6">
        <w:t xml:space="preserve"> but also </w:t>
      </w:r>
      <w:r>
        <w:t>d</w:t>
      </w:r>
      <w:r w:rsidR="003D6388">
        <w:t>ecisions to be made as to what goods and services are included</w:t>
      </w:r>
      <w:r w:rsidR="0099490F">
        <w:t xml:space="preserve"> (for example whether to include the black economy); what </w:t>
      </w:r>
      <w:r w:rsidR="005E5894">
        <w:t xml:space="preserve">relative </w:t>
      </w:r>
      <w:r w:rsidR="0099490F">
        <w:t xml:space="preserve">value and weighting </w:t>
      </w:r>
      <w:r w:rsidR="00FB66CB">
        <w:t xml:space="preserve">is </w:t>
      </w:r>
      <w:r w:rsidR="0099490F">
        <w:t>to be given to different</w:t>
      </w:r>
      <w:r w:rsidR="00233325">
        <w:t xml:space="preserve"> aspects of production of goods and provision of services</w:t>
      </w:r>
      <w:r w:rsidR="00884FBF">
        <w:t>;</w:t>
      </w:r>
      <w:r w:rsidR="00B15FD1">
        <w:t xml:space="preserve"> </w:t>
      </w:r>
      <w:r w:rsidR="00B8709B">
        <w:t xml:space="preserve">and </w:t>
      </w:r>
      <w:r w:rsidR="00957A3B">
        <w:t xml:space="preserve">what prices </w:t>
      </w:r>
      <w:r w:rsidR="00AD28BA">
        <w:t xml:space="preserve">or monetary values </w:t>
      </w:r>
      <w:r w:rsidR="00957A3B">
        <w:t>are to be attributed to each</w:t>
      </w:r>
      <w:r w:rsidR="00B8709B">
        <w:t xml:space="preserve">.  </w:t>
      </w:r>
      <w:r w:rsidR="00A428B6">
        <w:t xml:space="preserve">There are some international standards, but how a country estimates GDP is to a significant extent a matter of choice and ultimately within its own control.  It will choose the basket of goods and services to be measured, how it is to be measured, how the data </w:t>
      </w:r>
      <w:r w:rsidR="00893BAA">
        <w:t>are</w:t>
      </w:r>
      <w:r w:rsidR="00A428B6">
        <w:t xml:space="preserve"> collected in order to measure it, and how the relative weighting and value is attributed to goods and services in the basket.  </w:t>
      </w:r>
      <w:r w:rsidR="00BE2F0E">
        <w:t xml:space="preserve">These all involve judgements which, within certain parameters, are a matter of choice and subjective evaluation for the government.  </w:t>
      </w:r>
    </w:p>
    <w:p w14:paraId="7D3E62E8" w14:textId="49DDCECF" w:rsidR="000F3B84" w:rsidRDefault="006A5DD4" w:rsidP="00C662F9">
      <w:pPr>
        <w:pStyle w:val="ParaLevel1"/>
        <w:numPr>
          <w:ilvl w:val="0"/>
          <w:numId w:val="11"/>
        </w:numPr>
        <w:ind w:left="454" w:hanging="454"/>
      </w:pPr>
      <w:r>
        <w:t>So</w:t>
      </w:r>
      <w:r w:rsidR="00A755EE">
        <w:t xml:space="preserve"> </w:t>
      </w:r>
      <w:r>
        <w:t xml:space="preserve">far as </w:t>
      </w:r>
      <w:r w:rsidR="006D499B">
        <w:t xml:space="preserve">value is concerned, this may be </w:t>
      </w:r>
      <w:r w:rsidR="007B1014">
        <w:t xml:space="preserve">expressed in current </w:t>
      </w:r>
      <w:r w:rsidR="006D499B">
        <w:t>value or a historic value</w:t>
      </w:r>
      <w:r w:rsidR="000F3B84">
        <w:t>, referred to respectively as ‘current prices’ or ‘</w:t>
      </w:r>
      <w:r w:rsidR="007B1014">
        <w:t>constant prices</w:t>
      </w:r>
      <w:r w:rsidR="000F3B84">
        <w:t>’</w:t>
      </w:r>
      <w:r w:rsidR="007B1014">
        <w:t>.  Current price GDP</w:t>
      </w:r>
      <w:r w:rsidR="008C02AD">
        <w:t xml:space="preserve"> is the estimate of the value of the goods and services expressed using the current contemporaneous price</w:t>
      </w:r>
      <w:r w:rsidR="00121777">
        <w:t>/value</w:t>
      </w:r>
      <w:r w:rsidR="008C02AD">
        <w:t xml:space="preserve"> of those goods and services.  </w:t>
      </w:r>
      <w:r w:rsidR="00FE42ED">
        <w:t xml:space="preserve">This is known as </w:t>
      </w:r>
      <w:r w:rsidR="001C0C38">
        <w:t>‘</w:t>
      </w:r>
      <w:r w:rsidR="00FE42ED">
        <w:t>nominal GDP</w:t>
      </w:r>
      <w:r w:rsidR="001C0C38">
        <w:t>’</w:t>
      </w:r>
      <w:r w:rsidR="004500B1">
        <w:t xml:space="preserve">.  </w:t>
      </w:r>
      <w:r w:rsidR="008C02AD">
        <w:t xml:space="preserve">It is </w:t>
      </w:r>
      <w:r w:rsidR="0028786B">
        <w:t>an estimate of the present value of GDP.</w:t>
      </w:r>
      <w:r w:rsidR="000F3B84">
        <w:t xml:space="preserve">  </w:t>
      </w:r>
      <w:r w:rsidR="00156075">
        <w:t xml:space="preserve">Nominal GDP is not, however, </w:t>
      </w:r>
      <w:r w:rsidR="0028786B">
        <w:t xml:space="preserve">a useful measure for the purposes of assessing the extent of </w:t>
      </w:r>
      <w:r w:rsidR="004E65CA">
        <w:t xml:space="preserve">change </w:t>
      </w:r>
      <w:r w:rsidR="0028786B">
        <w:t>in GDP from year to year because price inflation would resu</w:t>
      </w:r>
      <w:r w:rsidR="002E0918">
        <w:t xml:space="preserve">lt </w:t>
      </w:r>
      <w:r w:rsidR="0028786B">
        <w:t>in an increase</w:t>
      </w:r>
      <w:r w:rsidR="00954E86">
        <w:t xml:space="preserve"> </w:t>
      </w:r>
      <w:r w:rsidR="0028786B">
        <w:t xml:space="preserve">in GDP even were there to be no change in the </w:t>
      </w:r>
      <w:r w:rsidR="002B6F7F">
        <w:t xml:space="preserve">output of goods and services.  </w:t>
      </w:r>
      <w:r w:rsidR="008A12D6">
        <w:t xml:space="preserve">One method </w:t>
      </w:r>
      <w:r w:rsidR="00AD28BA">
        <w:t xml:space="preserve">commonly </w:t>
      </w:r>
      <w:r w:rsidR="008A12D6">
        <w:t xml:space="preserve">adopted to meet this problem </w:t>
      </w:r>
      <w:r w:rsidR="00A84A18">
        <w:t xml:space="preserve">is to express </w:t>
      </w:r>
      <w:r w:rsidR="002B6F7F">
        <w:t xml:space="preserve">GDP in </w:t>
      </w:r>
      <w:r w:rsidR="00C0157F">
        <w:t>constant prices, thereby seeking to strip out the effects of price inflation and measure the true change in output</w:t>
      </w:r>
      <w:r w:rsidR="000F3B84">
        <w:t>.</w:t>
      </w:r>
      <w:r w:rsidR="00412A96">
        <w:t xml:space="preserve"> </w:t>
      </w:r>
      <w:r w:rsidR="00C0157F">
        <w:t xml:space="preserve">This is known </w:t>
      </w:r>
      <w:r w:rsidR="002C7FCB">
        <w:t xml:space="preserve">as </w:t>
      </w:r>
      <w:r w:rsidR="001C0C38">
        <w:t>‘</w:t>
      </w:r>
      <w:r w:rsidR="002C7FCB">
        <w:t>real GDP</w:t>
      </w:r>
      <w:r w:rsidR="001C0C38">
        <w:t>’</w:t>
      </w:r>
      <w:r w:rsidR="00A57EA5">
        <w:t>, and was</w:t>
      </w:r>
      <w:r w:rsidR="00E97533">
        <w:t xml:space="preserve"> expressed in the Securities as ‘Actual Real GDP’.</w:t>
      </w:r>
    </w:p>
    <w:p w14:paraId="15E122EB" w14:textId="6F15AE31" w:rsidR="00BA079B" w:rsidRDefault="002E0918" w:rsidP="00C662F9">
      <w:pPr>
        <w:pStyle w:val="ParaLevel1"/>
        <w:numPr>
          <w:ilvl w:val="0"/>
          <w:numId w:val="11"/>
        </w:numPr>
        <w:ind w:left="454" w:hanging="454"/>
      </w:pPr>
      <w:r>
        <w:t xml:space="preserve">Real GDP is measured by reference to </w:t>
      </w:r>
      <w:r w:rsidR="0048114E">
        <w:t>constant prices for a particular year, known as the bas</w:t>
      </w:r>
      <w:r w:rsidR="00B75C92">
        <w:t>e</w:t>
      </w:r>
      <w:r w:rsidR="00A57EA5">
        <w:t xml:space="preserve"> price year</w:t>
      </w:r>
      <w:r w:rsidR="00B75C92">
        <w:t>.</w:t>
      </w:r>
      <w:r w:rsidR="00A57EA5">
        <w:t xml:space="preserve">  </w:t>
      </w:r>
      <w:r w:rsidR="009A6E77">
        <w:t xml:space="preserve">The volume of output is </w:t>
      </w:r>
      <w:r w:rsidR="002A3632">
        <w:t>assessed</w:t>
      </w:r>
      <w:r w:rsidR="009A6E77">
        <w:t xml:space="preserve"> in current year terms, but the prices applied to those volumes are the historic prices from an earlier year.  </w:t>
      </w:r>
      <w:r w:rsidR="00B26DC3">
        <w:t xml:space="preserve">The earlier year is the base price </w:t>
      </w:r>
      <w:r w:rsidR="002A3632">
        <w:t xml:space="preserve">year </w:t>
      </w:r>
      <w:r w:rsidR="00B26DC3">
        <w:t xml:space="preserve">for the estimate.  </w:t>
      </w:r>
      <w:r w:rsidR="00E97533">
        <w:t xml:space="preserve">In the Securities this </w:t>
      </w:r>
      <w:r w:rsidR="00B715C2">
        <w:t xml:space="preserve">base price </w:t>
      </w:r>
      <w:r w:rsidR="00E97533">
        <w:t xml:space="preserve">was defined </w:t>
      </w:r>
      <w:r w:rsidR="005F5ACF">
        <w:t xml:space="preserve">as ‘Year of Base Prices’ </w:t>
      </w:r>
      <w:r w:rsidR="001B317C">
        <w:t xml:space="preserve">(‘YOBP’) </w:t>
      </w:r>
      <w:r w:rsidR="001E1EB1">
        <w:t xml:space="preserve">and was 1993 when the Securities were issued in 2005 (and 2010).  </w:t>
      </w:r>
      <w:r w:rsidR="00DF752A" w:rsidRPr="00DF752A">
        <w:t xml:space="preserve">Figures for </w:t>
      </w:r>
      <w:r w:rsidR="00DF752A">
        <w:t xml:space="preserve">real </w:t>
      </w:r>
      <w:r w:rsidR="00DF752A" w:rsidRPr="00DF752A">
        <w:t xml:space="preserve">GDP </w:t>
      </w:r>
      <w:r w:rsidR="00601582">
        <w:t xml:space="preserve">which are expressed </w:t>
      </w:r>
      <w:r w:rsidR="00DF752A" w:rsidRPr="00DF752A">
        <w:t>for different year</w:t>
      </w:r>
      <w:r w:rsidR="00DF752A">
        <w:t>s in the</w:t>
      </w:r>
      <w:r w:rsidR="00D12F3B">
        <w:t xml:space="preserve"> same </w:t>
      </w:r>
      <w:r w:rsidR="00796B30">
        <w:t>year of base prices a</w:t>
      </w:r>
      <w:r w:rsidR="00D12F3B">
        <w:t xml:space="preserve">re commonly referred to as </w:t>
      </w:r>
      <w:r w:rsidR="00601582">
        <w:t xml:space="preserve">GDP in that </w:t>
      </w:r>
      <w:r w:rsidR="00796B30">
        <w:t>year</w:t>
      </w:r>
      <w:r w:rsidR="006C4261">
        <w:t xml:space="preserve">’s </w:t>
      </w:r>
      <w:r w:rsidR="00D12F3B">
        <w:t>‘series’</w:t>
      </w:r>
      <w:r w:rsidR="00FA0802">
        <w:t xml:space="preserve"> or that year’s ‘constant prices’</w:t>
      </w:r>
      <w:r w:rsidR="00D12F3B">
        <w:t xml:space="preserve">.  </w:t>
      </w:r>
      <w:r w:rsidR="00676913">
        <w:t xml:space="preserve">Argentina’s </w:t>
      </w:r>
      <w:r w:rsidR="00D12F3B">
        <w:t xml:space="preserve">real GDP </w:t>
      </w:r>
      <w:r w:rsidR="00676913">
        <w:t>for the years from 1993 to 201</w:t>
      </w:r>
      <w:r w:rsidR="000E0BF2">
        <w:t>2</w:t>
      </w:r>
      <w:r w:rsidR="009E37B0">
        <w:t xml:space="preserve"> was expressed by reference </w:t>
      </w:r>
      <w:r w:rsidR="009E37B0">
        <w:lastRenderedPageBreak/>
        <w:t xml:space="preserve">to 1993 </w:t>
      </w:r>
      <w:r w:rsidR="006C4261">
        <w:t xml:space="preserve">year of base prices </w:t>
      </w:r>
      <w:r w:rsidR="009E37B0">
        <w:t xml:space="preserve">and </w:t>
      </w:r>
      <w:r w:rsidR="002E77C7">
        <w:t xml:space="preserve">is </w:t>
      </w:r>
      <w:r w:rsidR="009E37B0">
        <w:t xml:space="preserve">therefore </w:t>
      </w:r>
      <w:r w:rsidR="00FE42ED">
        <w:t xml:space="preserve">referred to as GDP </w:t>
      </w:r>
      <w:r w:rsidR="006F4A67">
        <w:t xml:space="preserve">measured in </w:t>
      </w:r>
      <w:r w:rsidR="00FE42ED">
        <w:t>a 1993 series</w:t>
      </w:r>
      <w:r w:rsidR="00B247F9">
        <w:t xml:space="preserve"> or in constant 1993 prices</w:t>
      </w:r>
      <w:r w:rsidR="006C4261">
        <w:t xml:space="preserve"> for that period</w:t>
      </w:r>
      <w:r w:rsidR="00B247F9">
        <w:t>.</w:t>
      </w:r>
      <w:r w:rsidR="006041D5">
        <w:t xml:space="preserve"> GDP was rebased to 2004 year of base prices with effect from 2013</w:t>
      </w:r>
      <w:r w:rsidR="00F07886">
        <w:t>.</w:t>
      </w:r>
    </w:p>
    <w:p w14:paraId="451C6AC3" w14:textId="379B0DEC" w:rsidR="00043D48" w:rsidRDefault="00D84444" w:rsidP="00C662F9">
      <w:pPr>
        <w:pStyle w:val="ParaLevel1"/>
        <w:numPr>
          <w:ilvl w:val="0"/>
          <w:numId w:val="11"/>
        </w:numPr>
        <w:ind w:left="454" w:hanging="454"/>
      </w:pPr>
      <w:r>
        <w:t xml:space="preserve">A series </w:t>
      </w:r>
      <w:r w:rsidR="004974CD">
        <w:t xml:space="preserve">uses </w:t>
      </w:r>
      <w:r>
        <w:t>tha</w:t>
      </w:r>
      <w:r w:rsidR="00FD6BB3">
        <w:t>t</w:t>
      </w:r>
      <w:r>
        <w:t xml:space="preserve"> year</w:t>
      </w:r>
      <w:r w:rsidR="002F4AD7">
        <w:t>’</w:t>
      </w:r>
      <w:r>
        <w:t>s prices</w:t>
      </w:r>
      <w:r w:rsidR="00966CF7">
        <w:t>, prices here meaning the values attributed to the various goods and services by whatever valuation methodology has been chosen</w:t>
      </w:r>
      <w:r w:rsidR="00F437D5">
        <w:t xml:space="preserve">; and additionally </w:t>
      </w:r>
      <w:r>
        <w:t xml:space="preserve">that year’s methodology in terms of the scope of </w:t>
      </w:r>
      <w:r w:rsidR="00987F0C">
        <w:t xml:space="preserve">the goods and </w:t>
      </w:r>
      <w:r>
        <w:t>services</w:t>
      </w:r>
      <w:r w:rsidR="00406207">
        <w:t xml:space="preserve"> included and how they are measured</w:t>
      </w:r>
      <w:r w:rsidR="00796B30">
        <w:t>.</w:t>
      </w:r>
      <w:r w:rsidR="00AF342A">
        <w:t xml:space="preserve">  </w:t>
      </w:r>
      <w:r w:rsidR="00043D48">
        <w:t xml:space="preserve">These aspects of the methodology used for a particular year were referred to in the evidence as the </w:t>
      </w:r>
      <w:r w:rsidR="00483A39">
        <w:t>‘</w:t>
      </w:r>
      <w:r w:rsidR="00043D48">
        <w:t>scope</w:t>
      </w:r>
      <w:r w:rsidR="00483A39">
        <w:t>’</w:t>
      </w:r>
      <w:r w:rsidR="00043D48">
        <w:t xml:space="preserve"> of that year’s</w:t>
      </w:r>
      <w:r w:rsidR="00483A39">
        <w:t xml:space="preserve"> base prices</w:t>
      </w:r>
      <w:r w:rsidR="00043D48">
        <w:t xml:space="preserve">.    </w:t>
      </w:r>
    </w:p>
    <w:p w14:paraId="5803C030" w14:textId="1D659575" w:rsidR="008A62C0" w:rsidRDefault="00A569E8" w:rsidP="00C662F9">
      <w:pPr>
        <w:pStyle w:val="ParaLevel1"/>
        <w:numPr>
          <w:ilvl w:val="0"/>
          <w:numId w:val="11"/>
        </w:numPr>
        <w:ind w:left="454" w:hanging="454"/>
      </w:pPr>
      <w:r>
        <w:t>As soci</w:t>
      </w:r>
      <w:r w:rsidR="00717BD0">
        <w:t xml:space="preserve">eties </w:t>
      </w:r>
      <w:r>
        <w:t>evolve and change, the scope needs to be replace</w:t>
      </w:r>
      <w:r w:rsidR="000E0BF2">
        <w:t>d</w:t>
      </w:r>
      <w:r>
        <w:t xml:space="preserve"> with new met</w:t>
      </w:r>
      <w:r w:rsidR="001B1007">
        <w:t>hodology intended better to reflect the measurement of output in the changed economic structure of the country.</w:t>
      </w:r>
      <w:r w:rsidR="00717BD0">
        <w:t xml:space="preserve">  </w:t>
      </w:r>
      <w:r w:rsidR="00B64542">
        <w:t xml:space="preserve">This requires adjustments for </w:t>
      </w:r>
      <w:r w:rsidR="007C2FE3">
        <w:t>product changes and quality changes, to both existing and new goods and services</w:t>
      </w:r>
      <w:r w:rsidR="00796B30">
        <w:t xml:space="preserve">.  </w:t>
      </w:r>
      <w:r w:rsidR="00717BD0">
        <w:t>For example</w:t>
      </w:r>
      <w:r w:rsidR="009841B8">
        <w:t>,</w:t>
      </w:r>
      <w:r w:rsidR="00717BD0">
        <w:t xml:space="preserve"> </w:t>
      </w:r>
      <w:r w:rsidR="00CA1798">
        <w:t xml:space="preserve">it will </w:t>
      </w:r>
      <w:r w:rsidR="00403382">
        <w:t>be</w:t>
      </w:r>
      <w:r w:rsidR="00CA1798">
        <w:t xml:space="preserve"> appropriate to </w:t>
      </w:r>
      <w:r w:rsidR="008113E6">
        <w:t xml:space="preserve">adjust </w:t>
      </w:r>
      <w:r w:rsidR="00717BD0">
        <w:t xml:space="preserve">the </w:t>
      </w:r>
      <w:r w:rsidR="0038022D">
        <w:t xml:space="preserve">measurement </w:t>
      </w:r>
      <w:r w:rsidR="002F4AD7">
        <w:t xml:space="preserve">of value </w:t>
      </w:r>
      <w:r w:rsidR="0038022D">
        <w:t>in output of computers</w:t>
      </w:r>
      <w:r w:rsidR="00483A39">
        <w:t>,</w:t>
      </w:r>
      <w:r w:rsidR="0038022D">
        <w:t xml:space="preserve"> or mobile phones</w:t>
      </w:r>
      <w:r w:rsidR="00483A39">
        <w:t>,</w:t>
      </w:r>
      <w:r w:rsidR="0038022D">
        <w:t xml:space="preserve"> </w:t>
      </w:r>
      <w:r w:rsidR="00185773">
        <w:t xml:space="preserve">in line with their </w:t>
      </w:r>
      <w:r w:rsidR="0038022D">
        <w:t>technological developments</w:t>
      </w:r>
      <w:r w:rsidR="00985C87">
        <w:t xml:space="preserve"> since</w:t>
      </w:r>
      <w:r w:rsidR="00A72744">
        <w:t xml:space="preserve"> the 1990s</w:t>
      </w:r>
      <w:r w:rsidR="00FB55C0">
        <w:t xml:space="preserve">; </w:t>
      </w:r>
      <w:r w:rsidR="00AA5B19">
        <w:t xml:space="preserve">and </w:t>
      </w:r>
      <w:r w:rsidR="0065478C">
        <w:t>the effect of the interne</w:t>
      </w:r>
      <w:r w:rsidR="001024B6">
        <w:t>t an</w:t>
      </w:r>
      <w:r w:rsidR="004B27BF">
        <w:t>d</w:t>
      </w:r>
      <w:r w:rsidR="001024B6">
        <w:t xml:space="preserve"> </w:t>
      </w:r>
      <w:r w:rsidR="001024B6" w:rsidRPr="001024B6">
        <w:t>e-com</w:t>
      </w:r>
      <w:r w:rsidR="004B27BF">
        <w:t>m</w:t>
      </w:r>
      <w:r w:rsidR="001024B6" w:rsidRPr="001024B6">
        <w:t>erce</w:t>
      </w:r>
      <w:r w:rsidR="004E52FA">
        <w:t xml:space="preserve">; changes can </w:t>
      </w:r>
      <w:r w:rsidR="00AA5B19">
        <w:t xml:space="preserve">reflect </w:t>
      </w:r>
      <w:r w:rsidR="004A0113">
        <w:t xml:space="preserve">any </w:t>
      </w:r>
      <w:r w:rsidR="001D2C99">
        <w:t>discoveries of new resources, or the invention of new products, applications or services which were not measured at all in the bas</w:t>
      </w:r>
      <w:r w:rsidR="00483A39">
        <w:t>e</w:t>
      </w:r>
      <w:r w:rsidR="001D2C99">
        <w:t xml:space="preserve"> year methodology.  </w:t>
      </w:r>
      <w:r w:rsidR="009879D2">
        <w:t xml:space="preserve">The rebasing </w:t>
      </w:r>
      <w:r w:rsidR="00483A39">
        <w:t>can</w:t>
      </w:r>
      <w:r w:rsidR="009879D2">
        <w:t xml:space="preserve"> involve </w:t>
      </w:r>
      <w:r w:rsidR="00831081">
        <w:t>c</w:t>
      </w:r>
      <w:r w:rsidR="003B3A90">
        <w:t xml:space="preserve">hanges in the weightings of value attributable to </w:t>
      </w:r>
      <w:r w:rsidR="008A44B9">
        <w:t>production</w:t>
      </w:r>
      <w:r w:rsidR="00164649">
        <w:t xml:space="preserve">; so </w:t>
      </w:r>
      <w:r w:rsidR="008A44B9">
        <w:t>a unit of production in one industrial centre</w:t>
      </w:r>
      <w:r w:rsidR="00674485">
        <w:t xml:space="preserve"> may be </w:t>
      </w:r>
      <w:r w:rsidR="00E118E5">
        <w:t xml:space="preserve">treated as </w:t>
      </w:r>
      <w:r w:rsidR="00674485">
        <w:t xml:space="preserve">half as valuable in </w:t>
      </w:r>
      <w:r w:rsidR="00796B30">
        <w:t xml:space="preserve">the </w:t>
      </w:r>
      <w:r w:rsidR="00674485">
        <w:t>base year prices as another; yet over time it</w:t>
      </w:r>
      <w:r w:rsidR="00576608">
        <w:t xml:space="preserve">s quality and composition may improve so </w:t>
      </w:r>
      <w:r w:rsidR="009879D2">
        <w:t xml:space="preserve">that </w:t>
      </w:r>
      <w:r w:rsidR="00576608">
        <w:t>it is</w:t>
      </w:r>
      <w:r w:rsidR="006F08F6">
        <w:t xml:space="preserve"> </w:t>
      </w:r>
      <w:r w:rsidR="00E118E5">
        <w:t xml:space="preserve">to be treated </w:t>
      </w:r>
      <w:r w:rsidR="00B31B99">
        <w:t xml:space="preserve">as </w:t>
      </w:r>
      <w:r w:rsidR="006F08F6">
        <w:t xml:space="preserve">twice as valuable as the other unit.  </w:t>
      </w:r>
      <w:r w:rsidR="00674485">
        <w:t xml:space="preserve"> </w:t>
      </w:r>
      <w:r w:rsidR="001D2C99">
        <w:t xml:space="preserve">Accordingly the </w:t>
      </w:r>
      <w:r w:rsidR="00890791">
        <w:t>year</w:t>
      </w:r>
      <w:r w:rsidR="00F424D2">
        <w:t xml:space="preserve"> </w:t>
      </w:r>
      <w:r w:rsidR="00890791">
        <w:t>of base price</w:t>
      </w:r>
      <w:r w:rsidR="004E52FA">
        <w:t>s</w:t>
      </w:r>
      <w:r w:rsidR="00890791">
        <w:t xml:space="preserve"> </w:t>
      </w:r>
      <w:r w:rsidR="00CC3C7C">
        <w:t xml:space="preserve">needs to </w:t>
      </w:r>
      <w:r w:rsidR="000D0399">
        <w:t xml:space="preserve">be </w:t>
      </w:r>
      <w:r w:rsidR="00890791">
        <w:t>revised periodically to</w:t>
      </w:r>
      <w:r w:rsidR="002F07A9">
        <w:t xml:space="preserve"> a new year of ba</w:t>
      </w:r>
      <w:r w:rsidR="00F424D2">
        <w:t>s</w:t>
      </w:r>
      <w:r w:rsidR="00826D93">
        <w:t>e price</w:t>
      </w:r>
      <w:r w:rsidR="004E52FA">
        <w:t>s</w:t>
      </w:r>
      <w:r w:rsidR="002F07A9">
        <w:t xml:space="preserve"> to be used for real GDP.</w:t>
      </w:r>
      <w:r w:rsidR="00FE5390">
        <w:t xml:space="preserve">  </w:t>
      </w:r>
      <w:r w:rsidR="00097B32">
        <w:t>Th</w:t>
      </w:r>
      <w:r w:rsidR="006F08F6">
        <w:t xml:space="preserve">is also enables </w:t>
      </w:r>
      <w:r w:rsidR="00C00FCA">
        <w:t xml:space="preserve">the use of new data sources, </w:t>
      </w:r>
      <w:r w:rsidR="00826D93">
        <w:t xml:space="preserve">and </w:t>
      </w:r>
      <w:r w:rsidR="00097B32">
        <w:t xml:space="preserve">methodological </w:t>
      </w:r>
      <w:r w:rsidR="00826D93">
        <w:t xml:space="preserve">and statistical </w:t>
      </w:r>
      <w:r w:rsidR="00097B32">
        <w:t xml:space="preserve">changes in </w:t>
      </w:r>
      <w:r w:rsidR="00C00FCA">
        <w:t xml:space="preserve">data </w:t>
      </w:r>
      <w:r w:rsidR="00FE5390">
        <w:t>m</w:t>
      </w:r>
      <w:r w:rsidR="00097B32">
        <w:t>easurement</w:t>
      </w:r>
      <w:r w:rsidR="00826D93">
        <w:t xml:space="preserve"> </w:t>
      </w:r>
      <w:r w:rsidR="00097B32">
        <w:t>and compilation methods.</w:t>
      </w:r>
    </w:p>
    <w:p w14:paraId="26053552" w14:textId="3EA9993E" w:rsidR="00941FDC" w:rsidRPr="00941FDC" w:rsidRDefault="00941FDC" w:rsidP="00C7371D">
      <w:pPr>
        <w:pStyle w:val="ParaLevel1"/>
        <w:numPr>
          <w:ilvl w:val="0"/>
          <w:numId w:val="0"/>
        </w:numPr>
        <w:rPr>
          <w:i/>
          <w:iCs/>
        </w:rPr>
      </w:pPr>
      <w:r w:rsidRPr="00941FDC">
        <w:rPr>
          <w:i/>
          <w:iCs/>
        </w:rPr>
        <w:t>Rebasing</w:t>
      </w:r>
    </w:p>
    <w:p w14:paraId="0F1F3EF0" w14:textId="490AF639" w:rsidR="002F07A9" w:rsidRDefault="002F07A9" w:rsidP="00C662F9">
      <w:pPr>
        <w:pStyle w:val="ParaLevel1"/>
        <w:numPr>
          <w:ilvl w:val="0"/>
          <w:numId w:val="11"/>
        </w:numPr>
        <w:ind w:left="454" w:hanging="454"/>
      </w:pPr>
      <w:r>
        <w:t xml:space="preserve">It is this rebasing which </w:t>
      </w:r>
      <w:r w:rsidR="001C092F">
        <w:t xml:space="preserve">is central to the arguments </w:t>
      </w:r>
      <w:r w:rsidR="002E3384">
        <w:t>on the appeal.</w:t>
      </w:r>
      <w:r w:rsidR="001C092F">
        <w:t xml:space="preserve">  A number of as</w:t>
      </w:r>
      <w:r w:rsidR="00110BC6">
        <w:t xml:space="preserve">pects of rebasing as found by the </w:t>
      </w:r>
      <w:r w:rsidR="00C87048">
        <w:t>J</w:t>
      </w:r>
      <w:r w:rsidR="00110BC6">
        <w:t xml:space="preserve">udge and/or agreed by the experts are </w:t>
      </w:r>
      <w:r w:rsidR="00C87048">
        <w:t>relevant</w:t>
      </w:r>
      <w:r w:rsidR="00110BC6">
        <w:t>.</w:t>
      </w:r>
    </w:p>
    <w:p w14:paraId="2B14F683" w14:textId="6F2D15FA" w:rsidR="00A81D0C" w:rsidRDefault="00193D30" w:rsidP="00C662F9">
      <w:pPr>
        <w:pStyle w:val="ParaLevel1"/>
        <w:numPr>
          <w:ilvl w:val="0"/>
          <w:numId w:val="11"/>
        </w:numPr>
        <w:ind w:left="454" w:hanging="454"/>
      </w:pPr>
      <w:r>
        <w:t>T</w:t>
      </w:r>
      <w:r w:rsidR="00AD04B9">
        <w:t>he international recommendation</w:t>
      </w:r>
      <w:r w:rsidR="00154DB1">
        <w:t>, promulgated by the International Monetary Fund (‘IMF’), and by t</w:t>
      </w:r>
      <w:r w:rsidR="00FC4E0E">
        <w:t xml:space="preserve">he System of National Accounts (‘SNA’) </w:t>
      </w:r>
      <w:r w:rsidR="003903B3">
        <w:t xml:space="preserve">which is </w:t>
      </w:r>
      <w:r w:rsidR="00E32E1F">
        <w:t xml:space="preserve">produced by the statistical division of </w:t>
      </w:r>
      <w:r w:rsidR="00FC4E0E">
        <w:t xml:space="preserve">the United Nations, </w:t>
      </w:r>
      <w:r w:rsidR="00E57A98">
        <w:t xml:space="preserve">is that rebasing should take place </w:t>
      </w:r>
      <w:r w:rsidR="00A428B6">
        <w:t>e</w:t>
      </w:r>
      <w:r w:rsidR="00FC4E0E">
        <w:t xml:space="preserve">very 5 to 10 years.  </w:t>
      </w:r>
      <w:r w:rsidR="00AD04B9">
        <w:t>Accordingly the expect</w:t>
      </w:r>
      <w:r w:rsidR="00B91AE0">
        <w:t xml:space="preserve">ation of </w:t>
      </w:r>
      <w:r w:rsidR="005E3726">
        <w:t xml:space="preserve">the Republic and </w:t>
      </w:r>
      <w:r w:rsidR="00B91AE0">
        <w:t>those holding the Securities would be that the</w:t>
      </w:r>
      <w:r w:rsidR="007E0ED5">
        <w:t xml:space="preserve">re would be </w:t>
      </w:r>
      <w:r w:rsidR="005E3726">
        <w:t xml:space="preserve">successive </w:t>
      </w:r>
      <w:r w:rsidR="007E0ED5">
        <w:t>rebasing</w:t>
      </w:r>
      <w:r w:rsidR="005E3726">
        <w:t>s</w:t>
      </w:r>
      <w:r w:rsidR="007E0ED5">
        <w:t xml:space="preserve"> </w:t>
      </w:r>
      <w:r w:rsidR="005E3726">
        <w:t xml:space="preserve">over the </w:t>
      </w:r>
      <w:r w:rsidR="007E0ED5">
        <w:t xml:space="preserve">lifetime of the Securities </w:t>
      </w:r>
      <w:r w:rsidR="00FB0DF2">
        <w:t>until expiry in 2035.</w:t>
      </w:r>
    </w:p>
    <w:p w14:paraId="50385F79" w14:textId="77777777" w:rsidR="002A1DAB" w:rsidRDefault="005D4C86" w:rsidP="00C662F9">
      <w:pPr>
        <w:pStyle w:val="ParaLevel1"/>
        <w:numPr>
          <w:ilvl w:val="0"/>
          <w:numId w:val="11"/>
        </w:numPr>
        <w:ind w:left="454" w:hanging="454"/>
      </w:pPr>
      <w:r>
        <w:t>The experts agreed that the intention of rebas</w:t>
      </w:r>
      <w:r w:rsidR="0027357E">
        <w:t>i</w:t>
      </w:r>
      <w:r>
        <w:t>ng is</w:t>
      </w:r>
      <w:r w:rsidR="001600D0">
        <w:t xml:space="preserve"> </w:t>
      </w:r>
      <w:r w:rsidR="00F678EC">
        <w:t xml:space="preserve">to </w:t>
      </w:r>
      <w:r w:rsidR="002E3228">
        <w:t>improve the accuracy of real GDP as an assessment of output</w:t>
      </w:r>
      <w:r w:rsidR="00DF7D24">
        <w:t xml:space="preserve">.  </w:t>
      </w:r>
      <w:r w:rsidR="00992ECD">
        <w:t>The Judge found that each rebasing is likely to produce a better estimate of true output than the previous one</w:t>
      </w:r>
      <w:r w:rsidR="00F14073">
        <w:t>.</w:t>
      </w:r>
      <w:r w:rsidR="00992ECD">
        <w:t xml:space="preserve"> </w:t>
      </w:r>
      <w:r w:rsidR="0027357E">
        <w:t xml:space="preserve">The approximation to </w:t>
      </w:r>
      <w:r w:rsidR="00597339">
        <w:t xml:space="preserve">true GDP will be at its closest </w:t>
      </w:r>
      <w:r w:rsidR="00DF48D8">
        <w:t>when the GDP is measured</w:t>
      </w:r>
      <w:r w:rsidR="00672AC7">
        <w:t xml:space="preserve"> in a recent basis price,</w:t>
      </w:r>
      <w:r w:rsidR="00597339">
        <w:t xml:space="preserve"> which will reduce as the bas</w:t>
      </w:r>
      <w:r w:rsidR="00F14073">
        <w:t>e</w:t>
      </w:r>
      <w:r w:rsidR="00597339">
        <w:t xml:space="preserve"> year becomes </w:t>
      </w:r>
      <w:r w:rsidR="00F14073">
        <w:t xml:space="preserve">more </w:t>
      </w:r>
      <w:r w:rsidR="00597339">
        <w:t xml:space="preserve">historic and the </w:t>
      </w:r>
      <w:r w:rsidR="008B7D3D">
        <w:t xml:space="preserve">structure of the country’s economy </w:t>
      </w:r>
      <w:r w:rsidR="002A1DAB">
        <w:t>changes, such that the base year becomes less representative of the current position.</w:t>
      </w:r>
    </w:p>
    <w:p w14:paraId="4B36B1E0" w14:textId="1A0C02AA" w:rsidR="007B3DB7" w:rsidRDefault="00A6045F" w:rsidP="00C662F9">
      <w:pPr>
        <w:pStyle w:val="ParaLevel1"/>
        <w:numPr>
          <w:ilvl w:val="0"/>
          <w:numId w:val="11"/>
        </w:numPr>
        <w:ind w:left="454" w:hanging="454"/>
      </w:pPr>
      <w:r>
        <w:t xml:space="preserve">When there is a change in the base </w:t>
      </w:r>
      <w:r w:rsidR="004F35E6">
        <w:t>p</w:t>
      </w:r>
      <w:r>
        <w:t xml:space="preserve">rice year, </w:t>
      </w:r>
      <w:r w:rsidR="000F7558">
        <w:t xml:space="preserve">growth can only be measured in the year of change by putting that </w:t>
      </w:r>
      <w:r w:rsidR="008E011F">
        <w:t xml:space="preserve">year and the previous year into the same year of base prices </w:t>
      </w:r>
      <w:r w:rsidR="004F35E6">
        <w:t xml:space="preserve">so as to compare like with like.  </w:t>
      </w:r>
      <w:r w:rsidR="00E43EF0">
        <w:t xml:space="preserve">This previous year, the last year in the </w:t>
      </w:r>
      <w:r w:rsidR="00976966">
        <w:t xml:space="preserve">constant prices of the old base year, </w:t>
      </w:r>
      <w:r w:rsidR="00E43EF0">
        <w:t xml:space="preserve">was defined by the Republic for the purposes of argument as the </w:t>
      </w:r>
      <w:r w:rsidR="00C43C8D">
        <w:t>‘</w:t>
      </w:r>
      <w:r w:rsidR="00E43EF0">
        <w:t>Overlap</w:t>
      </w:r>
      <w:r w:rsidR="0026548D">
        <w:t xml:space="preserve"> Year’</w:t>
      </w:r>
      <w:r w:rsidR="00183338">
        <w:t xml:space="preserve">.  That is not </w:t>
      </w:r>
      <w:r w:rsidR="00D9122A">
        <w:t>a particularly apt word, since it is not a year in which anything overlaps</w:t>
      </w:r>
      <w:r w:rsidR="00290A1D">
        <w:t xml:space="preserve">, but I shall adopt it for the purposes of recounting and examining the arguments.  It is </w:t>
      </w:r>
      <w:r w:rsidR="00290A1D">
        <w:lastRenderedPageBreak/>
        <w:t>important to keep in mind, nevertheless, that it is not a term which features in the Securities</w:t>
      </w:r>
      <w:r w:rsidR="00A315A8">
        <w:t>.</w:t>
      </w:r>
      <w:r w:rsidR="002F03B9">
        <w:t xml:space="preserve">  </w:t>
      </w:r>
      <w:r w:rsidR="000E2CB9">
        <w:t xml:space="preserve">Putting the Overlap Year and the </w:t>
      </w:r>
      <w:r w:rsidR="005C0CC4">
        <w:t xml:space="preserve">first rebased year GDP into the same year of base prices so as to measure growth in the latter year could be achieved by one of two alternatives: </w:t>
      </w:r>
      <w:r w:rsidR="00257042">
        <w:t>by applying</w:t>
      </w:r>
      <w:r w:rsidR="00AE6203">
        <w:t xml:space="preserve"> </w:t>
      </w:r>
      <w:r w:rsidR="00257042">
        <w:t xml:space="preserve">the old base price to </w:t>
      </w:r>
      <w:r w:rsidR="00AE6203">
        <w:t>GDP in the first rebased year, or by applying the new base price to the Overla</w:t>
      </w:r>
      <w:r w:rsidR="003C3A44">
        <w:t>p</w:t>
      </w:r>
      <w:r w:rsidR="00AE6203">
        <w:t xml:space="preserve"> Year.  </w:t>
      </w:r>
      <w:r w:rsidR="00FF6AE1">
        <w:t xml:space="preserve">The Securities chose the </w:t>
      </w:r>
      <w:r w:rsidR="001549AE">
        <w:t xml:space="preserve">latter.  </w:t>
      </w:r>
      <w:r w:rsidR="00713086">
        <w:t xml:space="preserve">This meant that it was necessary when rebasing to publish </w:t>
      </w:r>
      <w:r w:rsidR="001F1A89">
        <w:t xml:space="preserve">GDP in </w:t>
      </w:r>
      <w:r w:rsidR="00713086">
        <w:t xml:space="preserve">new </w:t>
      </w:r>
      <w:r w:rsidR="00B22566">
        <w:t xml:space="preserve">constant base year prices </w:t>
      </w:r>
      <w:r w:rsidR="001F1A89">
        <w:t xml:space="preserve">for the Overlap </w:t>
      </w:r>
      <w:r w:rsidR="00B27F16">
        <w:t>Y</w:t>
      </w:r>
      <w:r w:rsidR="001F1A89">
        <w:t xml:space="preserve">ear, for comparison purposes only, although GDP </w:t>
      </w:r>
      <w:r w:rsidR="003D2E2F">
        <w:t>had been measure</w:t>
      </w:r>
      <w:r w:rsidR="00B22566">
        <w:t>d</w:t>
      </w:r>
      <w:r w:rsidR="003D2E2F">
        <w:t xml:space="preserve"> for the Overlap </w:t>
      </w:r>
      <w:r w:rsidR="00B27F16">
        <w:t>Y</w:t>
      </w:r>
      <w:r w:rsidR="003D2E2F">
        <w:t xml:space="preserve">ear in </w:t>
      </w:r>
      <w:r w:rsidR="00B22566">
        <w:t xml:space="preserve">the </w:t>
      </w:r>
      <w:r w:rsidR="00DC5223">
        <w:t xml:space="preserve">constant prices for the old base year.  </w:t>
      </w:r>
      <w:r w:rsidR="00A65892">
        <w:t>In fact</w:t>
      </w:r>
      <w:r w:rsidR="00F31662">
        <w:t>, for statistical comparison purposes</w:t>
      </w:r>
      <w:r w:rsidR="0022653F">
        <w:t xml:space="preserve">, </w:t>
      </w:r>
      <w:r w:rsidR="00A65892">
        <w:t xml:space="preserve">it was also the Republic’s practice when rebasing </w:t>
      </w:r>
      <w:r w:rsidR="00C8752E">
        <w:t>(which we were told is a common practice)</w:t>
      </w:r>
      <w:r w:rsidR="00F93353">
        <w:t xml:space="preserve"> </w:t>
      </w:r>
      <w:r w:rsidR="00A65892">
        <w:t xml:space="preserve">to </w:t>
      </w:r>
      <w:r w:rsidR="00F3505B">
        <w:t xml:space="preserve">publish GDP figures in the new </w:t>
      </w:r>
      <w:r w:rsidR="00DC5223">
        <w:t xml:space="preserve">base year </w:t>
      </w:r>
      <w:r w:rsidR="006062DC">
        <w:t xml:space="preserve">series for </w:t>
      </w:r>
      <w:r w:rsidR="00F3505B">
        <w:t>all th</w:t>
      </w:r>
      <w:r w:rsidR="00013274">
        <w:t>e years back to the year</w:t>
      </w:r>
      <w:r w:rsidR="00DA3668">
        <w:t xml:space="preserve"> of the </w:t>
      </w:r>
      <w:r w:rsidR="00C71FC8">
        <w:t>base year itself</w:t>
      </w:r>
      <w:r w:rsidR="00AD336E">
        <w:t xml:space="preserve"> (and on occasion beyond)</w:t>
      </w:r>
      <w:r w:rsidR="00C71FC8">
        <w:t xml:space="preserve">.  </w:t>
      </w:r>
      <w:r w:rsidR="00DA3668">
        <w:t xml:space="preserve">This is known as </w:t>
      </w:r>
      <w:r w:rsidR="00F31662">
        <w:t xml:space="preserve">‘backcasting’.  </w:t>
      </w:r>
      <w:r w:rsidR="00DA3668">
        <w:t>So in 2014, when the Republ</w:t>
      </w:r>
      <w:r w:rsidR="0022653F">
        <w:t xml:space="preserve">ic rebased the 2013 GDP for the first time in 2004 </w:t>
      </w:r>
      <w:r w:rsidR="00C71FC8">
        <w:t>constant prices</w:t>
      </w:r>
      <w:r w:rsidR="0022653F">
        <w:t xml:space="preserve">, it published GDP figures </w:t>
      </w:r>
      <w:r w:rsidR="00F93373">
        <w:t xml:space="preserve">in 2004 </w:t>
      </w:r>
      <w:r w:rsidR="00C71FC8">
        <w:t xml:space="preserve">constant prices, </w:t>
      </w:r>
      <w:r w:rsidR="0022653F">
        <w:t xml:space="preserve">not only for 2012, which enabled growth in 2013 GDP to be measured using the same </w:t>
      </w:r>
      <w:r w:rsidR="00D76731">
        <w:t xml:space="preserve">constant prices, </w:t>
      </w:r>
      <w:r w:rsidR="0022653F">
        <w:t>but also for all the years back to 2004</w:t>
      </w:r>
      <w:r w:rsidR="00947668">
        <w:t>.</w:t>
      </w:r>
    </w:p>
    <w:p w14:paraId="1A86C8BC" w14:textId="5AE259A1" w:rsidR="003D2E2F" w:rsidRDefault="00947668" w:rsidP="00C662F9">
      <w:pPr>
        <w:pStyle w:val="ParaLevel1"/>
        <w:numPr>
          <w:ilvl w:val="0"/>
          <w:numId w:val="11"/>
        </w:numPr>
        <w:ind w:left="454" w:hanging="454"/>
      </w:pPr>
      <w:r>
        <w:t xml:space="preserve">This did not, of course, change the fact that GDP for 2004 to 2012 </w:t>
      </w:r>
      <w:r w:rsidR="00FC1AB8">
        <w:t xml:space="preserve">was and remained that published in 1993 </w:t>
      </w:r>
      <w:r w:rsidR="00D76731">
        <w:t>constant prices</w:t>
      </w:r>
      <w:r w:rsidR="00FC1AB8">
        <w:t xml:space="preserve">.  However </w:t>
      </w:r>
      <w:r w:rsidR="00530044">
        <w:t xml:space="preserve">it illustrates </w:t>
      </w:r>
      <w:r w:rsidR="00FC1AB8">
        <w:t xml:space="preserve">that </w:t>
      </w:r>
      <w:r w:rsidR="00D15DEA">
        <w:t xml:space="preserve">published GDP is no </w:t>
      </w:r>
      <w:r w:rsidR="00097E1E">
        <w:t>m</w:t>
      </w:r>
      <w:r w:rsidR="00D15DEA">
        <w:t xml:space="preserve">ore than an estimate and is </w:t>
      </w:r>
      <w:r w:rsidR="000F6C90">
        <w:t>sensitive, amongst other things</w:t>
      </w:r>
      <w:r w:rsidR="00D76731">
        <w:t>,</w:t>
      </w:r>
      <w:r w:rsidR="000F6C90">
        <w:t xml:space="preserve"> to when and how a rebasing occurs.  </w:t>
      </w:r>
      <w:r w:rsidR="00387B3E">
        <w:t xml:space="preserve">The backcast figures also illustrate the extent to which changes in scope </w:t>
      </w:r>
      <w:r w:rsidR="003F3B4A">
        <w:t xml:space="preserve">involved in the change of </w:t>
      </w:r>
      <w:r w:rsidR="009C5207">
        <w:t xml:space="preserve">base year constant prices </w:t>
      </w:r>
      <w:r w:rsidR="002C1D2F">
        <w:t xml:space="preserve">affect measurement </w:t>
      </w:r>
      <w:r w:rsidR="003F3B4A">
        <w:t xml:space="preserve">of </w:t>
      </w:r>
      <w:r w:rsidR="002C1D2F">
        <w:t xml:space="preserve">GDP.  </w:t>
      </w:r>
      <w:r w:rsidR="000F6C90">
        <w:t>The experts</w:t>
      </w:r>
      <w:r w:rsidR="00C509CA">
        <w:t xml:space="preserve"> agreed that the change in </w:t>
      </w:r>
      <w:r w:rsidR="001A1A5B">
        <w:t xml:space="preserve">scope </w:t>
      </w:r>
      <w:r w:rsidR="00C509CA">
        <w:t xml:space="preserve">from 1993 </w:t>
      </w:r>
      <w:r w:rsidR="009C5207">
        <w:t xml:space="preserve">constant prices to 2004 constant prices </w:t>
      </w:r>
      <w:r w:rsidR="00C509CA">
        <w:t xml:space="preserve">accounted for an increase </w:t>
      </w:r>
      <w:r w:rsidR="001A1A5B">
        <w:t xml:space="preserve">in GDP </w:t>
      </w:r>
      <w:r w:rsidR="00C509CA">
        <w:t xml:space="preserve">of about 27% </w:t>
      </w:r>
      <w:r w:rsidR="00097E1E">
        <w:t>which was not referable to price inflation.</w:t>
      </w:r>
    </w:p>
    <w:p w14:paraId="1CDCB4C9" w14:textId="22D8EAEE" w:rsidR="009F6F73" w:rsidRDefault="005431E8" w:rsidP="00C662F9">
      <w:pPr>
        <w:pStyle w:val="ParaLevel1"/>
        <w:numPr>
          <w:ilvl w:val="0"/>
          <w:numId w:val="11"/>
        </w:numPr>
        <w:ind w:left="454" w:hanging="454"/>
      </w:pPr>
      <w:r>
        <w:t>T</w:t>
      </w:r>
      <w:r w:rsidR="009F6F73">
        <w:t>he choice of when to rebase, and by reference to which new year of base prices, lies within the control of each country publishing its real GDP.</w:t>
      </w:r>
      <w:r w:rsidR="002B4F6C">
        <w:t xml:space="preserve">  That choice will </w:t>
      </w:r>
      <w:r w:rsidR="000A0501">
        <w:t xml:space="preserve">affect not only the estimate of GDP going forward but also the measurement of growth </w:t>
      </w:r>
      <w:r w:rsidR="006C3562">
        <w:t xml:space="preserve">between the Overlap </w:t>
      </w:r>
      <w:r w:rsidR="00A248B1">
        <w:t>Y</w:t>
      </w:r>
      <w:r w:rsidR="006C3562">
        <w:t xml:space="preserve">ear and the first </w:t>
      </w:r>
      <w:r w:rsidR="001C08BB">
        <w:t xml:space="preserve">rebasing </w:t>
      </w:r>
      <w:r w:rsidR="006C3562">
        <w:t>year</w:t>
      </w:r>
      <w:r w:rsidR="001C08BB">
        <w:t>.</w:t>
      </w:r>
      <w:r w:rsidR="006C3562">
        <w:t xml:space="preserve">  </w:t>
      </w:r>
      <w:r w:rsidR="00750F63">
        <w:t>As will be seen, it will also affect other aspects of how the Securities perform.</w:t>
      </w:r>
    </w:p>
    <w:p w14:paraId="67F263AE" w14:textId="071143F1" w:rsidR="00497E23" w:rsidRDefault="005431E8" w:rsidP="00C662F9">
      <w:pPr>
        <w:pStyle w:val="ParaLevel1"/>
        <w:numPr>
          <w:ilvl w:val="0"/>
          <w:numId w:val="11"/>
        </w:numPr>
        <w:ind w:left="454" w:hanging="454"/>
      </w:pPr>
      <w:r>
        <w:t>T</w:t>
      </w:r>
      <w:r w:rsidR="00A71055">
        <w:t xml:space="preserve">he relationship between GDP levels measured in different </w:t>
      </w:r>
      <w:r w:rsidR="00E01259">
        <w:t xml:space="preserve">constant price </w:t>
      </w:r>
      <w:r w:rsidR="00A71055">
        <w:t>series is not linear</w:t>
      </w:r>
      <w:r w:rsidR="000A2A6E">
        <w:t xml:space="preserve">.  </w:t>
      </w:r>
      <w:r w:rsidR="0081656D">
        <w:t>For one year</w:t>
      </w:r>
      <w:r w:rsidR="000A2A6E">
        <w:t xml:space="preserve">, year A, </w:t>
      </w:r>
      <w:r w:rsidR="0081656D">
        <w:t xml:space="preserve">the two series might measure the real GDP differently by a factor of </w:t>
      </w:r>
      <w:r w:rsidR="00EC3C95">
        <w:t xml:space="preserve">1.8 </w:t>
      </w:r>
      <w:r w:rsidR="00025EA9">
        <w:t>whi</w:t>
      </w:r>
      <w:r w:rsidR="00702FA4">
        <w:t xml:space="preserve">lst for </w:t>
      </w:r>
      <w:r w:rsidR="00025EA9">
        <w:t>another year</w:t>
      </w:r>
      <w:r w:rsidR="00193D30">
        <w:t xml:space="preserve">, year B, </w:t>
      </w:r>
      <w:r w:rsidR="00025EA9">
        <w:t xml:space="preserve">the difference might be </w:t>
      </w:r>
      <w:r w:rsidR="00193D30">
        <w:t xml:space="preserve">by a </w:t>
      </w:r>
      <w:r w:rsidR="00025EA9">
        <w:t xml:space="preserve">factor of </w:t>
      </w:r>
      <w:r w:rsidR="00EC3C95">
        <w:t xml:space="preserve">1.9.  </w:t>
      </w:r>
      <w:r w:rsidR="00033B5E">
        <w:t xml:space="preserve">  As </w:t>
      </w:r>
      <w:r w:rsidR="00497E23">
        <w:t>a consequence,</w:t>
      </w:r>
      <w:r w:rsidR="00203A80">
        <w:t xml:space="preserve"> </w:t>
      </w:r>
      <w:r w:rsidR="00FB70F5">
        <w:t xml:space="preserve">the relationship between GDP growth in the two series is not linear.  So </w:t>
      </w:r>
      <w:r w:rsidR="002C26A7">
        <w:t xml:space="preserve">for a given pair of consecutive years, one series might </w:t>
      </w:r>
      <w:r w:rsidR="00E20215">
        <w:t xml:space="preserve">measure the GDP growth as 4% but </w:t>
      </w:r>
      <w:r w:rsidR="007B3E90">
        <w:t xml:space="preserve">the other series measure it as 2%.  One series might measure it as positive growth when the other series </w:t>
      </w:r>
      <w:r w:rsidR="00AC1C31">
        <w:t>c</w:t>
      </w:r>
      <w:r w:rsidR="007B3E90">
        <w:t>ould measure it as negative growth i.e. recession.</w:t>
      </w:r>
      <w:r w:rsidR="006953FC">
        <w:t xml:space="preserve">  </w:t>
      </w:r>
      <w:r w:rsidR="009C5A53">
        <w:t xml:space="preserve">Again as a consequence of the non-linear effect of rebasing, </w:t>
      </w:r>
      <w:r w:rsidR="008A1E32">
        <w:t>the growth trajectories, meaning the average growth rates over time</w:t>
      </w:r>
      <w:r w:rsidR="006C43B2">
        <w:t>,</w:t>
      </w:r>
      <w:r w:rsidR="008A1E32">
        <w:t xml:space="preserve"> will not be the same in the two different base price series.  </w:t>
      </w:r>
    </w:p>
    <w:p w14:paraId="79D40F3C" w14:textId="07E8C7E1" w:rsidR="00F363CE" w:rsidRDefault="00CA7A32" w:rsidP="00C7371D">
      <w:pPr>
        <w:pStyle w:val="ParaLevel1"/>
        <w:numPr>
          <w:ilvl w:val="0"/>
          <w:numId w:val="11"/>
        </w:numPr>
      </w:pPr>
      <w:r>
        <w:t xml:space="preserve">These </w:t>
      </w:r>
      <w:r w:rsidR="00F363CE">
        <w:t xml:space="preserve">divergences </w:t>
      </w:r>
      <w:r w:rsidR="009C5A53">
        <w:t xml:space="preserve">were </w:t>
      </w:r>
      <w:r w:rsidR="00F363CE">
        <w:t>illustrated by two sets of figures on which the Claimants relied:</w:t>
      </w:r>
    </w:p>
    <w:p w14:paraId="5711CA0D" w14:textId="47D5B4BB" w:rsidR="000163B3" w:rsidRDefault="00F363CE" w:rsidP="00C7371D">
      <w:pPr>
        <w:pStyle w:val="ParaLevel1"/>
        <w:numPr>
          <w:ilvl w:val="1"/>
          <w:numId w:val="11"/>
        </w:numPr>
      </w:pPr>
      <w:r>
        <w:t xml:space="preserve">The rebasing of the </w:t>
      </w:r>
      <w:r w:rsidR="009C5A53">
        <w:t>r</w:t>
      </w:r>
      <w:r>
        <w:t>eal GDP figures fro</w:t>
      </w:r>
      <w:r w:rsidR="000163B3">
        <w:t>m</w:t>
      </w:r>
      <w:r>
        <w:t xml:space="preserve"> 1993 series to 2004 series</w:t>
      </w:r>
      <w:r w:rsidR="00FB43E5">
        <w:t xml:space="preserve"> would, if applied to 2008 GDP</w:t>
      </w:r>
      <w:r w:rsidR="00256018">
        <w:t>,</w:t>
      </w:r>
      <w:r w:rsidR="00FB43E5">
        <w:t xml:space="preserve"> have changed an annual growth figure of </w:t>
      </w:r>
      <w:r w:rsidR="00E8234F">
        <w:t>6.</w:t>
      </w:r>
      <w:r w:rsidR="00E95CC0">
        <w:t>76</w:t>
      </w:r>
      <w:r w:rsidR="00E8234F">
        <w:t xml:space="preserve">% in 1993 series to </w:t>
      </w:r>
      <w:r w:rsidR="00D11B28">
        <w:t xml:space="preserve">one of </w:t>
      </w:r>
      <w:r w:rsidR="00E8234F">
        <w:t>3.10% in 2004 series, a difference of</w:t>
      </w:r>
      <w:r w:rsidR="000163B3">
        <w:t xml:space="preserve"> 3.66%.</w:t>
      </w:r>
    </w:p>
    <w:p w14:paraId="4DDC87DB" w14:textId="02D97082" w:rsidR="00DA00DB" w:rsidRDefault="000163B3" w:rsidP="00C7371D">
      <w:pPr>
        <w:pStyle w:val="ParaLevel1"/>
        <w:numPr>
          <w:ilvl w:val="1"/>
          <w:numId w:val="11"/>
        </w:numPr>
      </w:pPr>
      <w:r>
        <w:t>I</w:t>
      </w:r>
      <w:r w:rsidR="00381D9B">
        <w:t>f</w:t>
      </w:r>
      <w:r>
        <w:t xml:space="preserve"> </w:t>
      </w:r>
      <w:r w:rsidR="004A4264">
        <w:t>r</w:t>
      </w:r>
      <w:r>
        <w:t xml:space="preserve">eal GDP </w:t>
      </w:r>
      <w:r w:rsidR="000D1D5E">
        <w:t xml:space="preserve">were measured for 1950 to 1962, the </w:t>
      </w:r>
      <w:r w:rsidR="00DE478E">
        <w:t>me</w:t>
      </w:r>
      <w:r w:rsidR="004A4264">
        <w:t>a</w:t>
      </w:r>
      <w:r w:rsidR="00DE478E">
        <w:t xml:space="preserve">n annual growth over the period would be 1.46% in 1950 series but </w:t>
      </w:r>
      <w:r w:rsidR="00E34254">
        <w:t xml:space="preserve">2.92% in 1960 series.  The difference for 1956 would be between </w:t>
      </w:r>
      <w:r w:rsidR="00B460D1">
        <w:t xml:space="preserve">minus 0.18% growth (1950 series) and </w:t>
      </w:r>
      <w:r w:rsidR="00C72D84">
        <w:t>2.78% growth (1960 series</w:t>
      </w:r>
      <w:r w:rsidR="001419A4">
        <w:t>)</w:t>
      </w:r>
      <w:r w:rsidR="00C72D84">
        <w:t xml:space="preserve">.  For 1958 it would be </w:t>
      </w:r>
      <w:r w:rsidR="000539AE">
        <w:t>2.68% growth in 1950 series but 6.10% in 1960 series</w:t>
      </w:r>
      <w:r w:rsidR="00DA00DB">
        <w:t>.</w:t>
      </w:r>
    </w:p>
    <w:p w14:paraId="306D69B9" w14:textId="0F55B124" w:rsidR="003C4850" w:rsidRDefault="00E77522" w:rsidP="00C662F9">
      <w:pPr>
        <w:pStyle w:val="ParaLevel1"/>
        <w:numPr>
          <w:ilvl w:val="0"/>
          <w:numId w:val="11"/>
        </w:numPr>
        <w:ind w:left="454" w:hanging="454"/>
      </w:pPr>
      <w:r>
        <w:lastRenderedPageBreak/>
        <w:t xml:space="preserve">It is </w:t>
      </w:r>
      <w:r w:rsidR="009343AD">
        <w:t xml:space="preserve">also </w:t>
      </w:r>
      <w:r w:rsidR="006C1030">
        <w:t>wor</w:t>
      </w:r>
      <w:r w:rsidR="00786BD1">
        <w:t xml:space="preserve">th emphasising </w:t>
      </w:r>
      <w:r w:rsidR="006733C8">
        <w:t xml:space="preserve">that </w:t>
      </w:r>
      <w:r w:rsidR="003D6CCC">
        <w:t xml:space="preserve">‘true’ GDP does not exist as a real world concept because </w:t>
      </w:r>
      <w:r w:rsidR="00883ABC">
        <w:t xml:space="preserve">GDP </w:t>
      </w:r>
      <w:r w:rsidR="003D6CCC">
        <w:t xml:space="preserve">may legitimately be measured in a variety of ways, and all real GDP, as published, is no more than an estimate which is variable depending upon choices and value judgments of which </w:t>
      </w:r>
      <w:r w:rsidR="00E01259">
        <w:t xml:space="preserve">base price year </w:t>
      </w:r>
      <w:r w:rsidR="003D6CCC">
        <w:t xml:space="preserve">to apply, and </w:t>
      </w:r>
      <w:r w:rsidR="00AE26EE">
        <w:t>for what years</w:t>
      </w:r>
      <w:r w:rsidR="003D6CCC">
        <w:t xml:space="preserve">, and the scope of the </w:t>
      </w:r>
      <w:r w:rsidR="00112DC7">
        <w:t xml:space="preserve">base year price </w:t>
      </w:r>
      <w:r w:rsidR="003D6CCC">
        <w:t xml:space="preserve">applied to any given year.  </w:t>
      </w:r>
      <w:r w:rsidR="003C4850">
        <w:t xml:space="preserve">Published GDP is also dependent on the diligence and efficiency (and good faith) of </w:t>
      </w:r>
      <w:r w:rsidR="0001271C">
        <w:t xml:space="preserve">the </w:t>
      </w:r>
      <w:r w:rsidR="003C4850">
        <w:t>process of collecting the data and applying the methodology, which will never be perfect.</w:t>
      </w:r>
    </w:p>
    <w:p w14:paraId="0EA8BF19" w14:textId="092D4B66" w:rsidR="00F15BF3" w:rsidRPr="006832CC" w:rsidRDefault="00F15BF3" w:rsidP="00C7371D">
      <w:pPr>
        <w:pStyle w:val="ParaLevel1"/>
        <w:numPr>
          <w:ilvl w:val="0"/>
          <w:numId w:val="0"/>
        </w:numPr>
        <w:rPr>
          <w:b/>
          <w:bCs/>
        </w:rPr>
      </w:pPr>
      <w:r w:rsidRPr="006832CC">
        <w:rPr>
          <w:b/>
          <w:bCs/>
        </w:rPr>
        <w:t xml:space="preserve">The background to the issue of the Securities in </w:t>
      </w:r>
      <w:r w:rsidR="006832CC" w:rsidRPr="006832CC">
        <w:rPr>
          <w:b/>
          <w:bCs/>
        </w:rPr>
        <w:t>2005</w:t>
      </w:r>
    </w:p>
    <w:p w14:paraId="40E184FB" w14:textId="1458F9AE" w:rsidR="00CB084A" w:rsidRDefault="004036D3" w:rsidP="00C662F9">
      <w:pPr>
        <w:pStyle w:val="ParaLevel1"/>
        <w:numPr>
          <w:ilvl w:val="0"/>
          <w:numId w:val="11"/>
        </w:numPr>
        <w:ind w:left="454" w:hanging="454"/>
      </w:pPr>
      <w:r>
        <w:t>The debt restructuring involved credi</w:t>
      </w:r>
      <w:r w:rsidR="0027383D">
        <w:t xml:space="preserve">tors </w:t>
      </w:r>
      <w:r>
        <w:t xml:space="preserve">receiving a small amount in cash </w:t>
      </w:r>
      <w:r w:rsidR="003C4850">
        <w:t xml:space="preserve">by way of outstanding interest </w:t>
      </w:r>
      <w:r>
        <w:t>and</w:t>
      </w:r>
      <w:r w:rsidR="006B5374">
        <w:t xml:space="preserve"> swapping debt for three different </w:t>
      </w:r>
      <w:r w:rsidR="003C4850">
        <w:t xml:space="preserve">kinds of </w:t>
      </w:r>
      <w:r w:rsidR="006B5374">
        <w:t>bonds</w:t>
      </w:r>
      <w:r w:rsidR="004D45D2">
        <w:t xml:space="preserve">.  </w:t>
      </w:r>
      <w:r w:rsidR="008F7AA9">
        <w:t xml:space="preserve">The ‘haircut’ involved </w:t>
      </w:r>
      <w:r w:rsidR="00EA7F16">
        <w:t xml:space="preserve">in the restructuring of some US$ 94 billion of debt </w:t>
      </w:r>
      <w:r w:rsidR="008F7AA9">
        <w:t>is said to have been about 75%.</w:t>
      </w:r>
    </w:p>
    <w:p w14:paraId="6043D856" w14:textId="4E7B7BCB" w:rsidR="00CB084A" w:rsidRDefault="00CB084A" w:rsidP="00C662F9">
      <w:pPr>
        <w:pStyle w:val="ParaLevel1"/>
        <w:numPr>
          <w:ilvl w:val="0"/>
          <w:numId w:val="11"/>
        </w:numPr>
        <w:ind w:left="454" w:hanging="454"/>
      </w:pPr>
      <w:r>
        <w:t xml:space="preserve">The genesis of these Securities, as ancillary to the debt restructuring, lay in a view expressed by some of the institutional creditors </w:t>
      </w:r>
      <w:r w:rsidR="00681621">
        <w:t xml:space="preserve">during the restructuring negotiations, </w:t>
      </w:r>
      <w:r>
        <w:t>that the Republic’s projections of growth</w:t>
      </w:r>
      <w:r w:rsidR="00681621">
        <w:t xml:space="preserve"> were </w:t>
      </w:r>
      <w:r>
        <w:t>unduly pessimistic</w:t>
      </w:r>
      <w:r w:rsidR="00B15AE6">
        <w:t xml:space="preserve">.  The </w:t>
      </w:r>
      <w:r>
        <w:t>idea was that the GDP</w:t>
      </w:r>
      <w:r w:rsidR="00250E76">
        <w:t>-</w:t>
      </w:r>
      <w:r>
        <w:t xml:space="preserve">linked Securities would be a </w:t>
      </w:r>
      <w:r w:rsidR="00364D5B">
        <w:t>‘</w:t>
      </w:r>
      <w:r>
        <w:t>sweetener</w:t>
      </w:r>
      <w:r w:rsidR="00364D5B">
        <w:t>’</w:t>
      </w:r>
      <w:r>
        <w:t xml:space="preserve"> for those who took that view.  They were </w:t>
      </w:r>
      <w:r w:rsidR="00203C3C">
        <w:t xml:space="preserve">available only to </w:t>
      </w:r>
      <w:r>
        <w:t xml:space="preserve">those participating in the main restructuring, </w:t>
      </w:r>
      <w:r w:rsidR="00203C3C">
        <w:t xml:space="preserve">in proportion to their participation, </w:t>
      </w:r>
      <w:r>
        <w:t xml:space="preserve">but became detachable and tradable as independent instruments after 180 days.  Thereafter they were, as envisaged, traded </w:t>
      </w:r>
      <w:r w:rsidR="00203C3C">
        <w:t xml:space="preserve">on </w:t>
      </w:r>
      <w:r>
        <w:t>the secondary market</w:t>
      </w:r>
      <w:r w:rsidR="00B00EC4">
        <w:t>,</w:t>
      </w:r>
      <w:r>
        <w:t xml:space="preserve"> having been listed on the Buenos Aires and Luxembourg Stock Exchanges</w:t>
      </w:r>
      <w:r w:rsidR="00207ECB">
        <w:t>, and over the counter</w:t>
      </w:r>
      <w:r w:rsidR="00203C3C">
        <w:t>.</w:t>
      </w:r>
    </w:p>
    <w:p w14:paraId="0C5E3461" w14:textId="0C190A59" w:rsidR="00AF6FB1" w:rsidRDefault="006832CC" w:rsidP="00C662F9">
      <w:pPr>
        <w:pStyle w:val="ParaLevel1"/>
        <w:numPr>
          <w:ilvl w:val="0"/>
          <w:numId w:val="11"/>
        </w:numPr>
        <w:ind w:left="454" w:hanging="454"/>
      </w:pPr>
      <w:r>
        <w:t>It is clear from the contemporaneous literature relied on by the parties that GDP</w:t>
      </w:r>
      <w:r w:rsidR="00A653C8">
        <w:t>-</w:t>
      </w:r>
      <w:r>
        <w:t xml:space="preserve">linked securities were not a form of instrument in common </w:t>
      </w:r>
      <w:r w:rsidR="00207ECB">
        <w:t>use</w:t>
      </w:r>
      <w:r>
        <w:t xml:space="preserve"> in 200</w:t>
      </w:r>
      <w:r w:rsidR="00C42F9B">
        <w:t>5</w:t>
      </w:r>
      <w:r w:rsidR="00203C3C">
        <w:t>,</w:t>
      </w:r>
      <w:r w:rsidR="00C42F9B">
        <w:t xml:space="preserve"> and </w:t>
      </w:r>
      <w:r w:rsidR="0062449C">
        <w:t xml:space="preserve">there was no consensus </w:t>
      </w:r>
      <w:r w:rsidR="00A653C8">
        <w:t xml:space="preserve">at the time </w:t>
      </w:r>
      <w:r w:rsidR="0062449C">
        <w:t xml:space="preserve">on how they might be structured to meet various potential objections or anomalies.  We were told that they have not </w:t>
      </w:r>
      <w:r w:rsidR="00AA5FA2">
        <w:t xml:space="preserve">gained significantly greater use since then.  These are not, therefore, standard instruments </w:t>
      </w:r>
      <w:r w:rsidR="00AD163E">
        <w:t xml:space="preserve">issued against a </w:t>
      </w:r>
      <w:r w:rsidR="00AA5FA2">
        <w:t xml:space="preserve">history of established </w:t>
      </w:r>
      <w:r w:rsidR="00526724">
        <w:t xml:space="preserve">practical </w:t>
      </w:r>
      <w:r w:rsidR="00285151">
        <w:t xml:space="preserve">experience or subject to standard wordings.  </w:t>
      </w:r>
    </w:p>
    <w:p w14:paraId="5B36621E" w14:textId="5552CAFF" w:rsidR="009A5755" w:rsidRDefault="004D6C3B" w:rsidP="00C662F9">
      <w:pPr>
        <w:pStyle w:val="ParaLevel1"/>
        <w:numPr>
          <w:ilvl w:val="0"/>
          <w:numId w:val="11"/>
        </w:numPr>
        <w:ind w:left="454" w:hanging="454"/>
      </w:pPr>
      <w:r>
        <w:t xml:space="preserve">The holders of the existing debt </w:t>
      </w:r>
      <w:r w:rsidR="00C12408">
        <w:t xml:space="preserve">and the restructured debt </w:t>
      </w:r>
      <w:r w:rsidR="00A83213">
        <w:t>were not</w:t>
      </w:r>
      <w:r w:rsidR="0060316F">
        <w:t xml:space="preserve"> all </w:t>
      </w:r>
      <w:r w:rsidR="007B722E">
        <w:t>international in</w:t>
      </w:r>
      <w:r w:rsidR="00A83213">
        <w:t>stitutional in</w:t>
      </w:r>
      <w:r w:rsidR="007B722E">
        <w:t xml:space="preserve">vestors.  </w:t>
      </w:r>
      <w:r w:rsidR="00772BD2">
        <w:t xml:space="preserve">A </w:t>
      </w:r>
      <w:r w:rsidR="009245A2">
        <w:t xml:space="preserve">large proportion, perhaps a </w:t>
      </w:r>
      <w:r w:rsidR="00B36BA9">
        <w:t>majority</w:t>
      </w:r>
      <w:r w:rsidR="00F753E6">
        <w:t>,</w:t>
      </w:r>
      <w:r w:rsidR="00B36BA9">
        <w:t xml:space="preserve"> were Argentinian investors; and overall </w:t>
      </w:r>
      <w:r w:rsidR="009245A2">
        <w:t xml:space="preserve">there was a large proportion of retail investors, in one estimate </w:t>
      </w:r>
      <w:r w:rsidR="003D054E">
        <w:t xml:space="preserve">43.5% </w:t>
      </w:r>
      <w:r w:rsidR="009A5755">
        <w:t xml:space="preserve">and in another 35%. </w:t>
      </w:r>
      <w:r w:rsidR="004C4D39">
        <w:t xml:space="preserve"> </w:t>
      </w:r>
      <w:r w:rsidR="0060316F">
        <w:t xml:space="preserve">Nevertheless the wording </w:t>
      </w:r>
      <w:r w:rsidR="004C4D39">
        <w:t xml:space="preserve">of the Securities </w:t>
      </w:r>
      <w:r w:rsidR="0060316F">
        <w:t xml:space="preserve">was the subject matter of scrutiny </w:t>
      </w:r>
      <w:r w:rsidR="001C2456">
        <w:t>by lawyers acting for a number of institutional investors</w:t>
      </w:r>
      <w:r w:rsidR="00B81A93">
        <w:t xml:space="preserve"> as well as </w:t>
      </w:r>
      <w:r w:rsidR="00301782">
        <w:t xml:space="preserve">lawyers </w:t>
      </w:r>
      <w:r w:rsidR="00B81A93">
        <w:t xml:space="preserve">acting for the Republic.  </w:t>
      </w:r>
      <w:r w:rsidR="003A79DC">
        <w:t>As will be seen, t</w:t>
      </w:r>
      <w:r w:rsidR="00FC4278">
        <w:t xml:space="preserve">he </w:t>
      </w:r>
      <w:r w:rsidR="00E85446">
        <w:t xml:space="preserve">provision in issue </w:t>
      </w:r>
      <w:r w:rsidR="00B81A93">
        <w:t>i</w:t>
      </w:r>
      <w:r w:rsidR="00E85446">
        <w:t xml:space="preserve">n this case was of central importance to </w:t>
      </w:r>
      <w:r w:rsidR="00FC4278">
        <w:t xml:space="preserve">the </w:t>
      </w:r>
      <w:r w:rsidR="00781170">
        <w:t>question whether and how much the bonds would pay</w:t>
      </w:r>
      <w:r w:rsidR="00B81A93">
        <w:t xml:space="preserve">.  </w:t>
      </w:r>
      <w:r w:rsidR="00A82563">
        <w:t>The R</w:t>
      </w:r>
      <w:r w:rsidR="00AA363E">
        <w:t>epublic and th</w:t>
      </w:r>
      <w:r w:rsidR="00A82563">
        <w:t>e i</w:t>
      </w:r>
      <w:r w:rsidR="00AA363E">
        <w:t>nstitutional creditors</w:t>
      </w:r>
      <w:r w:rsidR="003A79DC">
        <w:t xml:space="preserve">, and the lawyers advising them, </w:t>
      </w:r>
      <w:r w:rsidR="00AA363E">
        <w:t xml:space="preserve">can be expected to have focussed closely on its wording.  </w:t>
      </w:r>
    </w:p>
    <w:p w14:paraId="12E7414D" w14:textId="1E6CEC83" w:rsidR="002F57DA" w:rsidRDefault="002F57DA" w:rsidP="00C662F9">
      <w:pPr>
        <w:pStyle w:val="ParaLevel1"/>
        <w:numPr>
          <w:ilvl w:val="0"/>
          <w:numId w:val="11"/>
        </w:numPr>
        <w:ind w:left="454" w:hanging="454"/>
      </w:pPr>
      <w:r>
        <w:t>The Judge treated the relevant factual matrix against which the Securities fell to be construed</w:t>
      </w:r>
      <w:r w:rsidR="009D10ED">
        <w:t xml:space="preserve"> as limited to </w:t>
      </w:r>
      <w:r w:rsidR="00F825DB">
        <w:t xml:space="preserve">(1) </w:t>
      </w:r>
      <w:r w:rsidR="009D10ED">
        <w:t>the GDP concepts to which I have referred</w:t>
      </w:r>
      <w:r w:rsidR="00F825DB">
        <w:t xml:space="preserve"> (2)</w:t>
      </w:r>
      <w:r w:rsidR="007B3AA9">
        <w:t xml:space="preserve"> </w:t>
      </w:r>
      <w:r w:rsidR="00A02D1B">
        <w:t xml:space="preserve">the </w:t>
      </w:r>
      <w:r w:rsidR="00F16533">
        <w:t xml:space="preserve"> background of </w:t>
      </w:r>
      <w:r w:rsidR="00296BE8">
        <w:t xml:space="preserve">unprecedented </w:t>
      </w:r>
      <w:r w:rsidR="004F3DE7">
        <w:t xml:space="preserve">sovereign debt default and </w:t>
      </w:r>
      <w:r w:rsidR="0058726F">
        <w:t xml:space="preserve">(3) </w:t>
      </w:r>
      <w:r w:rsidR="001A2440">
        <w:t>t</w:t>
      </w:r>
      <w:r w:rsidR="00A41E17">
        <w:t xml:space="preserve">he </w:t>
      </w:r>
      <w:r w:rsidR="00750523">
        <w:t xml:space="preserve">intention behind </w:t>
      </w:r>
      <w:r w:rsidR="00105ED1">
        <w:t xml:space="preserve">the </w:t>
      </w:r>
      <w:r w:rsidR="00750523">
        <w:t xml:space="preserve">Securities </w:t>
      </w:r>
      <w:r w:rsidR="001A2440">
        <w:t xml:space="preserve">being </w:t>
      </w:r>
      <w:r w:rsidR="006A00E1">
        <w:t>that payments would only be made</w:t>
      </w:r>
      <w:r w:rsidR="00122D3D">
        <w:t xml:space="preserve"> when the Argentine economy was growing at a sufficiently healthy rate and that they would not be</w:t>
      </w:r>
      <w:r w:rsidR="004D34DC">
        <w:t xml:space="preserve"> made if the Republic’s economy was not growing.  </w:t>
      </w:r>
    </w:p>
    <w:p w14:paraId="6A78C757" w14:textId="77777777" w:rsidR="003A79DC" w:rsidRDefault="003A79DC" w:rsidP="00C662F9">
      <w:pPr>
        <w:pStyle w:val="ParaLevel1"/>
        <w:numPr>
          <w:ilvl w:val="0"/>
          <w:numId w:val="11"/>
        </w:numPr>
        <w:ind w:left="454" w:hanging="454"/>
      </w:pPr>
      <w:r>
        <w:t>The third element has given rise to controversy between the parties and I shall return to it below.</w:t>
      </w:r>
    </w:p>
    <w:p w14:paraId="6EBE94F2" w14:textId="3C980242" w:rsidR="00351404" w:rsidRPr="00351404" w:rsidRDefault="00216537" w:rsidP="00C662F9">
      <w:pPr>
        <w:pStyle w:val="ParaLevel1"/>
        <w:numPr>
          <w:ilvl w:val="0"/>
          <w:numId w:val="11"/>
        </w:numPr>
        <w:ind w:left="454" w:hanging="454"/>
        <w:rPr>
          <w:b/>
          <w:bCs/>
        </w:rPr>
      </w:pPr>
      <w:r>
        <w:lastRenderedPageBreak/>
        <w:t xml:space="preserve">Mr </w:t>
      </w:r>
      <w:r w:rsidR="00CB084A">
        <w:t>Railton</w:t>
      </w:r>
      <w:r w:rsidR="00F17A45">
        <w:t xml:space="preserve"> KC</w:t>
      </w:r>
      <w:r w:rsidR="00CB084A">
        <w:t xml:space="preserve"> argued that</w:t>
      </w:r>
      <w:r w:rsidR="005833C8">
        <w:t xml:space="preserve"> Judge wrongly failed to</w:t>
      </w:r>
      <w:r w:rsidR="00307297">
        <w:t xml:space="preserve"> </w:t>
      </w:r>
      <w:r>
        <w:t xml:space="preserve">accept </w:t>
      </w:r>
      <w:r w:rsidR="005833C8">
        <w:t>as factual matrix material in various presentations to international investors, some of which was published on</w:t>
      </w:r>
      <w:r w:rsidR="00D643B7">
        <w:t xml:space="preserve"> INDEC’s </w:t>
      </w:r>
      <w:r w:rsidR="00885CFC">
        <w:t>website</w:t>
      </w:r>
      <w:r w:rsidR="0027745D">
        <w:t xml:space="preserve"> </w:t>
      </w:r>
      <w:r w:rsidR="00307297">
        <w:t>at the time, to the effect that the intention was (a) to measure</w:t>
      </w:r>
      <w:r>
        <w:t xml:space="preserve"> GDP by reference to actual growth, not tie</w:t>
      </w:r>
      <w:r w:rsidR="000D4C19">
        <w:t>d</w:t>
      </w:r>
      <w:r>
        <w:t xml:space="preserve"> to historic prices and (b) </w:t>
      </w:r>
      <w:r w:rsidR="00CD4A8B">
        <w:t xml:space="preserve">to measure GDP growth </w:t>
      </w:r>
      <w:r w:rsidR="009E63E2">
        <w:t xml:space="preserve">by reference to </w:t>
      </w:r>
      <w:r>
        <w:t xml:space="preserve">a benchmark of growth in the medium to long term of 3%.  </w:t>
      </w:r>
      <w:r w:rsidR="00307297">
        <w:t xml:space="preserve"> </w:t>
      </w:r>
      <w:r w:rsidR="00A41E17">
        <w:t xml:space="preserve">I </w:t>
      </w:r>
      <w:r w:rsidR="00055FFD">
        <w:t>would reject the su</w:t>
      </w:r>
      <w:r w:rsidR="001B750E">
        <w:t xml:space="preserve">bmission </w:t>
      </w:r>
      <w:r w:rsidR="00055FFD">
        <w:t xml:space="preserve">that this is material which is admissible or relevant to the construction </w:t>
      </w:r>
      <w:r w:rsidR="00351404">
        <w:t xml:space="preserve">of the Securities for reasons given below.  </w:t>
      </w:r>
    </w:p>
    <w:p w14:paraId="62C29158" w14:textId="1EFE1C47" w:rsidR="00AF6FB1" w:rsidRPr="00575748" w:rsidRDefault="00AF6FB1" w:rsidP="00C7371D">
      <w:pPr>
        <w:pStyle w:val="ParaLevel1"/>
        <w:numPr>
          <w:ilvl w:val="0"/>
          <w:numId w:val="0"/>
        </w:numPr>
        <w:rPr>
          <w:b/>
          <w:bCs/>
        </w:rPr>
      </w:pPr>
      <w:r w:rsidRPr="00575748">
        <w:rPr>
          <w:b/>
          <w:bCs/>
        </w:rPr>
        <w:t xml:space="preserve">The </w:t>
      </w:r>
      <w:r w:rsidR="00AA6C95">
        <w:rPr>
          <w:b/>
          <w:bCs/>
        </w:rPr>
        <w:t>t</w:t>
      </w:r>
      <w:r w:rsidRPr="00575748">
        <w:rPr>
          <w:b/>
          <w:bCs/>
        </w:rPr>
        <w:t>erms</w:t>
      </w:r>
      <w:r w:rsidR="0094715A">
        <w:rPr>
          <w:b/>
          <w:bCs/>
        </w:rPr>
        <w:t xml:space="preserve"> of the Securities</w:t>
      </w:r>
    </w:p>
    <w:p w14:paraId="743548FF" w14:textId="4A683DD4" w:rsidR="00797BE7" w:rsidRDefault="00937BE1" w:rsidP="00C662F9">
      <w:pPr>
        <w:pStyle w:val="ParaLevel1"/>
        <w:numPr>
          <w:ilvl w:val="0"/>
          <w:numId w:val="11"/>
        </w:numPr>
        <w:ind w:left="454" w:hanging="454"/>
      </w:pPr>
      <w:r>
        <w:t xml:space="preserve">The relevant terms of the </w:t>
      </w:r>
      <w:r w:rsidR="003A10C2">
        <w:t>Securities</w:t>
      </w:r>
      <w:r>
        <w:t xml:space="preserve"> are set out in Annex 1 to this judgment.  </w:t>
      </w:r>
      <w:r w:rsidR="00C3236D">
        <w:t>In what follows, defined terms are italicised.  E</w:t>
      </w:r>
      <w:r w:rsidR="003C06D8">
        <w:t xml:space="preserve">ach calendar year from 2005 to 2034 </w:t>
      </w:r>
      <w:r w:rsidR="00C3236D">
        <w:t>is</w:t>
      </w:r>
      <w:r w:rsidR="003C06D8">
        <w:t xml:space="preserve"> a </w:t>
      </w:r>
      <w:r w:rsidR="00C3236D" w:rsidRPr="00C3236D">
        <w:rPr>
          <w:i/>
          <w:iCs/>
        </w:rPr>
        <w:t>Reference Year</w:t>
      </w:r>
      <w:r w:rsidR="00C3236D">
        <w:t xml:space="preserve">.  </w:t>
      </w:r>
      <w:r w:rsidR="00FC74C9">
        <w:t xml:space="preserve">There are two definitions which </w:t>
      </w:r>
      <w:r w:rsidR="00BA6BA8">
        <w:t>are of critical importance to the conditions which must be met to trig</w:t>
      </w:r>
      <w:r w:rsidR="00797BE7">
        <w:t>g</w:t>
      </w:r>
      <w:r w:rsidR="00BA6BA8">
        <w:t>er</w:t>
      </w:r>
      <w:r w:rsidR="00797BE7">
        <w:t xml:space="preserve"> a payment</w:t>
      </w:r>
      <w:r w:rsidR="00372578">
        <w:t>,</w:t>
      </w:r>
      <w:r w:rsidR="00797BE7">
        <w:t xml:space="preserve"> and </w:t>
      </w:r>
      <w:r w:rsidR="0094715A">
        <w:t xml:space="preserve">to </w:t>
      </w:r>
      <w:r w:rsidR="00797BE7">
        <w:t xml:space="preserve">the amount of such payment, namely </w:t>
      </w:r>
      <w:bookmarkStart w:id="1" w:name="_Hlk167264666"/>
      <w:r w:rsidR="00797BE7" w:rsidRPr="007D670B">
        <w:rPr>
          <w:i/>
          <w:iCs/>
        </w:rPr>
        <w:t>Actual Real GDP</w:t>
      </w:r>
      <w:r w:rsidR="00797BE7">
        <w:t xml:space="preserve"> and </w:t>
      </w:r>
      <w:r w:rsidR="00797BE7" w:rsidRPr="00797BE7">
        <w:rPr>
          <w:i/>
          <w:iCs/>
        </w:rPr>
        <w:t>Base Case GDP</w:t>
      </w:r>
      <w:r w:rsidR="00797BE7">
        <w:t xml:space="preserve">.  </w:t>
      </w:r>
      <w:bookmarkEnd w:id="1"/>
    </w:p>
    <w:p w14:paraId="61DDAF28" w14:textId="495A8947" w:rsidR="0043761E" w:rsidRDefault="00797BE7" w:rsidP="00C662F9">
      <w:pPr>
        <w:pStyle w:val="ParaLevel1"/>
        <w:numPr>
          <w:ilvl w:val="0"/>
          <w:numId w:val="11"/>
        </w:numPr>
        <w:ind w:left="454" w:hanging="454"/>
      </w:pPr>
      <w:r>
        <w:t>T</w:t>
      </w:r>
      <w:r w:rsidR="00704F60">
        <w:t>he definition</w:t>
      </w:r>
      <w:r>
        <w:t xml:space="preserve"> of </w:t>
      </w:r>
      <w:r w:rsidR="00704F60" w:rsidRPr="00391766">
        <w:rPr>
          <w:i/>
          <w:iCs/>
        </w:rPr>
        <w:t xml:space="preserve">Actual </w:t>
      </w:r>
      <w:r w:rsidR="00F276A8" w:rsidRPr="00391766">
        <w:rPr>
          <w:i/>
          <w:iCs/>
        </w:rPr>
        <w:t>R</w:t>
      </w:r>
      <w:r w:rsidR="00704F60" w:rsidRPr="00391766">
        <w:rPr>
          <w:i/>
          <w:iCs/>
        </w:rPr>
        <w:t>eal GDP</w:t>
      </w:r>
      <w:r w:rsidR="00F276A8">
        <w:t xml:space="preserve"> </w:t>
      </w:r>
      <w:r>
        <w:t xml:space="preserve">captures the concept </w:t>
      </w:r>
      <w:r w:rsidR="0076438A">
        <w:t xml:space="preserve">of real GDP used by the Republic </w:t>
      </w:r>
      <w:r w:rsidR="002F766D">
        <w:t xml:space="preserve">in its published GDP figures, as </w:t>
      </w:r>
      <w:r w:rsidR="00D07D5A">
        <w:t>“</w:t>
      </w:r>
      <w:r w:rsidR="00F22E34">
        <w:t>the gross domestic product of Argentina for such Reference Year measured in constant prices</w:t>
      </w:r>
      <w:r w:rsidR="00D07D5A">
        <w:t xml:space="preserve"> for the </w:t>
      </w:r>
      <w:r w:rsidR="00D07D5A" w:rsidRPr="00D07D5A">
        <w:rPr>
          <w:i/>
          <w:iCs/>
        </w:rPr>
        <w:t>Year of Bas</w:t>
      </w:r>
      <w:r w:rsidR="00D824DE">
        <w:rPr>
          <w:i/>
          <w:iCs/>
        </w:rPr>
        <w:t>e</w:t>
      </w:r>
      <w:r w:rsidR="00D07D5A" w:rsidRPr="00D07D5A">
        <w:rPr>
          <w:i/>
          <w:iCs/>
        </w:rPr>
        <w:t xml:space="preserve"> Prices</w:t>
      </w:r>
      <w:r w:rsidR="00D07D5A">
        <w:t>, as published by INDEC</w:t>
      </w:r>
      <w:r w:rsidR="00391766">
        <w:t>”</w:t>
      </w:r>
      <w:r w:rsidR="00D07D5A">
        <w:t>.</w:t>
      </w:r>
      <w:r w:rsidR="005A2E10">
        <w:t xml:space="preserve">  </w:t>
      </w:r>
      <w:r w:rsidR="00D07D5A" w:rsidRPr="003A617A">
        <w:rPr>
          <w:i/>
          <w:iCs/>
        </w:rPr>
        <w:t xml:space="preserve">Year of </w:t>
      </w:r>
      <w:r w:rsidR="00D07D5A">
        <w:rPr>
          <w:i/>
          <w:iCs/>
        </w:rPr>
        <w:t>B</w:t>
      </w:r>
      <w:r w:rsidR="00D07D5A" w:rsidRPr="003A617A">
        <w:rPr>
          <w:i/>
          <w:iCs/>
        </w:rPr>
        <w:t>as</w:t>
      </w:r>
      <w:r w:rsidR="005A2E10">
        <w:rPr>
          <w:i/>
          <w:iCs/>
        </w:rPr>
        <w:t>e</w:t>
      </w:r>
      <w:r w:rsidR="00D07D5A" w:rsidRPr="003A617A">
        <w:rPr>
          <w:i/>
          <w:iCs/>
        </w:rPr>
        <w:t xml:space="preserve"> Price</w:t>
      </w:r>
      <w:r w:rsidR="0083081C">
        <w:rPr>
          <w:i/>
          <w:iCs/>
        </w:rPr>
        <w:t>s</w:t>
      </w:r>
      <w:r w:rsidR="00D07D5A">
        <w:t xml:space="preserve"> </w:t>
      </w:r>
      <w:r w:rsidR="00F452DB">
        <w:t>(</w:t>
      </w:r>
      <w:r w:rsidR="00D07D5A">
        <w:t>‘YOBP’)</w:t>
      </w:r>
      <w:r w:rsidR="00F452DB">
        <w:t xml:space="preserve"> means </w:t>
      </w:r>
      <w:r w:rsidR="0083081C">
        <w:t xml:space="preserve">the year </w:t>
      </w:r>
      <w:r w:rsidR="00F452DB">
        <w:t>199</w:t>
      </w:r>
      <w:r w:rsidR="00B24C1C">
        <w:t xml:space="preserve">3 provided that if “at any time” INDEC uses another </w:t>
      </w:r>
      <w:r w:rsidR="00D91F67">
        <w:t xml:space="preserve">year as a </w:t>
      </w:r>
      <w:r w:rsidR="00B22F8C">
        <w:t>base price year</w:t>
      </w:r>
      <w:r w:rsidR="00D91F67">
        <w:t>, it means the new bas</w:t>
      </w:r>
      <w:r w:rsidR="00391766">
        <w:t>e</w:t>
      </w:r>
      <w:r w:rsidR="00D91F67">
        <w:t xml:space="preserve"> year of constant prices.  </w:t>
      </w:r>
      <w:r w:rsidR="00B92C51">
        <w:t>Y</w:t>
      </w:r>
      <w:r w:rsidR="00EA1875">
        <w:t xml:space="preserve">OBP </w:t>
      </w:r>
      <w:r w:rsidR="00B92C51">
        <w:t>therefore means the bas</w:t>
      </w:r>
      <w:r w:rsidR="00391766">
        <w:t>e</w:t>
      </w:r>
      <w:r w:rsidR="00B92C51">
        <w:t xml:space="preserve"> year for estimating real GDP </w:t>
      </w:r>
      <w:r w:rsidR="007F4F95">
        <w:t xml:space="preserve">actually used by </w:t>
      </w:r>
      <w:r w:rsidR="00B92C51">
        <w:t>INDEC</w:t>
      </w:r>
      <w:r w:rsidR="007F4F95">
        <w:t xml:space="preserve"> from time to time</w:t>
      </w:r>
      <w:r w:rsidR="00B92C51">
        <w:t xml:space="preserve">, initially </w:t>
      </w:r>
      <w:r w:rsidR="00980545">
        <w:t>1993 but the new bas</w:t>
      </w:r>
      <w:r w:rsidR="00391766">
        <w:t>e</w:t>
      </w:r>
      <w:r w:rsidR="00980545">
        <w:t xml:space="preserve"> year</w:t>
      </w:r>
      <w:r w:rsidR="007F4F95">
        <w:t xml:space="preserve"> following a rebasing.</w:t>
      </w:r>
      <w:r w:rsidR="00980545">
        <w:t xml:space="preserve">  </w:t>
      </w:r>
    </w:p>
    <w:p w14:paraId="4E4FE907" w14:textId="110810D7" w:rsidR="000940C7" w:rsidRDefault="00EA1875" w:rsidP="00C662F9">
      <w:pPr>
        <w:pStyle w:val="ParaLevel1"/>
        <w:numPr>
          <w:ilvl w:val="0"/>
          <w:numId w:val="11"/>
        </w:numPr>
        <w:ind w:left="454" w:hanging="454"/>
      </w:pPr>
      <w:r w:rsidRPr="00796DA4">
        <w:rPr>
          <w:i/>
          <w:iCs/>
        </w:rPr>
        <w:t>Base Case GDP</w:t>
      </w:r>
      <w:r>
        <w:t xml:space="preserve"> </w:t>
      </w:r>
      <w:r w:rsidR="00796DA4">
        <w:t xml:space="preserve">is defined </w:t>
      </w:r>
      <w:r w:rsidR="005A4EFB">
        <w:t>by introductory words</w:t>
      </w:r>
      <w:r w:rsidR="003B1DE7">
        <w:t xml:space="preserve"> which provide that it means the amount set forth in a chart which follows, which in turn is followed by </w:t>
      </w:r>
      <w:r w:rsidR="00937AB3">
        <w:t xml:space="preserve">a proviso addressing adjustment in the event of a rebasing.  The chart sets out </w:t>
      </w:r>
      <w:r w:rsidR="00293E2C">
        <w:t xml:space="preserve">a figure for each of the </w:t>
      </w:r>
      <w:r w:rsidR="00293E2C" w:rsidRPr="00931B6D">
        <w:rPr>
          <w:i/>
          <w:iCs/>
        </w:rPr>
        <w:t>Reference Years</w:t>
      </w:r>
      <w:r w:rsidR="00293E2C">
        <w:t xml:space="preserve"> 2005 to 203</w:t>
      </w:r>
      <w:r w:rsidR="001B0943">
        <w:t>4</w:t>
      </w:r>
      <w:r w:rsidR="00293E2C">
        <w:t xml:space="preserve"> expressed in “millions of</w:t>
      </w:r>
      <w:r w:rsidR="00E376D3">
        <w:t xml:space="preserve"> constant 1993 pesos”.  </w:t>
      </w:r>
      <w:r w:rsidR="000E2B22">
        <w:t xml:space="preserve">The chart does not set out the </w:t>
      </w:r>
      <w:r w:rsidR="00F21E6A">
        <w:t>percentage growth for each year, but it can readily be calculated mathematically from the figures, and I accept, as the R</w:t>
      </w:r>
      <w:r w:rsidR="00EC1B3A">
        <w:t>e</w:t>
      </w:r>
      <w:r w:rsidR="00F21E6A">
        <w:t>public submitted, that the precise figures used in the chart must have been the result of applying the percentages</w:t>
      </w:r>
      <w:r w:rsidR="006B26D4">
        <w:t xml:space="preserve"> in order to produce them.  For the years </w:t>
      </w:r>
      <w:r w:rsidR="006B10B9">
        <w:t xml:space="preserve">2005 to 2014, the percentage growth </w:t>
      </w:r>
      <w:r w:rsidR="0069156F">
        <w:t xml:space="preserve">implicit in the figures in the chart </w:t>
      </w:r>
      <w:r w:rsidR="00B468C9">
        <w:t>is not constant for each year, st</w:t>
      </w:r>
      <w:r w:rsidR="006B10B9">
        <w:t xml:space="preserve">arting at </w:t>
      </w:r>
      <w:r w:rsidR="00303067">
        <w:t>4.26</w:t>
      </w:r>
      <w:r w:rsidR="00791189">
        <w:t>%</w:t>
      </w:r>
      <w:r w:rsidR="006B10B9">
        <w:t xml:space="preserve"> and reducing in </w:t>
      </w:r>
      <w:r w:rsidR="00791189">
        <w:t>in a non</w:t>
      </w:r>
      <w:r w:rsidR="009B26E5">
        <w:t>-</w:t>
      </w:r>
      <w:r w:rsidR="00791189">
        <w:t xml:space="preserve">linear way </w:t>
      </w:r>
      <w:r w:rsidR="00B21AB8">
        <w:t>until 2015</w:t>
      </w:r>
      <w:r w:rsidR="000940C7">
        <w:t xml:space="preserve">; in </w:t>
      </w:r>
      <w:r w:rsidR="005734D5">
        <w:t xml:space="preserve">and after 2015 the figures represent 3% growth for each </w:t>
      </w:r>
      <w:r w:rsidR="005734D5" w:rsidRPr="00C15F2D">
        <w:rPr>
          <w:i/>
          <w:iCs/>
        </w:rPr>
        <w:t>Reference Year</w:t>
      </w:r>
      <w:r w:rsidR="005734D5">
        <w:t xml:space="preserve"> until expiry of the Securities. </w:t>
      </w:r>
    </w:p>
    <w:p w14:paraId="46122804" w14:textId="15BE2D0F" w:rsidR="00744981" w:rsidRDefault="00E376D3" w:rsidP="00C7371D">
      <w:pPr>
        <w:pStyle w:val="ParaLevel1"/>
        <w:numPr>
          <w:ilvl w:val="0"/>
          <w:numId w:val="11"/>
        </w:numPr>
      </w:pPr>
      <w:r>
        <w:t>The proviso</w:t>
      </w:r>
      <w:r w:rsidR="002F766D">
        <w:t xml:space="preserve">, to which I shall refer as </w:t>
      </w:r>
      <w:r w:rsidR="00A40AF0">
        <w:t>‘</w:t>
      </w:r>
      <w:r w:rsidR="002F766D">
        <w:t>the Adjustment Provision’</w:t>
      </w:r>
      <w:r w:rsidR="00B468C9">
        <w:t>,</w:t>
      </w:r>
      <w:r w:rsidR="00A40AF0">
        <w:t xml:space="preserve"> </w:t>
      </w:r>
      <w:r w:rsidR="00931B6D">
        <w:t>is in the following terms</w:t>
      </w:r>
      <w:r w:rsidR="00744981">
        <w:t>:</w:t>
      </w:r>
    </w:p>
    <w:p w14:paraId="1A8607DE" w14:textId="712FD418" w:rsidR="00744981" w:rsidRPr="00363739" w:rsidRDefault="00C4065F" w:rsidP="00C7371D">
      <w:pPr>
        <w:pStyle w:val="ParaLevel1"/>
        <w:numPr>
          <w:ilvl w:val="0"/>
          <w:numId w:val="0"/>
        </w:numPr>
        <w:ind w:left="1134"/>
      </w:pPr>
      <w:r>
        <w:rPr>
          <w:i/>
          <w:iCs/>
        </w:rPr>
        <w:t>“</w:t>
      </w:r>
      <w:r w:rsidR="00744981" w:rsidRPr="00363739">
        <w:rPr>
          <w:i/>
          <w:iCs/>
        </w:rPr>
        <w:t xml:space="preserve">provided </w:t>
      </w:r>
      <w:r w:rsidR="00744981" w:rsidRPr="00363739">
        <w:t>that, if the Year of Base Prices employed by INDEC for determining Actual Real GDP shall at any time be a calendar year other than the year 1993, then the Base Case GDP for each Reference Year shall be adjusted to reflect any such change in the Year of Base Prices by multiplying the Base Case GDP for such Reference Year (as set forth in chart above) by a fraction, the numerator of which shall be the Actual Real GDP for such Reference Year measured in constant prices of the Year of Base Prices, and the denominator of which shall be the Actual Real GDP for such Reference Year measured in constant 1993 prices.</w:t>
      </w:r>
      <w:r>
        <w:t>”</w:t>
      </w:r>
    </w:p>
    <w:p w14:paraId="3919F0BB" w14:textId="394206DE" w:rsidR="00744981" w:rsidRDefault="00C219AC" w:rsidP="00C662F9">
      <w:pPr>
        <w:pStyle w:val="ParaLevel1"/>
        <w:numPr>
          <w:ilvl w:val="0"/>
          <w:numId w:val="11"/>
        </w:numPr>
        <w:ind w:left="454" w:hanging="454"/>
      </w:pPr>
      <w:r>
        <w:t xml:space="preserve">These </w:t>
      </w:r>
      <w:r w:rsidR="005A1209">
        <w:t xml:space="preserve">definitions </w:t>
      </w:r>
      <w:r w:rsidR="00B94F6A">
        <w:t xml:space="preserve">of </w:t>
      </w:r>
      <w:r w:rsidR="00372578" w:rsidRPr="007D670B">
        <w:rPr>
          <w:i/>
          <w:iCs/>
        </w:rPr>
        <w:t>Actual Real GDP</w:t>
      </w:r>
      <w:r w:rsidR="00372578">
        <w:t xml:space="preserve"> and </w:t>
      </w:r>
      <w:r w:rsidR="00372578" w:rsidRPr="00797BE7">
        <w:rPr>
          <w:i/>
          <w:iCs/>
        </w:rPr>
        <w:t>Base Case GDP</w:t>
      </w:r>
      <w:r w:rsidR="00DB7C9B">
        <w:t>, in the latter case as adjusted after a rebasing in accordance with the Adjustment Provisi</w:t>
      </w:r>
      <w:r w:rsidR="00B94F6A">
        <w:t>o</w:t>
      </w:r>
      <w:r w:rsidR="00DB7C9B">
        <w:t xml:space="preserve">n, </w:t>
      </w:r>
      <w:r w:rsidR="005A1209">
        <w:t xml:space="preserve">feed into </w:t>
      </w:r>
      <w:r w:rsidR="00401427">
        <w:t xml:space="preserve">(a) </w:t>
      </w:r>
      <w:r w:rsidR="005A1209">
        <w:t>the conditions triggering a payment</w:t>
      </w:r>
      <w:r w:rsidR="00B94F6A">
        <w:t>,</w:t>
      </w:r>
      <w:r w:rsidR="005A1209">
        <w:t xml:space="preserve"> and </w:t>
      </w:r>
      <w:r w:rsidR="00401427">
        <w:t xml:space="preserve">(b) </w:t>
      </w:r>
      <w:r w:rsidR="005A1209">
        <w:t>the amount of the payment</w:t>
      </w:r>
      <w:r w:rsidR="00B94F6A">
        <w:t>,</w:t>
      </w:r>
      <w:r w:rsidR="005A1209">
        <w:t xml:space="preserve"> in the following way.  </w:t>
      </w:r>
    </w:p>
    <w:p w14:paraId="12ED9029" w14:textId="2AED44CD" w:rsidR="00744981" w:rsidRDefault="00203C72" w:rsidP="00C662F9">
      <w:pPr>
        <w:pStyle w:val="ParaLevel1"/>
        <w:numPr>
          <w:ilvl w:val="0"/>
          <w:numId w:val="11"/>
        </w:numPr>
        <w:ind w:left="454" w:hanging="454"/>
      </w:pPr>
      <w:r>
        <w:lastRenderedPageBreak/>
        <w:t>The conditions are found in clause 2(b) which provides:</w:t>
      </w:r>
    </w:p>
    <w:p w14:paraId="4D06BD90" w14:textId="47574808" w:rsidR="00203C72" w:rsidRPr="00363739" w:rsidRDefault="00196FCA" w:rsidP="00C7371D">
      <w:pPr>
        <w:pStyle w:val="ParaLevel1"/>
        <w:numPr>
          <w:ilvl w:val="0"/>
          <w:numId w:val="0"/>
        </w:numPr>
        <w:ind w:left="1134"/>
      </w:pPr>
      <w:r>
        <w:t>“</w:t>
      </w:r>
      <w:r w:rsidR="00203C72" w:rsidRPr="00363739">
        <w:t>Notwithstanding anything to the contrary hereunder, Holders of this Security shall not be entitled to receive any payment pursuant to this Security in respect of any Reference Year unless (i) Actual Real GDP for such Reference Year is greater than Base Case GDP for such Reference Year, (ii) Actual Real GDP Growth for such Reference Year is greater than Base Case GDP Growth for such Reference Year, and (iii) the aggregate amount of all payments made by the Republic hereunder, when added to the amount of such payment, does not exceed the Payment Cap.</w:t>
      </w:r>
      <w:r>
        <w:t>”</w:t>
      </w:r>
    </w:p>
    <w:p w14:paraId="2FF30A71" w14:textId="088A10D4" w:rsidR="00272E42" w:rsidRDefault="00A74F70" w:rsidP="00C662F9">
      <w:pPr>
        <w:pStyle w:val="ParaLevel1"/>
        <w:numPr>
          <w:ilvl w:val="0"/>
          <w:numId w:val="11"/>
        </w:numPr>
        <w:ind w:left="454" w:hanging="454"/>
      </w:pPr>
      <w:r>
        <w:t xml:space="preserve">I shall refer to the </w:t>
      </w:r>
      <w:r w:rsidR="0018118C">
        <w:t>f</w:t>
      </w:r>
      <w:r w:rsidR="006636B3">
        <w:t>irst condition as ‘the Level Condition’; the second as ‘the Growth Condition’</w:t>
      </w:r>
      <w:r w:rsidR="0018118C">
        <w:t>;</w:t>
      </w:r>
      <w:r w:rsidR="006636B3">
        <w:t xml:space="preserve"> and the third as ‘the Cap’.  The </w:t>
      </w:r>
      <w:r w:rsidR="00CB41C4">
        <w:t xml:space="preserve">Cap is 48% of </w:t>
      </w:r>
      <w:r w:rsidR="004B1685">
        <w:t xml:space="preserve">the </w:t>
      </w:r>
      <w:r w:rsidR="00EA5947">
        <w:t>outstanding</w:t>
      </w:r>
      <w:r w:rsidR="006A24A8">
        <w:t xml:space="preserve"> notional amount of the Security.  The </w:t>
      </w:r>
      <w:r w:rsidR="006636B3">
        <w:t>Level Condition is designed to ensure that Actual Real GDP is greater than Base GDP in the given year</w:t>
      </w:r>
      <w:r w:rsidR="00D41DCE">
        <w:t xml:space="preserve"> in absolute terms, irrespective of growth.  </w:t>
      </w:r>
      <w:r w:rsidR="004A7B89">
        <w:t xml:space="preserve">So </w:t>
      </w:r>
      <w:r w:rsidR="002B3552">
        <w:t xml:space="preserve">if, for example, in previous </w:t>
      </w:r>
      <w:r w:rsidR="002B3552" w:rsidRPr="004A7B89">
        <w:rPr>
          <w:i/>
          <w:iCs/>
        </w:rPr>
        <w:t>Reference Years</w:t>
      </w:r>
      <w:r w:rsidR="002B3552">
        <w:t xml:space="preserve"> </w:t>
      </w:r>
      <w:r w:rsidR="004A7B89">
        <w:t xml:space="preserve">GDP </w:t>
      </w:r>
      <w:r w:rsidR="002B3552">
        <w:t xml:space="preserve">has fallen behind the Base Case GDP, the </w:t>
      </w:r>
      <w:r w:rsidR="0096117E">
        <w:t xml:space="preserve">trigger for payment does not occur, despite sufficient growth in the </w:t>
      </w:r>
      <w:r w:rsidR="0096117E" w:rsidRPr="004A7B89">
        <w:rPr>
          <w:i/>
          <w:iCs/>
        </w:rPr>
        <w:t>Reference Year</w:t>
      </w:r>
      <w:r w:rsidR="0096117E">
        <w:t xml:space="preserve"> in question</w:t>
      </w:r>
      <w:r w:rsidR="00382AD0">
        <w:t xml:space="preserve"> to meet the Growth Condition</w:t>
      </w:r>
      <w:r w:rsidR="0096117E">
        <w:t xml:space="preserve">, </w:t>
      </w:r>
      <w:r w:rsidR="006A24A8">
        <w:t xml:space="preserve">unless </w:t>
      </w:r>
      <w:r w:rsidR="0096117E">
        <w:t xml:space="preserve">it reaches the level of the </w:t>
      </w:r>
      <w:r w:rsidR="00CB41C4">
        <w:t xml:space="preserve">base case for that year in the chart.  </w:t>
      </w:r>
      <w:r w:rsidR="006A24A8">
        <w:t xml:space="preserve">It is not in dispute that the Level Condition was met for </w:t>
      </w:r>
      <w:r w:rsidR="00382AD0">
        <w:t>R</w:t>
      </w:r>
      <w:r w:rsidR="006A24A8">
        <w:t>eference Year 2013.</w:t>
      </w:r>
      <w:r w:rsidR="00EB3922">
        <w:t xml:space="preserve">  </w:t>
      </w:r>
      <w:r w:rsidR="00CB41C4">
        <w:t>The</w:t>
      </w:r>
      <w:r w:rsidR="00EB4309">
        <w:t xml:space="preserve"> issue</w:t>
      </w:r>
      <w:r w:rsidR="00272E42">
        <w:t xml:space="preserve"> is whether the Growth Condition was met </w:t>
      </w:r>
      <w:r w:rsidR="004A7B89">
        <w:t>for 2013</w:t>
      </w:r>
      <w:r w:rsidR="00382AD0">
        <w:t xml:space="preserve"> </w:t>
      </w:r>
      <w:r w:rsidR="00272E42">
        <w:t>after rebasing</w:t>
      </w:r>
      <w:r w:rsidR="004A7B89">
        <w:t xml:space="preserve"> for that </w:t>
      </w:r>
      <w:r w:rsidR="004D6E26">
        <w:t>year.</w:t>
      </w:r>
    </w:p>
    <w:p w14:paraId="2C8362F0" w14:textId="59A3A718" w:rsidR="00904995" w:rsidRDefault="00272E42" w:rsidP="00C662F9">
      <w:pPr>
        <w:pStyle w:val="ParaLevel1"/>
        <w:numPr>
          <w:ilvl w:val="0"/>
          <w:numId w:val="11"/>
        </w:numPr>
        <w:ind w:left="454" w:hanging="454"/>
      </w:pPr>
      <w:r>
        <w:t xml:space="preserve">As to payment, the </w:t>
      </w:r>
      <w:r w:rsidR="00375F2B">
        <w:t xml:space="preserve">Securities </w:t>
      </w:r>
      <w:r w:rsidR="00833ED5">
        <w:t xml:space="preserve">provide for </w:t>
      </w:r>
      <w:r w:rsidR="00C3236D">
        <w:t xml:space="preserve">payment </w:t>
      </w:r>
      <w:r w:rsidR="00FE7A04">
        <w:t xml:space="preserve">each year of a </w:t>
      </w:r>
      <w:r w:rsidR="00C3236D" w:rsidRPr="00272E42">
        <w:rPr>
          <w:i/>
          <w:iCs/>
        </w:rPr>
        <w:t>Payment Amount</w:t>
      </w:r>
      <w:r w:rsidR="00C3236D">
        <w:t xml:space="preserve"> which </w:t>
      </w:r>
      <w:r w:rsidR="00FE7A04">
        <w:t xml:space="preserve">is </w:t>
      </w:r>
      <w:r w:rsidR="00C3236D">
        <w:t xml:space="preserve">the holder’s </w:t>
      </w:r>
      <w:r w:rsidR="00985490">
        <w:t xml:space="preserve">share of </w:t>
      </w:r>
      <w:r w:rsidR="009F0F34">
        <w:t>5%</w:t>
      </w:r>
      <w:r w:rsidR="00985490">
        <w:t xml:space="preserve"> of </w:t>
      </w:r>
      <w:r w:rsidR="00985490" w:rsidRPr="00272E42">
        <w:rPr>
          <w:i/>
          <w:iCs/>
        </w:rPr>
        <w:t>Excess GDP</w:t>
      </w:r>
      <w:r w:rsidR="00985490">
        <w:t xml:space="preserve"> converted into Euros.  </w:t>
      </w:r>
      <w:r w:rsidR="00985490" w:rsidRPr="00D72AA8">
        <w:rPr>
          <w:i/>
          <w:iCs/>
        </w:rPr>
        <w:t>Excess GDP</w:t>
      </w:r>
      <w:r w:rsidR="00985490">
        <w:t xml:space="preserve"> is the </w:t>
      </w:r>
      <w:r w:rsidR="00842E4C">
        <w:t xml:space="preserve">amount </w:t>
      </w:r>
      <w:r w:rsidR="00D72AA8">
        <w:t xml:space="preserve">by which </w:t>
      </w:r>
      <w:r w:rsidR="00D72AA8" w:rsidRPr="00495232">
        <w:rPr>
          <w:i/>
          <w:iCs/>
        </w:rPr>
        <w:t>Actual Nominal GDP</w:t>
      </w:r>
      <w:r w:rsidR="00EF50CA">
        <w:t xml:space="preserve"> exceeds</w:t>
      </w:r>
      <w:r w:rsidR="00297F14">
        <w:t xml:space="preserve"> </w:t>
      </w:r>
      <w:r w:rsidR="00297F14" w:rsidRPr="00495232">
        <w:rPr>
          <w:i/>
          <w:iCs/>
        </w:rPr>
        <w:t>Nominal Base Case GDP.</w:t>
      </w:r>
      <w:r w:rsidR="00297F14">
        <w:t xml:space="preserve">  This is designed to </w:t>
      </w:r>
      <w:r w:rsidR="00577458">
        <w:t xml:space="preserve">ensure payment by reference to current (nominal) prices, not the historic </w:t>
      </w:r>
      <w:r w:rsidR="005427B2">
        <w:t xml:space="preserve">constant </w:t>
      </w:r>
      <w:r w:rsidR="00577458">
        <w:t xml:space="preserve">prices used in the calculation of </w:t>
      </w:r>
      <w:r w:rsidR="00495232" w:rsidRPr="00495232">
        <w:rPr>
          <w:i/>
          <w:iCs/>
        </w:rPr>
        <w:t>A</w:t>
      </w:r>
      <w:r w:rsidR="00577458" w:rsidRPr="00495232">
        <w:rPr>
          <w:i/>
          <w:iCs/>
        </w:rPr>
        <w:t xml:space="preserve">ctual </w:t>
      </w:r>
      <w:r w:rsidR="00C034FC">
        <w:rPr>
          <w:i/>
          <w:iCs/>
        </w:rPr>
        <w:t xml:space="preserve">Real </w:t>
      </w:r>
      <w:r w:rsidR="00577458" w:rsidRPr="00495232">
        <w:rPr>
          <w:i/>
          <w:iCs/>
        </w:rPr>
        <w:t>GDP</w:t>
      </w:r>
      <w:r w:rsidR="00577458">
        <w:t xml:space="preserve"> and </w:t>
      </w:r>
      <w:r w:rsidR="00495232" w:rsidRPr="00495232">
        <w:rPr>
          <w:i/>
          <w:iCs/>
        </w:rPr>
        <w:t>B</w:t>
      </w:r>
      <w:r w:rsidR="00577458" w:rsidRPr="00495232">
        <w:rPr>
          <w:i/>
          <w:iCs/>
        </w:rPr>
        <w:t xml:space="preserve">ase </w:t>
      </w:r>
      <w:r w:rsidR="00495232" w:rsidRPr="00495232">
        <w:rPr>
          <w:i/>
          <w:iCs/>
        </w:rPr>
        <w:t>C</w:t>
      </w:r>
      <w:r w:rsidR="00577458" w:rsidRPr="00495232">
        <w:rPr>
          <w:i/>
          <w:iCs/>
        </w:rPr>
        <w:t>ase GDP</w:t>
      </w:r>
      <w:r w:rsidR="00577458">
        <w:t xml:space="preserve">.  In the case of </w:t>
      </w:r>
      <w:r w:rsidR="00577458" w:rsidRPr="00535F2C">
        <w:rPr>
          <w:i/>
          <w:iCs/>
        </w:rPr>
        <w:t>Actual Nominal GDP</w:t>
      </w:r>
      <w:r w:rsidR="00577458">
        <w:t xml:space="preserve"> it is </w:t>
      </w:r>
      <w:r w:rsidR="007679B8">
        <w:t>“</w:t>
      </w:r>
      <w:r w:rsidR="003135DC">
        <w:t>the gross domestic product for such Reference Year</w:t>
      </w:r>
      <w:r w:rsidR="00B84E62">
        <w:t xml:space="preserve"> measured in current prices of such Reference Year”, although the definitions apply </w:t>
      </w:r>
      <w:r w:rsidR="00DB6E75">
        <w:t xml:space="preserve">an unnecessary complexity in referring to the </w:t>
      </w:r>
      <w:r w:rsidR="00DB6E75" w:rsidRPr="00535F2C">
        <w:rPr>
          <w:i/>
          <w:iCs/>
        </w:rPr>
        <w:t>GDP Deflator</w:t>
      </w:r>
      <w:r w:rsidR="00DB6E75">
        <w:t xml:space="preserve"> (in this case an inflator) which drops out of the </w:t>
      </w:r>
      <w:r w:rsidR="00535F2C">
        <w:t xml:space="preserve">calculation.  In the case of </w:t>
      </w:r>
      <w:r w:rsidR="008B0C57" w:rsidRPr="00263785">
        <w:rPr>
          <w:i/>
          <w:iCs/>
        </w:rPr>
        <w:t xml:space="preserve">Nominal Base </w:t>
      </w:r>
      <w:r w:rsidR="00263785">
        <w:rPr>
          <w:i/>
          <w:iCs/>
        </w:rPr>
        <w:t>C</w:t>
      </w:r>
      <w:r w:rsidR="008B0C57" w:rsidRPr="00263785">
        <w:rPr>
          <w:i/>
          <w:iCs/>
        </w:rPr>
        <w:t>ase GDP</w:t>
      </w:r>
      <w:r w:rsidR="008B0C57">
        <w:t xml:space="preserve">, it converts </w:t>
      </w:r>
      <w:r w:rsidR="00263785">
        <w:t xml:space="preserve">the </w:t>
      </w:r>
      <w:r w:rsidR="00263785" w:rsidRPr="00263785">
        <w:rPr>
          <w:i/>
          <w:iCs/>
        </w:rPr>
        <w:t>Base Case GDP</w:t>
      </w:r>
      <w:r w:rsidR="00263785">
        <w:t xml:space="preserve"> </w:t>
      </w:r>
      <w:r w:rsidR="008B0C57">
        <w:t xml:space="preserve">to current </w:t>
      </w:r>
      <w:r w:rsidR="00263785">
        <w:t>(</w:t>
      </w:r>
      <w:r w:rsidR="008B0C57">
        <w:t>nominal</w:t>
      </w:r>
      <w:r w:rsidR="00263785">
        <w:t>)</w:t>
      </w:r>
      <w:r w:rsidR="008B0C57">
        <w:t xml:space="preserve"> prices by use of the </w:t>
      </w:r>
      <w:r w:rsidR="008B0C57" w:rsidRPr="00263785">
        <w:rPr>
          <w:i/>
          <w:iCs/>
        </w:rPr>
        <w:t xml:space="preserve">GDP </w:t>
      </w:r>
      <w:r w:rsidR="00263785" w:rsidRPr="00263785">
        <w:rPr>
          <w:i/>
          <w:iCs/>
        </w:rPr>
        <w:t>Deflator</w:t>
      </w:r>
      <w:r w:rsidR="000F252A">
        <w:t xml:space="preserve"> whose definition is that it is the ratio</w:t>
      </w:r>
      <w:r w:rsidR="00BD3A9B">
        <w:t xml:space="preserve"> between GDP </w:t>
      </w:r>
      <w:r w:rsidR="00E86BAB">
        <w:t xml:space="preserve">in current prices </w:t>
      </w:r>
      <w:r w:rsidR="00BD3A9B">
        <w:t xml:space="preserve">and </w:t>
      </w:r>
      <w:r w:rsidR="00BD3A9B" w:rsidRPr="0093090E">
        <w:rPr>
          <w:i/>
          <w:iCs/>
        </w:rPr>
        <w:t>Actual R</w:t>
      </w:r>
      <w:r w:rsidR="00904995" w:rsidRPr="0093090E">
        <w:rPr>
          <w:i/>
          <w:iCs/>
        </w:rPr>
        <w:t xml:space="preserve">eal </w:t>
      </w:r>
      <w:r w:rsidR="00BD3A9B" w:rsidRPr="0093090E">
        <w:rPr>
          <w:i/>
          <w:iCs/>
        </w:rPr>
        <w:t>GDP</w:t>
      </w:r>
      <w:r w:rsidR="00BD3A9B">
        <w:t xml:space="preserve">, </w:t>
      </w:r>
      <w:r w:rsidR="0001424F">
        <w:t>i.e.</w:t>
      </w:r>
      <w:r w:rsidR="00BD3A9B">
        <w:t xml:space="preserve"> real GDP </w:t>
      </w:r>
      <w:r w:rsidR="00E86BAB">
        <w:t>in the historic YOBP</w:t>
      </w:r>
      <w:r w:rsidR="00904995">
        <w:t xml:space="preserve"> pricing.</w:t>
      </w:r>
      <w:r w:rsidR="005B0C71">
        <w:t xml:space="preserve">  The way the proviso to the </w:t>
      </w:r>
      <w:r w:rsidR="005B0C71" w:rsidRPr="0093090E">
        <w:rPr>
          <w:i/>
          <w:iCs/>
        </w:rPr>
        <w:t>Base Case GDP</w:t>
      </w:r>
      <w:r w:rsidR="005B0C71">
        <w:t xml:space="preserve"> chart operates on a rebasing will therefore have an effect on the</w:t>
      </w:r>
      <w:r w:rsidR="002F4B6A">
        <w:t xml:space="preserve"> conversion into </w:t>
      </w:r>
      <w:r w:rsidR="002F4B6A" w:rsidRPr="00196FCA">
        <w:rPr>
          <w:i/>
          <w:iCs/>
        </w:rPr>
        <w:t>Nominal Base Case GDP</w:t>
      </w:r>
      <w:r w:rsidR="002F4B6A">
        <w:t xml:space="preserve"> and therefore into the </w:t>
      </w:r>
      <w:r w:rsidR="002F4B6A" w:rsidRPr="00196FCA">
        <w:rPr>
          <w:i/>
          <w:iCs/>
        </w:rPr>
        <w:t>Payment Amount</w:t>
      </w:r>
      <w:r w:rsidR="002F4B6A">
        <w:t xml:space="preserve">.  </w:t>
      </w:r>
    </w:p>
    <w:p w14:paraId="76FA6D68" w14:textId="7591B254" w:rsidR="00C071FF" w:rsidRPr="00A75E8F" w:rsidRDefault="00C071FF" w:rsidP="00C7371D">
      <w:pPr>
        <w:pStyle w:val="ParaLevel1"/>
        <w:numPr>
          <w:ilvl w:val="0"/>
          <w:numId w:val="0"/>
        </w:numPr>
        <w:rPr>
          <w:b/>
          <w:bCs/>
          <w:szCs w:val="24"/>
        </w:rPr>
      </w:pPr>
      <w:r w:rsidRPr="00A75E8F">
        <w:rPr>
          <w:b/>
          <w:bCs/>
        </w:rPr>
        <w:t>What happened: the rebasing</w:t>
      </w:r>
    </w:p>
    <w:p w14:paraId="0AE907BB" w14:textId="73BA191F" w:rsidR="004C1F67" w:rsidRPr="004C1F67" w:rsidRDefault="001E1277" w:rsidP="00C662F9">
      <w:pPr>
        <w:pStyle w:val="paralevel10"/>
        <w:numPr>
          <w:ilvl w:val="0"/>
          <w:numId w:val="11"/>
        </w:numPr>
        <w:spacing w:before="240" w:beforeAutospacing="0" w:after="240" w:afterAutospacing="0"/>
        <w:ind w:left="454" w:hanging="454"/>
        <w:jc w:val="both"/>
        <w:rPr>
          <w:color w:val="000000"/>
        </w:rPr>
      </w:pPr>
      <w:r w:rsidRPr="00186495">
        <w:rPr>
          <w:color w:val="000000"/>
          <w:lang w:val="en-US"/>
        </w:rPr>
        <w:t>By the time the Securities were issued the 1993 YOBP was 12 years</w:t>
      </w:r>
      <w:r w:rsidR="00716304" w:rsidRPr="00186495">
        <w:rPr>
          <w:color w:val="000000"/>
          <w:lang w:val="en-US"/>
        </w:rPr>
        <w:t xml:space="preserve"> old</w:t>
      </w:r>
      <w:r w:rsidR="00430809">
        <w:rPr>
          <w:color w:val="000000"/>
          <w:lang w:val="en-US"/>
        </w:rPr>
        <w:t xml:space="preserve"> in its scope</w:t>
      </w:r>
      <w:r w:rsidR="00B910C8">
        <w:rPr>
          <w:color w:val="000000"/>
          <w:lang w:val="en-US"/>
        </w:rPr>
        <w:t xml:space="preserve"> and pricing</w:t>
      </w:r>
      <w:r w:rsidR="00716304" w:rsidRPr="00186495">
        <w:rPr>
          <w:color w:val="000000"/>
          <w:lang w:val="en-US"/>
        </w:rPr>
        <w:t xml:space="preserve">, and steps had </w:t>
      </w:r>
      <w:r w:rsidR="007E37E1">
        <w:rPr>
          <w:color w:val="000000"/>
          <w:lang w:val="en-US"/>
        </w:rPr>
        <w:t xml:space="preserve">already </w:t>
      </w:r>
      <w:r w:rsidR="00716304" w:rsidRPr="00186495">
        <w:rPr>
          <w:color w:val="000000"/>
          <w:lang w:val="en-US"/>
        </w:rPr>
        <w:t>begun to assemble data to enable a rebasing</w:t>
      </w:r>
      <w:r w:rsidR="007E37E1">
        <w:rPr>
          <w:color w:val="000000"/>
          <w:lang w:val="en-US"/>
        </w:rPr>
        <w:t xml:space="preserve">.  In </w:t>
      </w:r>
      <w:r w:rsidR="008E03A1" w:rsidRPr="00186495">
        <w:rPr>
          <w:color w:val="000000"/>
          <w:lang w:val="en-US"/>
        </w:rPr>
        <w:t xml:space="preserve">2004 a national economic census and a survey of household income and expenditures </w:t>
      </w:r>
      <w:r w:rsidR="00B910C8">
        <w:rPr>
          <w:color w:val="000000"/>
          <w:lang w:val="en-US"/>
        </w:rPr>
        <w:t>were commence</w:t>
      </w:r>
      <w:r w:rsidR="00DA2A5A">
        <w:rPr>
          <w:color w:val="000000"/>
          <w:lang w:val="en-US"/>
        </w:rPr>
        <w:t>d</w:t>
      </w:r>
      <w:r w:rsidR="00B910C8">
        <w:rPr>
          <w:color w:val="000000"/>
          <w:lang w:val="en-US"/>
        </w:rPr>
        <w:t xml:space="preserve"> </w:t>
      </w:r>
      <w:r w:rsidR="008E03A1" w:rsidRPr="00186495">
        <w:rPr>
          <w:color w:val="000000"/>
          <w:lang w:val="en-US"/>
        </w:rPr>
        <w:t>to provide two central information sources</w:t>
      </w:r>
      <w:r w:rsidR="00B910C8">
        <w:rPr>
          <w:color w:val="000000"/>
          <w:lang w:val="en-US"/>
        </w:rPr>
        <w:t>.</w:t>
      </w:r>
      <w:r w:rsidR="008E03A1" w:rsidRPr="00186495">
        <w:rPr>
          <w:color w:val="000000"/>
          <w:lang w:val="en-US"/>
        </w:rPr>
        <w:t xml:space="preserve"> </w:t>
      </w:r>
      <w:r w:rsidR="00186495">
        <w:rPr>
          <w:color w:val="000000"/>
          <w:lang w:val="en-US"/>
        </w:rPr>
        <w:t xml:space="preserve">  These were </w:t>
      </w:r>
      <w:r w:rsidR="00B56C5C" w:rsidRPr="00186495">
        <w:rPr>
          <w:color w:val="000000"/>
          <w:lang w:val="en-US"/>
        </w:rPr>
        <w:t xml:space="preserve">then reviewed and verified against a range of data from other sources in order to produce the necessary statistics for the new base year. </w:t>
      </w:r>
      <w:r w:rsidR="00186495">
        <w:rPr>
          <w:color w:val="000000"/>
          <w:lang w:val="en-US"/>
        </w:rPr>
        <w:t xml:space="preserve"> </w:t>
      </w:r>
      <w:r w:rsidR="00B56C5C" w:rsidRPr="00186495">
        <w:rPr>
          <w:color w:val="000000"/>
          <w:lang w:val="en-US"/>
        </w:rPr>
        <w:t xml:space="preserve">Methodological changes </w:t>
      </w:r>
      <w:r w:rsidR="00186495">
        <w:rPr>
          <w:color w:val="000000"/>
          <w:lang w:val="en-US"/>
        </w:rPr>
        <w:t xml:space="preserve">were </w:t>
      </w:r>
      <w:r w:rsidR="00B56C5C" w:rsidRPr="00186495">
        <w:rPr>
          <w:color w:val="000000"/>
          <w:lang w:val="en-US"/>
        </w:rPr>
        <w:t>also implemented during the data processing stage.</w:t>
      </w:r>
      <w:r w:rsidR="00B910C8">
        <w:rPr>
          <w:color w:val="000000"/>
        </w:rPr>
        <w:t xml:space="preserve">  </w:t>
      </w:r>
      <w:r w:rsidR="00186495" w:rsidRPr="00B910C8">
        <w:rPr>
          <w:color w:val="000000"/>
          <w:lang w:val="en-US"/>
        </w:rPr>
        <w:t xml:space="preserve">This took </w:t>
      </w:r>
      <w:r w:rsidR="009B182F" w:rsidRPr="00B910C8">
        <w:rPr>
          <w:color w:val="000000"/>
          <w:lang w:val="en-US"/>
        </w:rPr>
        <w:t xml:space="preserve">several years to complete.  </w:t>
      </w:r>
      <w:r w:rsidR="00B56C5C" w:rsidRPr="00B910C8">
        <w:rPr>
          <w:color w:val="000000"/>
          <w:lang w:val="en-US"/>
        </w:rPr>
        <w:t xml:space="preserve">The 2004 economic census data had been collected manually and </w:t>
      </w:r>
      <w:r w:rsidR="00576112" w:rsidRPr="00B910C8">
        <w:rPr>
          <w:color w:val="000000"/>
          <w:lang w:val="en-US"/>
        </w:rPr>
        <w:t xml:space="preserve">had </w:t>
      </w:r>
      <w:r w:rsidR="00B56C5C" w:rsidRPr="00B910C8">
        <w:rPr>
          <w:color w:val="000000"/>
          <w:lang w:val="en-US"/>
        </w:rPr>
        <w:t>to be digit</w:t>
      </w:r>
      <w:r w:rsidR="00FE0B2E">
        <w:rPr>
          <w:color w:val="000000"/>
          <w:lang w:val="en-US"/>
        </w:rPr>
        <w:t>al</w:t>
      </w:r>
      <w:r w:rsidR="00B56C5C" w:rsidRPr="00B910C8">
        <w:rPr>
          <w:color w:val="000000"/>
          <w:lang w:val="en-US"/>
        </w:rPr>
        <w:t>ised and checked, a process which continued until the end of 2008.</w:t>
      </w:r>
    </w:p>
    <w:p w14:paraId="46C31FF9" w14:textId="673F872E" w:rsidR="00B56C5C" w:rsidRPr="00D24B53" w:rsidRDefault="00B56C5C" w:rsidP="00C662F9">
      <w:pPr>
        <w:pStyle w:val="paralevel10"/>
        <w:numPr>
          <w:ilvl w:val="0"/>
          <w:numId w:val="11"/>
        </w:numPr>
        <w:spacing w:before="240" w:beforeAutospacing="0" w:after="240" w:afterAutospacing="0"/>
        <w:ind w:left="454" w:hanging="454"/>
        <w:jc w:val="both"/>
        <w:rPr>
          <w:color w:val="000000"/>
        </w:rPr>
      </w:pPr>
      <w:r w:rsidRPr="00B910C8">
        <w:rPr>
          <w:color w:val="000000"/>
          <w:lang w:val="en-US"/>
        </w:rPr>
        <w:t>By that time, the SNA had introduced significant methodological changes.</w:t>
      </w:r>
      <w:r w:rsidR="001B73BD">
        <w:rPr>
          <w:color w:val="000000"/>
          <w:lang w:val="en-US"/>
        </w:rPr>
        <w:t xml:space="preserve">  </w:t>
      </w:r>
      <w:r w:rsidRPr="00B910C8">
        <w:rPr>
          <w:color w:val="000000"/>
          <w:lang w:val="en-US"/>
        </w:rPr>
        <w:t>INDEC</w:t>
      </w:r>
      <w:r w:rsidR="009B182F" w:rsidRPr="00B910C8">
        <w:rPr>
          <w:color w:val="000000"/>
          <w:lang w:val="en-US"/>
        </w:rPr>
        <w:t xml:space="preserve"> </w:t>
      </w:r>
      <w:r w:rsidRPr="00B910C8">
        <w:rPr>
          <w:color w:val="000000"/>
          <w:lang w:val="en-US"/>
        </w:rPr>
        <w:t xml:space="preserve">sought to align with these new international standards </w:t>
      </w:r>
      <w:r w:rsidR="00D24B53">
        <w:rPr>
          <w:color w:val="000000"/>
          <w:lang w:val="en-US"/>
        </w:rPr>
        <w:t xml:space="preserve">as well as seeking to capture </w:t>
      </w:r>
      <w:r w:rsidRPr="00B910C8">
        <w:rPr>
          <w:color w:val="000000"/>
          <w:lang w:val="en-US"/>
        </w:rPr>
        <w:t xml:space="preserve">the </w:t>
      </w:r>
      <w:r w:rsidR="008552FA">
        <w:rPr>
          <w:color w:val="000000"/>
          <w:lang w:val="en-US"/>
        </w:rPr>
        <w:t xml:space="preserve">very </w:t>
      </w:r>
      <w:r w:rsidRPr="00B910C8">
        <w:rPr>
          <w:color w:val="000000"/>
          <w:lang w:val="en-US"/>
        </w:rPr>
        <w:t xml:space="preserve">significant structural changes which the Republic’s economy had undergone between </w:t>
      </w:r>
      <w:r w:rsidRPr="00B910C8">
        <w:rPr>
          <w:color w:val="000000"/>
          <w:lang w:val="en-US"/>
        </w:rPr>
        <w:lastRenderedPageBreak/>
        <w:t>1993 and 2004, including the collapse of the convertibility regime and the shutdown of international debt markets, which had pushed the Republic to produce many of the goods it had previously imported. </w:t>
      </w:r>
      <w:r w:rsidR="00D24B53">
        <w:rPr>
          <w:color w:val="000000"/>
        </w:rPr>
        <w:t xml:space="preserve">  </w:t>
      </w:r>
      <w:r w:rsidRPr="00D24B53">
        <w:rPr>
          <w:color w:val="000000"/>
          <w:lang w:val="en-US"/>
        </w:rPr>
        <w:t xml:space="preserve">As INDEC worked on these matters, the 2004 household income survey became outdated and had to be repeated. </w:t>
      </w:r>
      <w:r w:rsidR="006A2A1D" w:rsidRPr="00D24B53">
        <w:rPr>
          <w:color w:val="000000"/>
          <w:lang w:val="en-US"/>
        </w:rPr>
        <w:t xml:space="preserve"> </w:t>
      </w:r>
    </w:p>
    <w:p w14:paraId="2BE616D1" w14:textId="3DFAD2C8" w:rsidR="00891EBF" w:rsidRPr="00A75E8F" w:rsidRDefault="00F9399B" w:rsidP="00C662F9">
      <w:pPr>
        <w:pStyle w:val="paralevel10"/>
        <w:numPr>
          <w:ilvl w:val="0"/>
          <w:numId w:val="11"/>
        </w:numPr>
        <w:spacing w:before="240" w:beforeAutospacing="0" w:after="240" w:afterAutospacing="0"/>
        <w:ind w:left="454" w:hanging="454"/>
        <w:jc w:val="both"/>
        <w:rPr>
          <w:color w:val="000000"/>
          <w:lang w:val="en-US"/>
        </w:rPr>
      </w:pPr>
      <w:r>
        <w:rPr>
          <w:color w:val="000000"/>
          <w:lang w:val="en-US"/>
        </w:rPr>
        <w:t xml:space="preserve">From </w:t>
      </w:r>
      <w:r w:rsidR="00B56C5C" w:rsidRPr="00A75E8F">
        <w:rPr>
          <w:color w:val="000000"/>
          <w:lang w:val="en-US"/>
        </w:rPr>
        <w:t xml:space="preserve">June 2011 the IMF issued a series of so-called K-1 reports, containing demands, questions and observations regarding the Republic’s </w:t>
      </w:r>
      <w:r w:rsidR="00D24B53">
        <w:rPr>
          <w:color w:val="000000"/>
          <w:lang w:val="en-US"/>
        </w:rPr>
        <w:t xml:space="preserve">inflation </w:t>
      </w:r>
      <w:r w:rsidR="00B56C5C" w:rsidRPr="00A75E8F">
        <w:rPr>
          <w:color w:val="000000"/>
          <w:lang w:val="en-US"/>
        </w:rPr>
        <w:t>and GDP statistics.</w:t>
      </w:r>
      <w:r w:rsidR="008552FA">
        <w:rPr>
          <w:color w:val="000000"/>
          <w:lang w:val="en-US"/>
        </w:rPr>
        <w:t xml:space="preserve">  </w:t>
      </w:r>
      <w:r w:rsidR="00B56C5C" w:rsidRPr="00D56E56">
        <w:rPr>
          <w:color w:val="000000"/>
          <w:lang w:val="en-US"/>
        </w:rPr>
        <w:t xml:space="preserve">With respect to GDP statistics, in particular, the IMF’s principal concern was that the methodology for calculating GDP was outdated and that </w:t>
      </w:r>
      <w:r w:rsidR="008552FA">
        <w:rPr>
          <w:color w:val="000000"/>
          <w:lang w:val="en-US"/>
        </w:rPr>
        <w:t xml:space="preserve">as a result </w:t>
      </w:r>
      <w:r w:rsidR="00B56C5C" w:rsidRPr="00D56E56">
        <w:rPr>
          <w:color w:val="000000"/>
          <w:lang w:val="en-US"/>
        </w:rPr>
        <w:t>GDP was</w:t>
      </w:r>
      <w:r w:rsidR="00C175B5">
        <w:rPr>
          <w:color w:val="000000"/>
          <w:lang w:val="en-US"/>
        </w:rPr>
        <w:t xml:space="preserve"> being </w:t>
      </w:r>
      <w:r w:rsidR="00B56C5C" w:rsidRPr="00D56E56">
        <w:rPr>
          <w:color w:val="000000"/>
          <w:lang w:val="en-US"/>
        </w:rPr>
        <w:t xml:space="preserve">overstated.  </w:t>
      </w:r>
      <w:r>
        <w:rPr>
          <w:color w:val="000000"/>
          <w:lang w:val="en-US"/>
        </w:rPr>
        <w:t xml:space="preserve">The IMF </w:t>
      </w:r>
      <w:r w:rsidR="00B556D3">
        <w:rPr>
          <w:color w:val="000000"/>
          <w:lang w:val="en-US"/>
        </w:rPr>
        <w:t xml:space="preserve">in its supervisory role </w:t>
      </w:r>
      <w:r>
        <w:rPr>
          <w:color w:val="000000"/>
          <w:lang w:val="en-US"/>
        </w:rPr>
        <w:t xml:space="preserve">became increasingly insistent on the publication of the </w:t>
      </w:r>
      <w:r w:rsidR="00891EBF">
        <w:rPr>
          <w:color w:val="000000"/>
          <w:lang w:val="en-US"/>
        </w:rPr>
        <w:t xml:space="preserve">GDP in the new base year by deadlines which the Republic said it was unable to meet.  </w:t>
      </w:r>
    </w:p>
    <w:p w14:paraId="2A3729B2" w14:textId="4608890A" w:rsidR="00070F3A" w:rsidRPr="00070F3A" w:rsidRDefault="00B556D3" w:rsidP="00C662F9">
      <w:pPr>
        <w:pStyle w:val="paralevel10"/>
        <w:numPr>
          <w:ilvl w:val="0"/>
          <w:numId w:val="11"/>
        </w:numPr>
        <w:spacing w:before="240" w:beforeAutospacing="0" w:after="240" w:afterAutospacing="0"/>
        <w:ind w:left="454" w:hanging="454"/>
        <w:jc w:val="both"/>
        <w:rPr>
          <w:color w:val="000000"/>
        </w:rPr>
      </w:pPr>
      <w:r>
        <w:rPr>
          <w:color w:val="000000"/>
          <w:lang w:val="en-US"/>
        </w:rPr>
        <w:t xml:space="preserve">During </w:t>
      </w:r>
      <w:r w:rsidR="00B10C4E">
        <w:rPr>
          <w:color w:val="000000"/>
          <w:lang w:val="en-US"/>
        </w:rPr>
        <w:t>2013 INDEC published quarterly GDP figures in 1993 YOBP</w:t>
      </w:r>
      <w:r w:rsidR="00DE3AF8">
        <w:rPr>
          <w:color w:val="000000"/>
          <w:lang w:val="en-US"/>
        </w:rPr>
        <w:t xml:space="preserve"> for the first three quarters</w:t>
      </w:r>
      <w:r w:rsidR="00B10C4E">
        <w:rPr>
          <w:color w:val="000000"/>
          <w:lang w:val="en-US"/>
        </w:rPr>
        <w:t xml:space="preserve">.  </w:t>
      </w:r>
      <w:r w:rsidR="00F9399B" w:rsidRPr="00A75E8F">
        <w:rPr>
          <w:color w:val="000000"/>
          <w:lang w:val="en-US"/>
        </w:rPr>
        <w:t xml:space="preserve">The new survey results became available </w:t>
      </w:r>
      <w:r w:rsidR="00DE3AF8">
        <w:rPr>
          <w:color w:val="000000"/>
          <w:lang w:val="en-US"/>
        </w:rPr>
        <w:t xml:space="preserve">towards </w:t>
      </w:r>
      <w:r w:rsidR="00F9399B" w:rsidRPr="00A75E8F">
        <w:rPr>
          <w:color w:val="000000"/>
          <w:lang w:val="en-US"/>
        </w:rPr>
        <w:t>the end of 2013</w:t>
      </w:r>
      <w:r w:rsidR="00476388">
        <w:rPr>
          <w:color w:val="000000"/>
          <w:lang w:val="en-US"/>
        </w:rPr>
        <w:t xml:space="preserve">.  On </w:t>
      </w:r>
      <w:r w:rsidR="00476388" w:rsidRPr="00A75E8F">
        <w:rPr>
          <w:color w:val="000000"/>
          <w:lang w:val="en-US"/>
        </w:rPr>
        <w:t>27 March 2014</w:t>
      </w:r>
      <w:r w:rsidR="001C64CF">
        <w:rPr>
          <w:color w:val="000000"/>
          <w:lang w:val="en-US"/>
        </w:rPr>
        <w:t xml:space="preserve"> INDEC published </w:t>
      </w:r>
      <w:r w:rsidR="00851349">
        <w:rPr>
          <w:color w:val="000000"/>
          <w:lang w:val="en-US"/>
        </w:rPr>
        <w:t>“</w:t>
      </w:r>
      <w:r w:rsidR="001C64CF">
        <w:rPr>
          <w:color w:val="000000"/>
          <w:lang w:val="en-US"/>
        </w:rPr>
        <w:t>preliminary</w:t>
      </w:r>
      <w:r w:rsidR="00851349">
        <w:rPr>
          <w:color w:val="000000"/>
          <w:lang w:val="en-US"/>
        </w:rPr>
        <w:t>”</w:t>
      </w:r>
      <w:r w:rsidR="001C64CF">
        <w:rPr>
          <w:color w:val="000000"/>
          <w:lang w:val="en-US"/>
        </w:rPr>
        <w:t xml:space="preserve"> GDP </w:t>
      </w:r>
      <w:r w:rsidR="00AA6034">
        <w:rPr>
          <w:color w:val="000000"/>
          <w:lang w:val="en-US"/>
        </w:rPr>
        <w:t xml:space="preserve">for </w:t>
      </w:r>
      <w:r w:rsidR="003D53D7">
        <w:rPr>
          <w:color w:val="000000"/>
          <w:lang w:val="en-US"/>
        </w:rPr>
        <w:t xml:space="preserve">the 2013 calendar year </w:t>
      </w:r>
      <w:r w:rsidR="00F01B7D">
        <w:rPr>
          <w:color w:val="000000"/>
          <w:lang w:val="en-US"/>
        </w:rPr>
        <w:t>in 2004 YOBP</w:t>
      </w:r>
      <w:r w:rsidR="00CF6367">
        <w:rPr>
          <w:color w:val="000000"/>
          <w:lang w:val="en-US"/>
        </w:rPr>
        <w:t>,</w:t>
      </w:r>
      <w:r w:rsidR="00AA6034">
        <w:rPr>
          <w:color w:val="000000"/>
          <w:lang w:val="en-US"/>
        </w:rPr>
        <w:t xml:space="preserve"> as the </w:t>
      </w:r>
      <w:r w:rsidR="00CF6367">
        <w:rPr>
          <w:color w:val="000000"/>
          <w:lang w:val="en-US"/>
        </w:rPr>
        <w:t xml:space="preserve">new </w:t>
      </w:r>
      <w:r w:rsidR="00AA6034">
        <w:rPr>
          <w:color w:val="000000"/>
          <w:lang w:val="en-US"/>
        </w:rPr>
        <w:t xml:space="preserve">year of rebasing, together with such figures </w:t>
      </w:r>
      <w:r w:rsidR="00CF6367">
        <w:rPr>
          <w:color w:val="000000"/>
          <w:lang w:val="en-US"/>
        </w:rPr>
        <w:t xml:space="preserve">for 2012 </w:t>
      </w:r>
      <w:r w:rsidR="000446F4">
        <w:rPr>
          <w:color w:val="000000"/>
          <w:lang w:val="en-US"/>
        </w:rPr>
        <w:t xml:space="preserve">GDP </w:t>
      </w:r>
      <w:r w:rsidR="00AA6034">
        <w:rPr>
          <w:color w:val="000000"/>
          <w:lang w:val="en-US"/>
        </w:rPr>
        <w:t>in 2004 YOBP for comparison purposes</w:t>
      </w:r>
      <w:r w:rsidR="00CC4291">
        <w:rPr>
          <w:color w:val="000000"/>
          <w:lang w:val="en-US"/>
        </w:rPr>
        <w:t xml:space="preserve"> to measure growth.   </w:t>
      </w:r>
    </w:p>
    <w:p w14:paraId="2101A2CA" w14:textId="05A1DAB4" w:rsidR="000E776D" w:rsidRPr="000E776D" w:rsidRDefault="00070F3A" w:rsidP="00C662F9">
      <w:pPr>
        <w:pStyle w:val="paralevel10"/>
        <w:numPr>
          <w:ilvl w:val="0"/>
          <w:numId w:val="11"/>
        </w:numPr>
        <w:spacing w:before="240" w:beforeAutospacing="0" w:after="240" w:afterAutospacing="0"/>
        <w:ind w:left="454" w:hanging="454"/>
        <w:jc w:val="both"/>
        <w:rPr>
          <w:color w:val="000000"/>
        </w:rPr>
      </w:pPr>
      <w:r>
        <w:rPr>
          <w:color w:val="000000"/>
          <w:lang w:val="en-US"/>
        </w:rPr>
        <w:t xml:space="preserve">On </w:t>
      </w:r>
      <w:r w:rsidR="00273C9C">
        <w:rPr>
          <w:color w:val="000000"/>
          <w:lang w:val="en-US"/>
        </w:rPr>
        <w:t xml:space="preserve">9 May </w:t>
      </w:r>
      <w:r>
        <w:rPr>
          <w:color w:val="000000"/>
          <w:lang w:val="en-US"/>
        </w:rPr>
        <w:t xml:space="preserve">2014 INDEC </w:t>
      </w:r>
      <w:r w:rsidR="00273C9C">
        <w:rPr>
          <w:color w:val="000000"/>
          <w:lang w:val="en-US"/>
        </w:rPr>
        <w:t xml:space="preserve">published GDP </w:t>
      </w:r>
      <w:r w:rsidR="00343356">
        <w:rPr>
          <w:color w:val="000000"/>
          <w:lang w:val="en-US"/>
        </w:rPr>
        <w:t xml:space="preserve">backcasting statistics </w:t>
      </w:r>
      <w:r w:rsidR="00273C9C">
        <w:rPr>
          <w:color w:val="000000"/>
          <w:lang w:val="en-US"/>
        </w:rPr>
        <w:t>for each of the years</w:t>
      </w:r>
      <w:r w:rsidR="000E776D">
        <w:rPr>
          <w:color w:val="000000"/>
          <w:lang w:val="en-US"/>
        </w:rPr>
        <w:t xml:space="preserve"> 2004 to 201</w:t>
      </w:r>
      <w:r w:rsidR="00AA6034">
        <w:rPr>
          <w:color w:val="000000"/>
          <w:lang w:val="en-US"/>
        </w:rPr>
        <w:t>2</w:t>
      </w:r>
      <w:r w:rsidR="000E776D">
        <w:rPr>
          <w:color w:val="000000"/>
          <w:lang w:val="en-US"/>
        </w:rPr>
        <w:t xml:space="preserve"> in 2004 YOBP together with </w:t>
      </w:r>
      <w:r w:rsidR="00343356">
        <w:rPr>
          <w:color w:val="000000"/>
          <w:lang w:val="en-US"/>
        </w:rPr>
        <w:t xml:space="preserve">details of the </w:t>
      </w:r>
      <w:r w:rsidR="000E776D">
        <w:rPr>
          <w:color w:val="000000"/>
          <w:lang w:val="en-US"/>
        </w:rPr>
        <w:t>methodology for the rebasing.</w:t>
      </w:r>
    </w:p>
    <w:p w14:paraId="18A65B92" w14:textId="580916AC" w:rsidR="00E131D7" w:rsidRPr="00A75E8F" w:rsidRDefault="00E131D7" w:rsidP="00C662F9">
      <w:pPr>
        <w:pStyle w:val="paralevel10"/>
        <w:numPr>
          <w:ilvl w:val="0"/>
          <w:numId w:val="11"/>
        </w:numPr>
        <w:spacing w:before="240" w:beforeAutospacing="0" w:after="240" w:afterAutospacing="0"/>
        <w:ind w:left="454" w:hanging="454"/>
        <w:jc w:val="both"/>
        <w:rPr>
          <w:color w:val="000000"/>
        </w:rPr>
      </w:pPr>
      <w:r w:rsidRPr="00A75E8F">
        <w:rPr>
          <w:color w:val="000000"/>
          <w:lang w:val="en-US"/>
        </w:rPr>
        <w:t>Following the March 2014 publication of </w:t>
      </w:r>
      <w:r w:rsidRPr="00A75E8F">
        <w:rPr>
          <w:i/>
          <w:iCs/>
          <w:color w:val="000000"/>
          <w:lang w:val="en-US"/>
        </w:rPr>
        <w:t>“</w:t>
      </w:r>
      <w:r w:rsidRPr="00343356">
        <w:rPr>
          <w:color w:val="000000"/>
          <w:lang w:val="en-US"/>
        </w:rPr>
        <w:t>preliminary</w:t>
      </w:r>
      <w:r w:rsidRPr="00A75E8F">
        <w:rPr>
          <w:i/>
          <w:iCs/>
          <w:color w:val="000000"/>
          <w:lang w:val="en-US"/>
        </w:rPr>
        <w:t>”</w:t>
      </w:r>
      <w:r w:rsidRPr="00A75E8F">
        <w:rPr>
          <w:color w:val="000000"/>
          <w:lang w:val="en-US"/>
        </w:rPr>
        <w:t xml:space="preserve"> GDP data in the 2004 </w:t>
      </w:r>
      <w:r w:rsidR="00851349">
        <w:rPr>
          <w:color w:val="000000"/>
          <w:lang w:val="en-US"/>
        </w:rPr>
        <w:t>YOBP</w:t>
      </w:r>
      <w:r w:rsidRPr="00A75E8F">
        <w:rPr>
          <w:color w:val="000000"/>
          <w:lang w:val="en-US"/>
        </w:rPr>
        <w:t>, further releases of</w:t>
      </w:r>
      <w:r w:rsidRPr="00A75E8F">
        <w:rPr>
          <w:i/>
          <w:iCs/>
          <w:color w:val="000000"/>
          <w:lang w:val="en-US"/>
        </w:rPr>
        <w:t> </w:t>
      </w:r>
      <w:r w:rsidRPr="00343356">
        <w:rPr>
          <w:color w:val="000000"/>
          <w:lang w:val="en-US"/>
        </w:rPr>
        <w:t>“provisional” and “provisory”</w:t>
      </w:r>
      <w:r w:rsidRPr="00A75E8F">
        <w:rPr>
          <w:color w:val="000000"/>
          <w:lang w:val="en-US"/>
        </w:rPr>
        <w:t> data were made in June and September 2014, as was customary in the Republic</w:t>
      </w:r>
      <w:r w:rsidR="00931320">
        <w:rPr>
          <w:color w:val="000000"/>
          <w:lang w:val="en-US"/>
        </w:rPr>
        <w:t>,</w:t>
      </w:r>
      <w:r w:rsidRPr="00A75E8F">
        <w:rPr>
          <w:color w:val="000000"/>
          <w:lang w:val="en-US"/>
        </w:rPr>
        <w:t xml:space="preserve"> following the rebasing. According to th</w:t>
      </w:r>
      <w:r w:rsidR="00606362">
        <w:rPr>
          <w:color w:val="000000"/>
          <w:lang w:val="en-US"/>
        </w:rPr>
        <w:t>ese</w:t>
      </w:r>
      <w:r w:rsidRPr="00A75E8F">
        <w:rPr>
          <w:color w:val="000000"/>
          <w:lang w:val="en-US"/>
        </w:rPr>
        <w:t xml:space="preserve"> data, GDP growth in 2013 in 2004 </w:t>
      </w:r>
      <w:r w:rsidR="00746139">
        <w:rPr>
          <w:color w:val="000000"/>
          <w:lang w:val="en-US"/>
        </w:rPr>
        <w:t xml:space="preserve">YOBP </w:t>
      </w:r>
      <w:r w:rsidRPr="00A75E8F">
        <w:rPr>
          <w:color w:val="000000"/>
          <w:lang w:val="en-US"/>
        </w:rPr>
        <w:t>was 2.93%. </w:t>
      </w:r>
    </w:p>
    <w:p w14:paraId="796A7592" w14:textId="3F947AA6" w:rsidR="00415B15" w:rsidRDefault="00D912B2" w:rsidP="00C662F9">
      <w:pPr>
        <w:pStyle w:val="paralevel10"/>
        <w:numPr>
          <w:ilvl w:val="0"/>
          <w:numId w:val="11"/>
        </w:numPr>
        <w:spacing w:before="240" w:beforeAutospacing="0" w:after="240" w:afterAutospacing="0"/>
        <w:ind w:left="454" w:hanging="454"/>
        <w:jc w:val="both"/>
        <w:rPr>
          <w:color w:val="000000"/>
          <w:lang w:val="en-US"/>
        </w:rPr>
      </w:pPr>
      <w:r>
        <w:rPr>
          <w:color w:val="000000"/>
        </w:rPr>
        <w:t xml:space="preserve">On 11 </w:t>
      </w:r>
      <w:r w:rsidR="00070F3A">
        <w:rPr>
          <w:color w:val="000000"/>
        </w:rPr>
        <w:t>D</w:t>
      </w:r>
      <w:r>
        <w:rPr>
          <w:color w:val="000000"/>
        </w:rPr>
        <w:t>ecember 2014</w:t>
      </w:r>
      <w:r w:rsidR="00070F3A">
        <w:rPr>
          <w:color w:val="000000"/>
        </w:rPr>
        <w:t xml:space="preserve">, </w:t>
      </w:r>
      <w:r w:rsidR="00E131D7">
        <w:rPr>
          <w:color w:val="000000"/>
        </w:rPr>
        <w:t>t</w:t>
      </w:r>
      <w:r w:rsidR="00213F7F">
        <w:rPr>
          <w:color w:val="000000"/>
        </w:rPr>
        <w:t xml:space="preserve">he Ministry of </w:t>
      </w:r>
      <w:r w:rsidR="00E131D7">
        <w:rPr>
          <w:color w:val="000000"/>
        </w:rPr>
        <w:t>E</w:t>
      </w:r>
      <w:r w:rsidR="00213F7F">
        <w:rPr>
          <w:color w:val="000000"/>
        </w:rPr>
        <w:t xml:space="preserve">conomy determined that no payment was due under the </w:t>
      </w:r>
      <w:r w:rsidR="009A3DC9">
        <w:rPr>
          <w:color w:val="000000"/>
        </w:rPr>
        <w:t>S</w:t>
      </w:r>
      <w:r w:rsidR="00213F7F">
        <w:rPr>
          <w:color w:val="000000"/>
        </w:rPr>
        <w:t xml:space="preserve">ecurities for </w:t>
      </w:r>
      <w:r w:rsidR="009A3DC9">
        <w:rPr>
          <w:color w:val="000000"/>
        </w:rPr>
        <w:t>R</w:t>
      </w:r>
      <w:r w:rsidR="00213F7F">
        <w:rPr>
          <w:color w:val="000000"/>
        </w:rPr>
        <w:t xml:space="preserve">eference </w:t>
      </w:r>
      <w:r w:rsidR="009A3DC9">
        <w:rPr>
          <w:color w:val="000000"/>
        </w:rPr>
        <w:t>Y</w:t>
      </w:r>
      <w:r w:rsidR="00213F7F">
        <w:rPr>
          <w:color w:val="000000"/>
        </w:rPr>
        <w:t>ear 2013</w:t>
      </w:r>
      <w:r w:rsidR="005D7A08">
        <w:rPr>
          <w:color w:val="000000"/>
        </w:rPr>
        <w:t>, formalised in a memorandum issued by the Office of Public Credit which stated that the Republic had</w:t>
      </w:r>
      <w:r w:rsidR="00BC07DF">
        <w:rPr>
          <w:color w:val="000000"/>
        </w:rPr>
        <w:t xml:space="preserve"> adopted a “one-off” adjustment </w:t>
      </w:r>
      <w:r w:rsidR="007E0137">
        <w:rPr>
          <w:color w:val="000000"/>
        </w:rPr>
        <w:t xml:space="preserve">to Base Case GDP.  This </w:t>
      </w:r>
      <w:r w:rsidR="0091322B">
        <w:rPr>
          <w:color w:val="000000"/>
        </w:rPr>
        <w:t xml:space="preserve">gave a </w:t>
      </w:r>
      <w:r w:rsidR="00BC07DF">
        <w:rPr>
          <w:color w:val="000000"/>
        </w:rPr>
        <w:t>Base Case GDP</w:t>
      </w:r>
      <w:r w:rsidR="00832F26">
        <w:rPr>
          <w:color w:val="000000"/>
        </w:rPr>
        <w:t xml:space="preserve"> growth rate of 3.22% for</w:t>
      </w:r>
      <w:r w:rsidR="00BB1946">
        <w:rPr>
          <w:color w:val="000000"/>
        </w:rPr>
        <w:t xml:space="preserve"> 2013, which was greater than </w:t>
      </w:r>
      <w:r w:rsidR="00993487">
        <w:rPr>
          <w:color w:val="000000"/>
        </w:rPr>
        <w:t xml:space="preserve">the growth rate in </w:t>
      </w:r>
      <w:r w:rsidR="00BB1946">
        <w:rPr>
          <w:color w:val="000000"/>
        </w:rPr>
        <w:t>Actual Real GDP for the year of 2.93%</w:t>
      </w:r>
      <w:r w:rsidR="00DA2ADD">
        <w:rPr>
          <w:color w:val="000000"/>
        </w:rPr>
        <w:t xml:space="preserve">.  On 15 </w:t>
      </w:r>
      <w:r w:rsidR="00E131D7">
        <w:rPr>
          <w:color w:val="000000"/>
        </w:rPr>
        <w:t>D</w:t>
      </w:r>
      <w:r w:rsidR="00DA2ADD">
        <w:rPr>
          <w:color w:val="000000"/>
        </w:rPr>
        <w:t xml:space="preserve">ecember </w:t>
      </w:r>
      <w:r w:rsidR="00E131D7">
        <w:rPr>
          <w:color w:val="000000"/>
        </w:rPr>
        <w:t xml:space="preserve">2014 </w:t>
      </w:r>
      <w:r w:rsidR="00DA2ADD">
        <w:rPr>
          <w:color w:val="000000"/>
        </w:rPr>
        <w:t xml:space="preserve">the Republic announced that no payment would be made under the </w:t>
      </w:r>
      <w:r w:rsidR="009A3DC9">
        <w:rPr>
          <w:color w:val="000000"/>
        </w:rPr>
        <w:t>S</w:t>
      </w:r>
      <w:r w:rsidR="00DA2ADD">
        <w:rPr>
          <w:color w:val="000000"/>
        </w:rPr>
        <w:t xml:space="preserve">ecurities.  </w:t>
      </w:r>
      <w:r w:rsidR="00E131D7">
        <w:rPr>
          <w:color w:val="000000"/>
        </w:rPr>
        <w:t xml:space="preserve">Further revisions to 2013 GDP in 2004 YOBP were made in 2016 reducing </w:t>
      </w:r>
      <w:r w:rsidR="00F84AA5">
        <w:rPr>
          <w:color w:val="000000"/>
        </w:rPr>
        <w:t xml:space="preserve">the growth rate </w:t>
      </w:r>
      <w:r w:rsidR="00E131D7">
        <w:rPr>
          <w:color w:val="000000"/>
        </w:rPr>
        <w:t>to 2.3%.</w:t>
      </w:r>
    </w:p>
    <w:p w14:paraId="6AB004F0" w14:textId="157548BF" w:rsidR="00B56C5C" w:rsidRDefault="00B56C5C" w:rsidP="00C662F9">
      <w:pPr>
        <w:pStyle w:val="paralevel10"/>
        <w:numPr>
          <w:ilvl w:val="0"/>
          <w:numId w:val="11"/>
        </w:numPr>
        <w:spacing w:before="240" w:beforeAutospacing="0" w:after="240" w:afterAutospacing="0"/>
        <w:ind w:left="454" w:hanging="454"/>
        <w:jc w:val="both"/>
        <w:rPr>
          <w:color w:val="000000"/>
          <w:lang w:val="en-US"/>
        </w:rPr>
      </w:pPr>
      <w:r w:rsidRPr="00415B15">
        <w:rPr>
          <w:color w:val="000000"/>
          <w:lang w:val="en-US"/>
        </w:rPr>
        <w:t xml:space="preserve">Once INDEC had adopted </w:t>
      </w:r>
      <w:r w:rsidR="006D5D53">
        <w:rPr>
          <w:color w:val="000000"/>
          <w:lang w:val="en-US"/>
        </w:rPr>
        <w:t xml:space="preserve">the </w:t>
      </w:r>
      <w:r w:rsidRPr="00415B15">
        <w:rPr>
          <w:color w:val="000000"/>
          <w:lang w:val="en-US"/>
        </w:rPr>
        <w:t xml:space="preserve">new base year, it ceased measuring or publishing GDP data in 1993 </w:t>
      </w:r>
      <w:r w:rsidR="00746139">
        <w:rPr>
          <w:color w:val="000000"/>
          <w:lang w:val="en-US"/>
        </w:rPr>
        <w:t>YOBP</w:t>
      </w:r>
      <w:r w:rsidR="00D15D5E" w:rsidRPr="00415B15">
        <w:rPr>
          <w:color w:val="000000"/>
          <w:lang w:val="en-US"/>
        </w:rPr>
        <w:t xml:space="preserve">, following what the Judge described as </w:t>
      </w:r>
      <w:r w:rsidRPr="00415B15">
        <w:rPr>
          <w:color w:val="000000"/>
          <w:lang w:val="en-US"/>
        </w:rPr>
        <w:t>standard international practice.</w:t>
      </w:r>
      <w:r w:rsidR="005E0139">
        <w:rPr>
          <w:color w:val="000000"/>
          <w:lang w:val="en-US"/>
        </w:rPr>
        <w:t xml:space="preserve"> </w:t>
      </w:r>
      <w:r w:rsidRPr="00415B15">
        <w:rPr>
          <w:color w:val="000000"/>
          <w:lang w:val="en-US"/>
        </w:rPr>
        <w:t> </w:t>
      </w:r>
      <w:r w:rsidR="006D5D53">
        <w:rPr>
          <w:color w:val="000000"/>
          <w:lang w:val="en-US"/>
        </w:rPr>
        <w:t xml:space="preserve">It did not publish fourth quarter GDP figures for </w:t>
      </w:r>
      <w:r w:rsidR="00A33C78">
        <w:rPr>
          <w:color w:val="000000"/>
          <w:lang w:val="en-US"/>
        </w:rPr>
        <w:t xml:space="preserve">2013 in 1993 YOBP, although they were available, nor any full year 2013 GDP figures in 1993 YOBP.  </w:t>
      </w:r>
      <w:r w:rsidRPr="00415B15">
        <w:rPr>
          <w:color w:val="000000"/>
          <w:lang w:val="en-US"/>
        </w:rPr>
        <w:t xml:space="preserve">The last </w:t>
      </w:r>
      <w:r w:rsidR="00303670">
        <w:rPr>
          <w:color w:val="000000"/>
          <w:lang w:val="en-US"/>
        </w:rPr>
        <w:t xml:space="preserve">full </w:t>
      </w:r>
      <w:r w:rsidRPr="00415B15">
        <w:rPr>
          <w:color w:val="000000"/>
          <w:lang w:val="en-US"/>
        </w:rPr>
        <w:t xml:space="preserve">year for which GDP in 1993 </w:t>
      </w:r>
      <w:r w:rsidR="00665420">
        <w:rPr>
          <w:color w:val="000000"/>
          <w:lang w:val="en-US"/>
        </w:rPr>
        <w:t xml:space="preserve">YOBP </w:t>
      </w:r>
      <w:r w:rsidR="00303670">
        <w:rPr>
          <w:color w:val="000000"/>
          <w:lang w:val="en-US"/>
        </w:rPr>
        <w:t xml:space="preserve">was published by INDEC was </w:t>
      </w:r>
      <w:r w:rsidRPr="00415B15">
        <w:rPr>
          <w:color w:val="000000"/>
          <w:lang w:val="en-US"/>
        </w:rPr>
        <w:t>2012.</w:t>
      </w:r>
    </w:p>
    <w:p w14:paraId="5E3D741A" w14:textId="333D73E9" w:rsidR="00D81985" w:rsidRPr="00D81985" w:rsidRDefault="00D81985" w:rsidP="00C7371D">
      <w:pPr>
        <w:pStyle w:val="paralevel10"/>
        <w:spacing w:before="240" w:beforeAutospacing="0" w:after="240" w:afterAutospacing="0"/>
        <w:jc w:val="both"/>
        <w:rPr>
          <w:b/>
          <w:bCs/>
          <w:color w:val="000000"/>
          <w:lang w:val="en-US"/>
        </w:rPr>
      </w:pPr>
      <w:r w:rsidRPr="00D81985">
        <w:rPr>
          <w:b/>
          <w:bCs/>
          <w:color w:val="000000"/>
          <w:lang w:val="en-US"/>
        </w:rPr>
        <w:t xml:space="preserve">The </w:t>
      </w:r>
      <w:r w:rsidR="00171398">
        <w:rPr>
          <w:b/>
          <w:bCs/>
          <w:color w:val="000000"/>
          <w:lang w:val="en-US"/>
        </w:rPr>
        <w:t>a</w:t>
      </w:r>
      <w:r w:rsidRPr="00D81985">
        <w:rPr>
          <w:b/>
          <w:bCs/>
          <w:color w:val="000000"/>
          <w:lang w:val="en-US"/>
        </w:rPr>
        <w:t>rguments in outline</w:t>
      </w:r>
    </w:p>
    <w:p w14:paraId="3689F97C" w14:textId="32FFCB57" w:rsidR="00D81985" w:rsidRDefault="00D81985" w:rsidP="00C662F9">
      <w:pPr>
        <w:pStyle w:val="ParaLevel1"/>
        <w:numPr>
          <w:ilvl w:val="0"/>
          <w:numId w:val="11"/>
        </w:numPr>
        <w:ind w:left="454" w:hanging="454"/>
      </w:pPr>
      <w:r>
        <w:t>The construction of the Adjust</w:t>
      </w:r>
      <w:r w:rsidR="002936DB">
        <w:t>m</w:t>
      </w:r>
      <w:r>
        <w:t xml:space="preserve">ent Provision is the issue in the appeal.  The Claimants contend that for each </w:t>
      </w:r>
      <w:r w:rsidRPr="007026A4">
        <w:rPr>
          <w:i/>
          <w:iCs/>
        </w:rPr>
        <w:t>Reference Year</w:t>
      </w:r>
      <w:r>
        <w:t xml:space="preserve"> in which 1993 is no longer used as the YOBP for real GDP published by </w:t>
      </w:r>
      <w:r w:rsidR="00171398">
        <w:t>INDEC</w:t>
      </w:r>
      <w:r>
        <w:t xml:space="preserve">, there is to be an annual adjustment to the figures in the </w:t>
      </w:r>
      <w:r w:rsidR="00FD272A">
        <w:t xml:space="preserve">Base Case GDP </w:t>
      </w:r>
      <w:r>
        <w:t xml:space="preserve">chart applying the fraction set out in the Adjustment Provision.  This will produce a different set of figures for the chart upon each annual adjustment because the use of </w:t>
      </w:r>
      <w:r w:rsidRPr="007026A4">
        <w:rPr>
          <w:i/>
          <w:iCs/>
        </w:rPr>
        <w:t xml:space="preserve">Actual </w:t>
      </w:r>
      <w:r>
        <w:rPr>
          <w:i/>
          <w:iCs/>
        </w:rPr>
        <w:t>R</w:t>
      </w:r>
      <w:r w:rsidRPr="007026A4">
        <w:rPr>
          <w:i/>
          <w:iCs/>
        </w:rPr>
        <w:t>eal GDP</w:t>
      </w:r>
      <w:r>
        <w:t xml:space="preserve"> in both the numerator and denominator means that the fraction will vary according to the real GDP </w:t>
      </w:r>
      <w:r w:rsidR="00FD272A">
        <w:t>measured</w:t>
      </w:r>
      <w:r>
        <w:t xml:space="preserve"> each year.  </w:t>
      </w:r>
      <w:r w:rsidR="006F615B">
        <w:t xml:space="preserve">This was referred to by the </w:t>
      </w:r>
      <w:r w:rsidR="006F615B">
        <w:lastRenderedPageBreak/>
        <w:t xml:space="preserve">parties and the Judge as </w:t>
      </w:r>
      <w:r>
        <w:t xml:space="preserve">‘the Annual Adjustment </w:t>
      </w:r>
      <w:r w:rsidR="00FD272A">
        <w:t>c</w:t>
      </w:r>
      <w:r>
        <w:t>onstruction’.  It requires data to be available</w:t>
      </w:r>
      <w:r w:rsidR="00302C15">
        <w:t>,</w:t>
      </w:r>
      <w:r>
        <w:t xml:space="preserve"> for the lifetime of the Securities</w:t>
      </w:r>
      <w:r w:rsidR="00302C15">
        <w:t>,</w:t>
      </w:r>
      <w:r>
        <w:t xml:space="preserve"> which measures </w:t>
      </w:r>
      <w:r w:rsidR="00302C15">
        <w:t xml:space="preserve">real </w:t>
      </w:r>
      <w:r>
        <w:t xml:space="preserve">GDP in 1993 constant prices as well as the real GDP published using a rebased YOBP.  The Claimants contend that there is an implied term that the Republic will publish such 1993 basis GDP data, as necessary in order to make the Adjustment Provision operable in accordance with its express language. </w:t>
      </w:r>
    </w:p>
    <w:p w14:paraId="6634C803" w14:textId="74E9171F" w:rsidR="00D81985" w:rsidRDefault="00D81985" w:rsidP="00C662F9">
      <w:pPr>
        <w:pStyle w:val="ParaLevel1"/>
        <w:numPr>
          <w:ilvl w:val="0"/>
          <w:numId w:val="11"/>
        </w:numPr>
        <w:ind w:left="454" w:hanging="454"/>
      </w:pPr>
      <w:r>
        <w:t>The Republic contends that upon a rebasing, there is a one</w:t>
      </w:r>
      <w:r w:rsidR="0056364A">
        <w:t>-</w:t>
      </w:r>
      <w:r>
        <w:t xml:space="preserve">off adjustment to the </w:t>
      </w:r>
      <w:r w:rsidR="0022055C">
        <w:t xml:space="preserve">Base Case GDP </w:t>
      </w:r>
      <w:r>
        <w:t xml:space="preserve">chart figures, adjusting the figure for each </w:t>
      </w:r>
      <w:r w:rsidRPr="003C6A77">
        <w:rPr>
          <w:i/>
          <w:iCs/>
        </w:rPr>
        <w:t>Reference Year</w:t>
      </w:r>
      <w:r>
        <w:t xml:space="preserve"> by the fixed fraction expressed in the Adjustment Provision. Those figures then remain unchanged for following years, unless and until there is second or subsequent rebasing, in which case there is a further one</w:t>
      </w:r>
      <w:r w:rsidR="0056364A">
        <w:t>-</w:t>
      </w:r>
      <w:r>
        <w:t xml:space="preserve">off adjustment in the first year of each subsequent rebasing.  The </w:t>
      </w:r>
      <w:r w:rsidR="00795B21">
        <w:t xml:space="preserve">fraction is applied </w:t>
      </w:r>
      <w:r w:rsidR="00165506">
        <w:t>using the Actu</w:t>
      </w:r>
      <w:r w:rsidR="00736DC5">
        <w:t>a</w:t>
      </w:r>
      <w:r w:rsidR="00165506">
        <w:t xml:space="preserve">l Real GDP not from </w:t>
      </w:r>
      <w:r w:rsidR="00795B21">
        <w:t>the first ne</w:t>
      </w:r>
      <w:r w:rsidR="00681909">
        <w:t>w</w:t>
      </w:r>
      <w:r w:rsidR="00795B21">
        <w:t xml:space="preserve"> YOBP year </w:t>
      </w:r>
      <w:r w:rsidR="00A65A28">
        <w:t xml:space="preserve">(2013 </w:t>
      </w:r>
      <w:r w:rsidR="002E02A7">
        <w:t>in</w:t>
      </w:r>
      <w:r w:rsidR="00A65A28">
        <w:t xml:space="preserve"> this case) </w:t>
      </w:r>
      <w:r w:rsidR="00795B21">
        <w:t xml:space="preserve">but </w:t>
      </w:r>
      <w:r w:rsidR="00D14128">
        <w:t>the Actual Real GDP in the previous year, the Overlap Y</w:t>
      </w:r>
      <w:r w:rsidR="002E02A7">
        <w:t xml:space="preserve">ear (2012 in this case).  </w:t>
      </w:r>
      <w:r w:rsidR="00681909">
        <w:t xml:space="preserve">The </w:t>
      </w:r>
      <w:r>
        <w:t xml:space="preserve">effect of such adjustment is that whilst the figures themselves are amended once on each rebasing, the growth rates in the chart are preserved, tapering to 3% from 2015.  This, it is said, preserves the base case as a benchmark and the growth rate which it was intended would have to be surpassed in order for a payment to become due.  </w:t>
      </w:r>
      <w:r w:rsidR="006F615B">
        <w:t xml:space="preserve">This was referred to by the parties and the Judge as </w:t>
      </w:r>
      <w:r>
        <w:t>the ‘One</w:t>
      </w:r>
      <w:r w:rsidR="00281D64">
        <w:t>-</w:t>
      </w:r>
      <w:r>
        <w:t xml:space="preserve">Off </w:t>
      </w:r>
      <w:r w:rsidR="00DF39A0">
        <w:t>c</w:t>
      </w:r>
      <w:r>
        <w:t xml:space="preserve">onstruction’.  This </w:t>
      </w:r>
      <w:r w:rsidR="00111C50">
        <w:t>is said to arise</w:t>
      </w:r>
      <w:r>
        <w:t xml:space="preserve"> as a matter of construction of the words used in their context having regard to the economic and commercial consequences of the rival constructions.  Alternatively, the Republic argues, the words should be corrected to give it that meaning by the principle of correction of mistakes by interpretation recognised and applied in</w:t>
      </w:r>
      <w:r w:rsidR="007C4ADB" w:rsidRPr="007C4ADB">
        <w:rPr>
          <w:i/>
          <w:iCs/>
          <w:color w:val="000000"/>
          <w:szCs w:val="24"/>
        </w:rPr>
        <w:t xml:space="preserve"> </w:t>
      </w:r>
      <w:r w:rsidR="007C4ADB" w:rsidRPr="0074530E">
        <w:rPr>
          <w:i/>
          <w:iCs/>
          <w:color w:val="000000"/>
          <w:szCs w:val="24"/>
        </w:rPr>
        <w:t>Chartbrook Ltd v Persimmon Homes Ltd</w:t>
      </w:r>
      <w:r w:rsidR="007C4ADB" w:rsidRPr="0074530E">
        <w:rPr>
          <w:color w:val="000000"/>
          <w:szCs w:val="24"/>
        </w:rPr>
        <w:t> </w:t>
      </w:r>
      <w:r w:rsidR="007C4ADB" w:rsidRPr="0074530E">
        <w:rPr>
          <w:szCs w:val="24"/>
        </w:rPr>
        <w:t>[2009] 1 AC 1101</w:t>
      </w:r>
      <w:r>
        <w:t xml:space="preserve"> (</w:t>
      </w:r>
      <w:r w:rsidR="0058356E">
        <w:t xml:space="preserve">‘the </w:t>
      </w:r>
      <w:r w:rsidR="0058356E" w:rsidRPr="007C4ADB">
        <w:rPr>
          <w:i/>
          <w:iCs/>
        </w:rPr>
        <w:t>Chartbrook</w:t>
      </w:r>
      <w:r w:rsidR="0058356E" w:rsidRPr="0058356E">
        <w:rPr>
          <w:i/>
          <w:iCs/>
        </w:rPr>
        <w:t xml:space="preserve"> </w:t>
      </w:r>
      <w:r w:rsidR="0058356E">
        <w:t>principle’).</w:t>
      </w:r>
    </w:p>
    <w:p w14:paraId="27CD90D3" w14:textId="77777777" w:rsidR="00681909" w:rsidRDefault="00681909" w:rsidP="00C662F9">
      <w:pPr>
        <w:pStyle w:val="paralevel10"/>
        <w:numPr>
          <w:ilvl w:val="0"/>
          <w:numId w:val="11"/>
        </w:numPr>
        <w:spacing w:before="240" w:beforeAutospacing="0" w:after="240" w:afterAutospacing="0"/>
        <w:ind w:left="454" w:hanging="454"/>
        <w:jc w:val="both"/>
        <w:rPr>
          <w:color w:val="000000"/>
          <w:lang w:val="en-US"/>
        </w:rPr>
      </w:pPr>
      <w:r>
        <w:rPr>
          <w:color w:val="000000"/>
          <w:lang w:val="en-US"/>
        </w:rPr>
        <w:t xml:space="preserve">For the purposes of the </w:t>
      </w:r>
      <w:r w:rsidRPr="007C4ADB">
        <w:rPr>
          <w:i/>
          <w:iCs/>
          <w:color w:val="000000"/>
          <w:lang w:val="en-US"/>
        </w:rPr>
        <w:t>Chartbrook</w:t>
      </w:r>
      <w:r>
        <w:rPr>
          <w:color w:val="000000"/>
          <w:lang w:val="en-US"/>
        </w:rPr>
        <w:t xml:space="preserve"> principle argument, the Republic pleaded that the wording should be corrected so as to read as follows:</w:t>
      </w:r>
    </w:p>
    <w:p w14:paraId="02E533F7" w14:textId="77777777" w:rsidR="00681909" w:rsidRDefault="00681909" w:rsidP="00C7371D">
      <w:pPr>
        <w:pStyle w:val="paralevel10"/>
        <w:spacing w:before="240" w:beforeAutospacing="0" w:after="240" w:afterAutospacing="0"/>
        <w:ind w:left="1134"/>
        <w:jc w:val="both"/>
        <w:rPr>
          <w:color w:val="000000"/>
          <w:lang w:val="en-US"/>
        </w:rPr>
      </w:pPr>
      <w:r w:rsidRPr="00592691">
        <w:rPr>
          <w:color w:val="000000"/>
          <w:lang w:val="en-US"/>
        </w:rPr>
        <w:t>“… provided that, if the Year of Base Prices employed by INDEC for determining Actual Real GDP shall at any time be a calendar year other than the year 1993, then the Base Case GDP for each Reference Year shall be adjusted to reflect any such change in the Year of Base Prices by multiplying the Base Case GDP for such Reference Year (as set forth in chart above</w:t>
      </w:r>
      <w:r w:rsidRPr="00A11AA4">
        <w:rPr>
          <w:b/>
          <w:bCs/>
          <w:color w:val="000000"/>
          <w:u w:val="single"/>
          <w:lang w:val="en-US"/>
        </w:rPr>
        <w:t>, or as previously adjusted</w:t>
      </w:r>
      <w:r w:rsidRPr="00592691">
        <w:rPr>
          <w:color w:val="000000"/>
          <w:lang w:val="en-US"/>
        </w:rPr>
        <w:t xml:space="preserve">) by a fraction, </w:t>
      </w:r>
      <w:r w:rsidRPr="00A11AA4">
        <w:rPr>
          <w:b/>
          <w:bCs/>
          <w:color w:val="000000"/>
          <w:u w:val="single"/>
          <w:lang w:val="en-US"/>
        </w:rPr>
        <w:t>calculated for the last Reference Year for which official INDEC data is available</w:t>
      </w:r>
      <w:r w:rsidRPr="00592691">
        <w:rPr>
          <w:color w:val="000000"/>
          <w:lang w:val="en-US"/>
        </w:rPr>
        <w:t xml:space="preserve">, the numerator of which shall be the Actual Real GDP for such Reference Year measured in constant prices of the Year of Base Prices, and the denominator of which shall be the Actual Real GDP for such Reference Year measured in constant 1993 prices </w:t>
      </w:r>
      <w:r w:rsidRPr="00A11AA4">
        <w:rPr>
          <w:b/>
          <w:bCs/>
          <w:color w:val="000000"/>
          <w:u w:val="single"/>
          <w:lang w:val="en-US"/>
        </w:rPr>
        <w:t>(or, if INDEC has effected more than one change, the previous Year of Base Prices)</w:t>
      </w:r>
      <w:r w:rsidRPr="00592691">
        <w:rPr>
          <w:color w:val="000000"/>
          <w:lang w:val="en-US"/>
        </w:rPr>
        <w:t>.”</w:t>
      </w:r>
    </w:p>
    <w:p w14:paraId="19AAA52E" w14:textId="7D79DE6F" w:rsidR="00D81985" w:rsidRPr="00281D64" w:rsidRDefault="00D81985" w:rsidP="00C662F9">
      <w:pPr>
        <w:pStyle w:val="ParaLevel1"/>
        <w:numPr>
          <w:ilvl w:val="0"/>
          <w:numId w:val="11"/>
        </w:numPr>
        <w:ind w:left="454" w:hanging="454"/>
      </w:pPr>
      <w:r>
        <w:t>The Republic has a fall back argument</w:t>
      </w:r>
      <w:r w:rsidR="007C4ADB">
        <w:t xml:space="preserve">, which is </w:t>
      </w:r>
      <w:r>
        <w:t xml:space="preserve">that if the Claimants are right in their case that the provision involves annual adjustments, the Claimants have nevertheless used the wrong denominator in the fraction.  It is not GDP in 1993 YOBP, but rather GDP in 2004 YOBP to which there should be applied a price deflator in accordance with a formula proposed by its expert </w:t>
      </w:r>
      <w:r w:rsidR="00514A3F">
        <w:t>Professor</w:t>
      </w:r>
      <w:r>
        <w:t xml:space="preserve"> Hubbard.  This was referred to as the ‘Hubbard Deflator construction</w:t>
      </w:r>
      <w:r w:rsidR="007C4ADB">
        <w:t>’</w:t>
      </w:r>
      <w:r>
        <w:t>.</w:t>
      </w:r>
      <w:bookmarkStart w:id="2" w:name="_Hlk167445495"/>
      <w:r w:rsidR="00281D64">
        <w:t xml:space="preserve">  </w:t>
      </w:r>
      <w:r w:rsidR="008B77F3" w:rsidRPr="00281D64">
        <w:rPr>
          <w:color w:val="000000"/>
          <w:lang w:val="en-US"/>
        </w:rPr>
        <w:t xml:space="preserve">For the purposes of </w:t>
      </w:r>
      <w:r w:rsidR="00DB4C33" w:rsidRPr="00281D64">
        <w:rPr>
          <w:color w:val="000000"/>
          <w:lang w:val="en-US"/>
        </w:rPr>
        <w:t xml:space="preserve">its alternative </w:t>
      </w:r>
      <w:r w:rsidR="008B77F3" w:rsidRPr="00281D64">
        <w:rPr>
          <w:i/>
          <w:iCs/>
          <w:color w:val="000000"/>
          <w:lang w:val="en-US"/>
        </w:rPr>
        <w:t>Chartbrook</w:t>
      </w:r>
      <w:r w:rsidR="008B77F3" w:rsidRPr="00281D64">
        <w:rPr>
          <w:color w:val="000000"/>
          <w:lang w:val="en-US"/>
        </w:rPr>
        <w:t xml:space="preserve"> principle argument, the Republ</w:t>
      </w:r>
      <w:r w:rsidR="00F27685" w:rsidRPr="00281D64">
        <w:rPr>
          <w:color w:val="000000"/>
          <w:lang w:val="en-US"/>
        </w:rPr>
        <w:t>ic pleaded that the wording should be corrected so as to read as follows:</w:t>
      </w:r>
    </w:p>
    <w:p w14:paraId="589269F2" w14:textId="6D8FA7C8" w:rsidR="00ED11A4" w:rsidRPr="00415B15" w:rsidRDefault="006B2D56" w:rsidP="00C7371D">
      <w:pPr>
        <w:pStyle w:val="paralevel10"/>
        <w:spacing w:before="240" w:after="240"/>
        <w:ind w:left="1134"/>
        <w:rPr>
          <w:color w:val="000000"/>
          <w:lang w:val="en-US"/>
        </w:rPr>
      </w:pPr>
      <w:r>
        <w:rPr>
          <w:i/>
          <w:iCs/>
          <w:color w:val="000000"/>
        </w:rPr>
        <w:br/>
        <w:t xml:space="preserve">“... provided that, if the Year of Base Prices employed by INDEC for determining Actual Real UDF shall at any time be a calendar year other than the year 1993, </w:t>
      </w:r>
      <w:r>
        <w:rPr>
          <w:i/>
          <w:iCs/>
          <w:color w:val="000000"/>
        </w:rPr>
        <w:lastRenderedPageBreak/>
        <w:t>then the Base Case GDP for each Reference Year shall be adjusted to reflect any such change in the Year of Base Prices by multiplying the Base Case GDP for such Reference Year (as set forth in chart above) by a fraction, the numerator of which shall be the Actual Real GDP for such Reference Year measured in constant prices of the Year of Base Prices, and the denominator of which shall be the Actual Real GDP for such Reference Year measured </w:t>
      </w:r>
      <w:r w:rsidRPr="00296A20">
        <w:rPr>
          <w:b/>
          <w:bCs/>
          <w:i/>
          <w:iCs/>
          <w:strike/>
          <w:color w:val="000000"/>
          <w:u w:val="single"/>
        </w:rPr>
        <w:t>in constant 1993 prices</w:t>
      </w:r>
      <w:r w:rsidRPr="00296A20">
        <w:rPr>
          <w:b/>
          <w:bCs/>
          <w:i/>
          <w:iCs/>
          <w:color w:val="000000"/>
          <w:u w:val="single"/>
        </w:rPr>
        <w:t> [in the new Year of Base Prices as published by INDEC, adjusted for inflation from pesos in the new Year of Base Prices to 1993 pesos using the INDEC-published deflator from 1993 to the new Year of Base Prices.]</w:t>
      </w:r>
      <w:r w:rsidRPr="00296A20">
        <w:rPr>
          <w:b/>
          <w:bCs/>
          <w:i/>
          <w:iCs/>
          <w:color w:val="000000"/>
        </w:rPr>
        <w:t>.</w:t>
      </w:r>
      <w:r>
        <w:rPr>
          <w:i/>
          <w:iCs/>
          <w:color w:val="000000"/>
        </w:rPr>
        <w:t>”</w:t>
      </w:r>
      <w:bookmarkEnd w:id="2"/>
    </w:p>
    <w:p w14:paraId="54E7C6E5" w14:textId="2D061B8C" w:rsidR="003840F6" w:rsidRPr="00575748" w:rsidRDefault="003840F6" w:rsidP="00C7371D">
      <w:pPr>
        <w:pStyle w:val="ParaLevel1"/>
        <w:numPr>
          <w:ilvl w:val="0"/>
          <w:numId w:val="0"/>
        </w:numPr>
        <w:rPr>
          <w:b/>
          <w:bCs/>
        </w:rPr>
      </w:pPr>
      <w:r w:rsidRPr="00575748">
        <w:rPr>
          <w:b/>
          <w:bCs/>
        </w:rPr>
        <w:t>The Judgment</w:t>
      </w:r>
    </w:p>
    <w:p w14:paraId="2E702248" w14:textId="4223177B" w:rsidR="00061C30" w:rsidRDefault="00AC71CE" w:rsidP="00C662F9">
      <w:pPr>
        <w:pStyle w:val="ParaLevel1"/>
        <w:numPr>
          <w:ilvl w:val="0"/>
          <w:numId w:val="11"/>
        </w:numPr>
        <w:ind w:left="454" w:hanging="454"/>
      </w:pPr>
      <w:r>
        <w:t xml:space="preserve">In a </w:t>
      </w:r>
      <w:r w:rsidR="00281D64">
        <w:t xml:space="preserve">full and </w:t>
      </w:r>
      <w:r>
        <w:t>careful</w:t>
      </w:r>
      <w:r w:rsidR="00DF7A94">
        <w:t xml:space="preserve">ly reasoned </w:t>
      </w:r>
      <w:r>
        <w:t>judgment, the Judge</w:t>
      </w:r>
      <w:r w:rsidR="006877E6">
        <w:t xml:space="preserve"> </w:t>
      </w:r>
      <w:r w:rsidR="002B0ACF">
        <w:t>summarised the relevant principles of construction</w:t>
      </w:r>
      <w:r w:rsidR="00F30FC9">
        <w:t xml:space="preserve"> </w:t>
      </w:r>
      <w:r w:rsidR="008262EC">
        <w:t xml:space="preserve">in two respects.  </w:t>
      </w:r>
      <w:r w:rsidR="00F30FC9">
        <w:t xml:space="preserve">The first, which applied to the </w:t>
      </w:r>
      <w:r w:rsidR="00FF6488">
        <w:t>primary way in which the Re</w:t>
      </w:r>
      <w:r w:rsidR="00C65B29">
        <w:t>public</w:t>
      </w:r>
      <w:r w:rsidR="00FF6488">
        <w:t xml:space="preserve"> put its case, was </w:t>
      </w:r>
      <w:r w:rsidR="002B0ACF">
        <w:t xml:space="preserve">the iterative process involved </w:t>
      </w:r>
      <w:r w:rsidR="00005342">
        <w:t xml:space="preserve">in </w:t>
      </w:r>
      <w:r w:rsidR="002B0ACF">
        <w:t>ascertaining the meaning of the words used by reference to the</w:t>
      </w:r>
      <w:r w:rsidR="00307A91">
        <w:t xml:space="preserve"> background context reasonably available to the parties and the </w:t>
      </w:r>
      <w:r w:rsidR="00AA40AD">
        <w:t>economic and commercial consequences of the rival construction</w:t>
      </w:r>
      <w:r w:rsidR="00AD6BBF">
        <w:t xml:space="preserve">s.  The second </w:t>
      </w:r>
      <w:r w:rsidR="007039DB">
        <w:t xml:space="preserve">was in respect of the </w:t>
      </w:r>
      <w:r w:rsidR="004D1201" w:rsidRPr="007D4C5D">
        <w:rPr>
          <w:i/>
          <w:iCs/>
        </w:rPr>
        <w:t xml:space="preserve">Chartbrook </w:t>
      </w:r>
      <w:r w:rsidR="004D1201">
        <w:t xml:space="preserve">principle.  No criticism </w:t>
      </w:r>
      <w:r w:rsidR="00985F24">
        <w:t>is made by either side of th</w:t>
      </w:r>
      <w:r w:rsidR="00A608F8">
        <w:t xml:space="preserve">at part of the </w:t>
      </w:r>
      <w:r w:rsidR="001F6CE9">
        <w:t>j</w:t>
      </w:r>
      <w:r w:rsidR="00A608F8">
        <w:t xml:space="preserve">udgment identifying the applicable principles.  </w:t>
      </w:r>
      <w:r w:rsidR="00227FDD">
        <w:t>Rather</w:t>
      </w:r>
      <w:r w:rsidR="001F6CE9">
        <w:t>,</w:t>
      </w:r>
      <w:r w:rsidR="00227FDD">
        <w:t xml:space="preserve"> the Republic contends that the Judge erred in the application of the principles</w:t>
      </w:r>
      <w:r w:rsidR="007D4C5D">
        <w:t>,</w:t>
      </w:r>
      <w:r w:rsidR="00227FDD">
        <w:t xml:space="preserve"> </w:t>
      </w:r>
      <w:r w:rsidR="0096121F">
        <w:t>in particular because the Judge failed to</w:t>
      </w:r>
      <w:r w:rsidR="0017051B">
        <w:t xml:space="preserve"> take </w:t>
      </w:r>
      <w:r w:rsidR="007D4C5D">
        <w:t xml:space="preserve">proper and </w:t>
      </w:r>
      <w:r w:rsidR="0017051B">
        <w:t xml:space="preserve">sufficient account of the commercial and economic consequences of the </w:t>
      </w:r>
      <w:r w:rsidR="007D4C5D">
        <w:t xml:space="preserve">rival arguments.  </w:t>
      </w:r>
      <w:r w:rsidR="00DB655F">
        <w:t xml:space="preserve">One aspect of this criticism is that the Judge dealt in detail with these aspects of the Republic’s case in the section of the </w:t>
      </w:r>
      <w:r w:rsidR="00F5780D">
        <w:t xml:space="preserve">Judgment dealing with the </w:t>
      </w:r>
      <w:r w:rsidR="00F5780D" w:rsidRPr="007D4C5D">
        <w:rPr>
          <w:i/>
          <w:iCs/>
        </w:rPr>
        <w:t>Chartbrook</w:t>
      </w:r>
      <w:r w:rsidR="00F5780D">
        <w:t xml:space="preserve"> principle and so </w:t>
      </w:r>
      <w:r w:rsidR="009103CD">
        <w:t xml:space="preserve">could be seen not to have </w:t>
      </w:r>
      <w:r w:rsidR="00F5780D">
        <w:t xml:space="preserve">properly taken them into account in the iterative process </w:t>
      </w:r>
      <w:r w:rsidR="003A7613">
        <w:t xml:space="preserve">applicable to the primary construction argument.  </w:t>
      </w:r>
      <w:r w:rsidR="00F5780D">
        <w:t xml:space="preserve">This seems to me an </w:t>
      </w:r>
      <w:r w:rsidR="00663277">
        <w:t xml:space="preserve">unfair criticism </w:t>
      </w:r>
      <w:r w:rsidR="001F6CE9">
        <w:t xml:space="preserve">which </w:t>
      </w:r>
      <w:r w:rsidR="00663277">
        <w:t xml:space="preserve">puts form above substance.  </w:t>
      </w:r>
      <w:r w:rsidR="00F5780D">
        <w:t xml:space="preserve">Although the Judge’s detailed reasoning </w:t>
      </w:r>
      <w:r w:rsidR="00663277">
        <w:t xml:space="preserve">on this aspect </w:t>
      </w:r>
      <w:r w:rsidR="00F5780D">
        <w:t xml:space="preserve">did appear in the part </w:t>
      </w:r>
      <w:r w:rsidR="001211E4">
        <w:t>o</w:t>
      </w:r>
      <w:r w:rsidR="00F5780D">
        <w:t xml:space="preserve">f the </w:t>
      </w:r>
      <w:r w:rsidR="00687001">
        <w:t xml:space="preserve">Judgment dealing with the </w:t>
      </w:r>
      <w:r w:rsidR="00687001" w:rsidRPr="0082291C">
        <w:rPr>
          <w:i/>
          <w:iCs/>
        </w:rPr>
        <w:t>Chartbrook</w:t>
      </w:r>
      <w:r w:rsidR="00687001">
        <w:t xml:space="preserve"> principle argument, </w:t>
      </w:r>
      <w:r w:rsidR="001F1AE0">
        <w:t xml:space="preserve">he also made clear at </w:t>
      </w:r>
      <w:r w:rsidR="009103CD">
        <w:t>[171] that he was taki</w:t>
      </w:r>
      <w:r w:rsidR="00D3269C">
        <w:t>n</w:t>
      </w:r>
      <w:r w:rsidR="009103CD">
        <w:t xml:space="preserve">g it into account in relation to the </w:t>
      </w:r>
      <w:r w:rsidR="00687001">
        <w:t>iterative construction process</w:t>
      </w:r>
      <w:r w:rsidR="0082291C">
        <w:t>.  There is</w:t>
      </w:r>
      <w:r w:rsidR="00687001">
        <w:t xml:space="preserve"> </w:t>
      </w:r>
      <w:r w:rsidR="00D3269C">
        <w:t>no reason to suppose that he failed to do what he said he was doing</w:t>
      </w:r>
      <w:r w:rsidR="00DE2A64">
        <w:t>,</w:t>
      </w:r>
      <w:r w:rsidR="00D3269C">
        <w:t xml:space="preserve"> and to take it </w:t>
      </w:r>
      <w:r w:rsidR="00687001">
        <w:t>into account in reaching his conclusions on that iss</w:t>
      </w:r>
      <w:r w:rsidR="00061C30">
        <w:t>u</w:t>
      </w:r>
      <w:r w:rsidR="00687001">
        <w:t>e.</w:t>
      </w:r>
      <w:r w:rsidR="003400F8">
        <w:t xml:space="preserve">  </w:t>
      </w:r>
      <w:r w:rsidR="00061C30">
        <w:t>The question of substance is whether his conclusion was right.</w:t>
      </w:r>
    </w:p>
    <w:p w14:paraId="4F9F6370" w14:textId="5B260456" w:rsidR="00903A3E" w:rsidRDefault="00061C30" w:rsidP="00C662F9">
      <w:pPr>
        <w:pStyle w:val="ParaLevel1"/>
        <w:numPr>
          <w:ilvl w:val="0"/>
          <w:numId w:val="11"/>
        </w:numPr>
        <w:ind w:left="454" w:hanging="454"/>
      </w:pPr>
      <w:r>
        <w:t xml:space="preserve">It is not possible to do justice to the Judge’s </w:t>
      </w:r>
      <w:r w:rsidR="00903A3E">
        <w:t xml:space="preserve">detailed </w:t>
      </w:r>
      <w:r>
        <w:t xml:space="preserve">reasoning </w:t>
      </w:r>
      <w:r w:rsidR="00903A3E">
        <w:t>in the form of a brief summary, but his conclusions can be expressed as follows</w:t>
      </w:r>
      <w:r w:rsidR="009A0409">
        <w:t>.</w:t>
      </w:r>
    </w:p>
    <w:p w14:paraId="687480BD" w14:textId="4EFC4C59" w:rsidR="00011755" w:rsidRDefault="002239B4" w:rsidP="00C7371D">
      <w:pPr>
        <w:pStyle w:val="ParaLevel1"/>
        <w:numPr>
          <w:ilvl w:val="1"/>
          <w:numId w:val="11"/>
        </w:numPr>
      </w:pPr>
      <w:r>
        <w:t xml:space="preserve">As to the language of the </w:t>
      </w:r>
      <w:r w:rsidR="00E609B4">
        <w:t>Adjustment Provision</w:t>
      </w:r>
      <w:r w:rsidR="00F01BC5">
        <w:t xml:space="preserve">, it </w:t>
      </w:r>
      <w:r w:rsidR="00E609B4">
        <w:t xml:space="preserve">cannot bear the meaning for which the Republic contends: the words clearly mean </w:t>
      </w:r>
      <w:r w:rsidR="00011755">
        <w:t>what is captured in the Annual Adjustment construction for which the Claimants contend.</w:t>
      </w:r>
    </w:p>
    <w:p w14:paraId="0F8A5E2C" w14:textId="37B7BA8E" w:rsidR="00061C30" w:rsidRDefault="00AE5E4C" w:rsidP="00C7371D">
      <w:pPr>
        <w:pStyle w:val="ParaLevel1"/>
        <w:numPr>
          <w:ilvl w:val="1"/>
          <w:numId w:val="11"/>
        </w:numPr>
      </w:pPr>
      <w:r>
        <w:t xml:space="preserve">As to the </w:t>
      </w:r>
      <w:r w:rsidR="00011755">
        <w:t>economic and commercial consequences</w:t>
      </w:r>
      <w:r w:rsidR="00A855CE">
        <w:t xml:space="preserve">, the Judge accepted that there were good economic and commercial reasons </w:t>
      </w:r>
      <w:r w:rsidR="005E02D3">
        <w:t xml:space="preserve">for the Annual Adjustment </w:t>
      </w:r>
      <w:r w:rsidR="009840B9">
        <w:t>c</w:t>
      </w:r>
      <w:r w:rsidR="005E02D3">
        <w:t xml:space="preserve">onstruction and that </w:t>
      </w:r>
      <w:r w:rsidR="008C34B7">
        <w:t xml:space="preserve">in relation to those relied upon by the </w:t>
      </w:r>
      <w:r w:rsidR="00593FEF">
        <w:t>Re</w:t>
      </w:r>
      <w:r w:rsidR="008C34B7">
        <w:t>public in favour of the One</w:t>
      </w:r>
      <w:r w:rsidR="0056364A">
        <w:t>-</w:t>
      </w:r>
      <w:r w:rsidR="008C34B7">
        <w:t>Off construction, there were flaws or reas</w:t>
      </w:r>
      <w:r w:rsidR="00D31CED">
        <w:t>o</w:t>
      </w:r>
      <w:r w:rsidR="008C34B7">
        <w:t xml:space="preserve">ns for treating them as </w:t>
      </w:r>
      <w:r w:rsidR="00D31CED">
        <w:t xml:space="preserve">of limited weight (my language, not the Judge’s).  </w:t>
      </w:r>
    </w:p>
    <w:p w14:paraId="454A31DF" w14:textId="2E220F1F" w:rsidR="006E79C6" w:rsidRDefault="006E79C6" w:rsidP="00C7371D">
      <w:pPr>
        <w:pStyle w:val="ParaLevel1"/>
        <w:numPr>
          <w:ilvl w:val="1"/>
          <w:numId w:val="11"/>
        </w:numPr>
      </w:pPr>
      <w:r>
        <w:t xml:space="preserve">As to the </w:t>
      </w:r>
      <w:r w:rsidRPr="009840B9">
        <w:rPr>
          <w:i/>
          <w:iCs/>
        </w:rPr>
        <w:t>Chartbrook</w:t>
      </w:r>
      <w:r>
        <w:t xml:space="preserve"> principle</w:t>
      </w:r>
      <w:r w:rsidR="00593FEF">
        <w:t>,</w:t>
      </w:r>
      <w:r>
        <w:t xml:space="preserve"> neither of the two conditions for its application was fulfilled.  The </w:t>
      </w:r>
      <w:r w:rsidR="0070213D">
        <w:t xml:space="preserve">meaning of the words, on the </w:t>
      </w:r>
      <w:r w:rsidR="009840B9">
        <w:t>A</w:t>
      </w:r>
      <w:r w:rsidR="0070213D">
        <w:t>nnual Adjustment construction</w:t>
      </w:r>
      <w:r w:rsidR="00593FEF">
        <w:t xml:space="preserve">, </w:t>
      </w:r>
      <w:r w:rsidR="0070213D">
        <w:t>was not irrational or absurd</w:t>
      </w:r>
      <w:r w:rsidR="002048C0">
        <w:t xml:space="preserve">; and </w:t>
      </w:r>
      <w:r w:rsidR="00D0701D">
        <w:t>the One</w:t>
      </w:r>
      <w:r w:rsidR="0056364A">
        <w:t>-</w:t>
      </w:r>
      <w:r w:rsidR="00D0701D">
        <w:t xml:space="preserve">Off construction </w:t>
      </w:r>
      <w:r w:rsidR="002048C0">
        <w:t xml:space="preserve">was </w:t>
      </w:r>
      <w:r w:rsidR="00870AAC">
        <w:t xml:space="preserve">merely </w:t>
      </w:r>
      <w:r w:rsidR="00D0701D">
        <w:t>one of several</w:t>
      </w:r>
      <w:r w:rsidR="00045D1F">
        <w:t xml:space="preserve"> alternatives which </w:t>
      </w:r>
      <w:r w:rsidR="009A0409">
        <w:t>m</w:t>
      </w:r>
      <w:r w:rsidR="00045D1F">
        <w:t>ight have been chosen</w:t>
      </w:r>
      <w:r w:rsidR="009840B9">
        <w:t>.</w:t>
      </w:r>
    </w:p>
    <w:p w14:paraId="7504A4A7" w14:textId="5B130C1D" w:rsidR="00045D1F" w:rsidRDefault="00045D1F" w:rsidP="00C7371D">
      <w:pPr>
        <w:pStyle w:val="ParaLevel1"/>
        <w:numPr>
          <w:ilvl w:val="1"/>
          <w:numId w:val="11"/>
        </w:numPr>
      </w:pPr>
      <w:r>
        <w:t>The Hubbard Deflator construction was “hopeless”.</w:t>
      </w:r>
    </w:p>
    <w:p w14:paraId="7B1D7DBE" w14:textId="41EC39E2" w:rsidR="00727EBD" w:rsidRPr="00575748" w:rsidRDefault="00727EBD" w:rsidP="00C7371D">
      <w:pPr>
        <w:pStyle w:val="ParaLevel1"/>
        <w:numPr>
          <w:ilvl w:val="0"/>
          <w:numId w:val="0"/>
        </w:numPr>
        <w:rPr>
          <w:b/>
          <w:bCs/>
        </w:rPr>
      </w:pPr>
      <w:r w:rsidRPr="00575748">
        <w:rPr>
          <w:b/>
          <w:bCs/>
        </w:rPr>
        <w:lastRenderedPageBreak/>
        <w:t>The arguments</w:t>
      </w:r>
      <w:r w:rsidR="002048C0">
        <w:rPr>
          <w:b/>
          <w:bCs/>
        </w:rPr>
        <w:t xml:space="preserve"> in more detail</w:t>
      </w:r>
      <w:r w:rsidRPr="00575748">
        <w:rPr>
          <w:b/>
          <w:bCs/>
        </w:rPr>
        <w:t xml:space="preserve"> </w:t>
      </w:r>
    </w:p>
    <w:p w14:paraId="2F79B2CC" w14:textId="2A81DDF2" w:rsidR="00C40C4B" w:rsidRDefault="00603BE6" w:rsidP="00C662F9">
      <w:pPr>
        <w:pStyle w:val="ParaLevel1"/>
        <w:numPr>
          <w:ilvl w:val="0"/>
          <w:numId w:val="11"/>
        </w:numPr>
        <w:ind w:left="454" w:hanging="454"/>
      </w:pPr>
      <w:r>
        <w:t xml:space="preserve">On </w:t>
      </w:r>
      <w:r w:rsidR="00B5180F">
        <w:t>behalf of the Republic, Mr Railton</w:t>
      </w:r>
      <w:r w:rsidR="00333AB6">
        <w:t xml:space="preserve"> </w:t>
      </w:r>
      <w:r w:rsidR="00B5180F">
        <w:t>emphasised the following aspects of the</w:t>
      </w:r>
      <w:r w:rsidR="00333AB6">
        <w:t xml:space="preserve"> commercial and economic consequences</w:t>
      </w:r>
      <w:r w:rsidR="001E3ED0">
        <w:t>.</w:t>
      </w:r>
    </w:p>
    <w:p w14:paraId="31233C10" w14:textId="5748986F" w:rsidR="00C40C4B" w:rsidRDefault="001E5325" w:rsidP="00C7371D">
      <w:pPr>
        <w:pStyle w:val="ParaLevel1"/>
        <w:numPr>
          <w:ilvl w:val="1"/>
          <w:numId w:val="11"/>
        </w:numPr>
      </w:pPr>
      <w:bookmarkStart w:id="3" w:name="_Hlk167532322"/>
      <w:r>
        <w:t>The effect of the</w:t>
      </w:r>
      <w:r w:rsidR="00DE2767">
        <w:t xml:space="preserve"> </w:t>
      </w:r>
      <w:r w:rsidR="00081CFA">
        <w:t>Annual Adjustment con</w:t>
      </w:r>
      <w:r w:rsidR="00DE2767">
        <w:t>s</w:t>
      </w:r>
      <w:r w:rsidR="00081CFA">
        <w:t xml:space="preserve">truction, as was common ground between the </w:t>
      </w:r>
      <w:r w:rsidR="00DE2767">
        <w:t>e</w:t>
      </w:r>
      <w:r w:rsidR="00081CFA">
        <w:t>xperts</w:t>
      </w:r>
      <w:r w:rsidR="008D7F31">
        <w:t>,</w:t>
      </w:r>
      <w:r w:rsidR="00081CFA">
        <w:t xml:space="preserve"> was the same as</w:t>
      </w:r>
      <w:r w:rsidR="00DE2767">
        <w:t xml:space="preserve"> if</w:t>
      </w:r>
      <w:r w:rsidR="00440BFB">
        <w:t>,</w:t>
      </w:r>
      <w:r w:rsidR="00DE2767">
        <w:t xml:space="preserve"> </w:t>
      </w:r>
      <w:r w:rsidR="00476041">
        <w:t>for the purposes of the Securities</w:t>
      </w:r>
      <w:r w:rsidR="00440BFB">
        <w:t>,</w:t>
      </w:r>
      <w:r w:rsidR="00476041">
        <w:t xml:space="preserve"> </w:t>
      </w:r>
      <w:r w:rsidR="00162C8A">
        <w:t>Actual Real</w:t>
      </w:r>
      <w:r w:rsidR="00476041">
        <w:t xml:space="preserve"> </w:t>
      </w:r>
      <w:r w:rsidR="00DE2767">
        <w:t>GDP were measure</w:t>
      </w:r>
      <w:r w:rsidR="00AA7181">
        <w:t>d in 199</w:t>
      </w:r>
      <w:r w:rsidR="00B00B8B">
        <w:t>3</w:t>
      </w:r>
      <w:r w:rsidR="00AA7181">
        <w:t xml:space="preserve"> YOBP for the entire duration of the bonds until expiry in 2035</w:t>
      </w:r>
      <w:r w:rsidR="00DF209B">
        <w:t xml:space="preserve">. </w:t>
      </w:r>
      <w:r w:rsidR="003A2F05">
        <w:t xml:space="preserve"> </w:t>
      </w:r>
      <w:r w:rsidR="000B6608">
        <w:t>There could be no sensible reason wh</w:t>
      </w:r>
      <w:r w:rsidR="00DF209B">
        <w:t>y either the Republic or bondholders would want to tie the payment amount and payment conditions to the 1993 YOBP methodology</w:t>
      </w:r>
      <w:r w:rsidR="0073067E">
        <w:t>,</w:t>
      </w:r>
      <w:r w:rsidR="00AD7445">
        <w:t xml:space="preserve"> which would be </w:t>
      </w:r>
      <w:r w:rsidR="002E0879">
        <w:t xml:space="preserve">an </w:t>
      </w:r>
      <w:r w:rsidR="00DF209B">
        <w:t>outdated and superseded measure of GDP</w:t>
      </w:r>
      <w:r w:rsidR="002F4B82">
        <w:t xml:space="preserve"> </w:t>
      </w:r>
      <w:r w:rsidR="0073067E">
        <w:t xml:space="preserve">and </w:t>
      </w:r>
      <w:r w:rsidR="00D40A7C">
        <w:t>increasingly unreliable as a measure of true GDP</w:t>
      </w:r>
      <w:r w:rsidR="00C871CB">
        <w:t>, for 30 years</w:t>
      </w:r>
      <w:r w:rsidR="00D40A7C">
        <w:t>.</w:t>
      </w:r>
    </w:p>
    <w:p w14:paraId="356DEC0B" w14:textId="725F394A" w:rsidR="00727EBD" w:rsidRDefault="00C871CB" w:rsidP="00C7371D">
      <w:pPr>
        <w:pStyle w:val="ParaLevel1"/>
        <w:numPr>
          <w:ilvl w:val="1"/>
          <w:numId w:val="11"/>
        </w:numPr>
      </w:pPr>
      <w:r>
        <w:t>A</w:t>
      </w:r>
      <w:r w:rsidR="00D26661">
        <w:t xml:space="preserve"> consequence of the Claimant</w:t>
      </w:r>
      <w:r w:rsidR="002F4B82">
        <w:t>s’</w:t>
      </w:r>
      <w:r w:rsidR="00D26661">
        <w:t xml:space="preserve"> construction</w:t>
      </w:r>
      <w:r w:rsidR="00516079">
        <w:t xml:space="preserve"> </w:t>
      </w:r>
      <w:r w:rsidR="005F68FD">
        <w:t xml:space="preserve">is that </w:t>
      </w:r>
      <w:r w:rsidR="00516079">
        <w:t xml:space="preserve">the Republic could be required to make payment under the Securities when its economy was </w:t>
      </w:r>
      <w:r w:rsidR="00617733">
        <w:t>not growing but in recession, thus jeopardising the Republic’s ability to</w:t>
      </w:r>
      <w:r w:rsidR="004D4859">
        <w:t xml:space="preserve"> service both its GDP</w:t>
      </w:r>
      <w:r w:rsidR="00250E76">
        <w:t>-</w:t>
      </w:r>
      <w:r w:rsidR="004D4859">
        <w:t>linked and conventional debt.  T</w:t>
      </w:r>
      <w:r w:rsidR="00FD4709">
        <w:t>his was illustrated by figures posited by Dr Bo</w:t>
      </w:r>
      <w:r w:rsidR="000F15FB">
        <w:t xml:space="preserve">rensztein, the </w:t>
      </w:r>
      <w:r w:rsidR="00225685">
        <w:t>Republic’s expert, which were accepted by the Claimants</w:t>
      </w:r>
      <w:r w:rsidR="00B648A2">
        <w:t>’</w:t>
      </w:r>
      <w:r w:rsidR="00225685">
        <w:t xml:space="preserve"> expert Dr Buiter</w:t>
      </w:r>
      <w:r w:rsidR="007E5D98">
        <w:t xml:space="preserve"> (I </w:t>
      </w:r>
      <w:r w:rsidR="00996E57">
        <w:t>should explain that those were the experts on GDP</w:t>
      </w:r>
      <w:r w:rsidR="00250E76">
        <w:t>-</w:t>
      </w:r>
      <w:r w:rsidR="00996E57">
        <w:t>linked securities</w:t>
      </w:r>
      <w:r w:rsidR="007E5D98">
        <w:t xml:space="preserve">; </w:t>
      </w:r>
      <w:r w:rsidR="00F67064">
        <w:t>t</w:t>
      </w:r>
      <w:r w:rsidR="000E1519">
        <w:t>h</w:t>
      </w:r>
      <w:r w:rsidR="00996E57">
        <w:t>ere were also experts on GDP statistics</w:t>
      </w:r>
      <w:r w:rsidR="00EE619D">
        <w:t xml:space="preserve">, </w:t>
      </w:r>
      <w:r w:rsidR="00F67064">
        <w:t>Mr Da</w:t>
      </w:r>
      <w:r w:rsidR="000E1519">
        <w:t>v</w:t>
      </w:r>
      <w:r w:rsidR="00F67064">
        <w:t xml:space="preserve">ies for the Claimants and Professor Hubbard for the Republic).  This </w:t>
      </w:r>
      <w:r w:rsidR="000F7DD7">
        <w:t xml:space="preserve">consequence is inconsistent with the </w:t>
      </w:r>
      <w:r w:rsidR="0095730C">
        <w:t>fundamental purpose of the Securities</w:t>
      </w:r>
      <w:r w:rsidR="000E1519">
        <w:t xml:space="preserve">, as </w:t>
      </w:r>
      <w:r w:rsidR="0095730C">
        <w:t>found by the Judge</w:t>
      </w:r>
      <w:r w:rsidR="000E1519">
        <w:t xml:space="preserve">, </w:t>
      </w:r>
      <w:r w:rsidR="0095730C">
        <w:t>as being to ensure the sustainability of</w:t>
      </w:r>
      <w:r w:rsidR="00084CAF">
        <w:t xml:space="preserve"> payments for the Republic, to stabilise its position and to </w:t>
      </w:r>
      <w:r w:rsidR="00124600">
        <w:t xml:space="preserve">prevent another default; and </w:t>
      </w:r>
      <w:r w:rsidR="000F7DD7">
        <w:t xml:space="preserve">with </w:t>
      </w:r>
      <w:r w:rsidR="00476B5F">
        <w:t>the Judge’s third factual matrix point</w:t>
      </w:r>
      <w:r w:rsidR="000F3025">
        <w:t xml:space="preserve"> that the intention was </w:t>
      </w:r>
      <w:r w:rsidR="00476B5F">
        <w:t xml:space="preserve">that </w:t>
      </w:r>
      <w:r w:rsidR="000F3025">
        <w:t xml:space="preserve">payments would only be made when the </w:t>
      </w:r>
      <w:r w:rsidR="0027205A">
        <w:t>Argentine economy was growing at a sufficiently healthy rate and not made if the economy was not growing</w:t>
      </w:r>
      <w:r w:rsidR="00C40C4B">
        <w:t xml:space="preserve">.  </w:t>
      </w:r>
    </w:p>
    <w:p w14:paraId="6D562D91" w14:textId="4B8F219D" w:rsidR="00F20758" w:rsidRDefault="00F20758" w:rsidP="00C7371D">
      <w:pPr>
        <w:pStyle w:val="ParaLevel1"/>
        <w:numPr>
          <w:ilvl w:val="1"/>
          <w:numId w:val="11"/>
        </w:numPr>
      </w:pPr>
      <w:r>
        <w:t>The Annual Adjustment construction would require 1993 YOBP figures for real GDP to be maintained for all reference years after a rebasing for the lifetime of the bonds, although it would serve no practical purpose in the measurement of GDP, and was something which the experts agreed had never been done by any statistical institut</w:t>
      </w:r>
      <w:r w:rsidR="00936C04">
        <w:t>ion</w:t>
      </w:r>
      <w:r>
        <w:t xml:space="preserve"> in the world.  The provision fell to be construed against the expectation that such figures would not be available, in which case the Annual Adjustment construction would be inoperable</w:t>
      </w:r>
      <w:r w:rsidR="00197471">
        <w:t>;</w:t>
      </w:r>
      <w:r>
        <w:t xml:space="preserve"> rather than by reference to the Judge’s finding that if that was what was required by the provision there would be an implied term that the Republic must publish 1993 YOBP figures.</w:t>
      </w:r>
    </w:p>
    <w:p w14:paraId="60687A4E" w14:textId="78FECA91" w:rsidR="00971A5A" w:rsidRDefault="003A71F3" w:rsidP="00C7371D">
      <w:pPr>
        <w:pStyle w:val="ParaLevel1"/>
        <w:numPr>
          <w:ilvl w:val="1"/>
          <w:numId w:val="11"/>
        </w:numPr>
      </w:pPr>
      <w:r>
        <w:t>The O</w:t>
      </w:r>
      <w:r w:rsidR="00EE7C8F">
        <w:t>n</w:t>
      </w:r>
      <w:r>
        <w:t>e</w:t>
      </w:r>
      <w:r w:rsidR="0056364A">
        <w:t>-</w:t>
      </w:r>
      <w:r>
        <w:t xml:space="preserve">Off construction results in the growth differentials in the </w:t>
      </w:r>
      <w:r w:rsidR="002C576A">
        <w:t xml:space="preserve">Base Case chart, tapering to </w:t>
      </w:r>
      <w:r w:rsidR="004F5BF8">
        <w:t>3</w:t>
      </w:r>
      <w:r w:rsidR="002C576A">
        <w:t>% from 2015</w:t>
      </w:r>
      <w:r w:rsidR="00EE7C8F">
        <w:t>, being maintained</w:t>
      </w:r>
      <w:r w:rsidR="00A02C5B">
        <w:t xml:space="preserve"> whenever there is an</w:t>
      </w:r>
      <w:r w:rsidR="00A53B63">
        <w:t xml:space="preserve"> </w:t>
      </w:r>
      <w:r w:rsidR="00A02C5B">
        <w:t>adjustment.  It therefore keeps them as a benchmark</w:t>
      </w:r>
      <w:r w:rsidR="00A53B63">
        <w:t xml:space="preserve">, </w:t>
      </w:r>
      <w:r w:rsidR="00CD1D23">
        <w:t xml:space="preserve">apparent from the outset as </w:t>
      </w:r>
      <w:r w:rsidR="00704DE2">
        <w:t>a</w:t>
      </w:r>
      <w:r w:rsidR="00CD1D23">
        <w:t xml:space="preserve"> benchmark of growth, </w:t>
      </w:r>
      <w:r w:rsidR="00A53B63">
        <w:t xml:space="preserve">and as </w:t>
      </w:r>
      <w:r w:rsidR="00A53B63" w:rsidRPr="00A53B63">
        <w:rPr>
          <w:i/>
          <w:iCs/>
        </w:rPr>
        <w:t>the</w:t>
      </w:r>
      <w:r w:rsidR="00A53B63">
        <w:t xml:space="preserve"> benchmark which </w:t>
      </w:r>
      <w:r w:rsidR="00B46385">
        <w:t xml:space="preserve">was intended </w:t>
      </w:r>
      <w:r w:rsidR="00CD1D23">
        <w:t>to remain throughout the lifetime of the bonds</w:t>
      </w:r>
      <w:r w:rsidR="007A7321">
        <w:t>,</w:t>
      </w:r>
      <w:r w:rsidR="00CD1D23">
        <w:t xml:space="preserve"> </w:t>
      </w:r>
      <w:r w:rsidR="00B46385">
        <w:t xml:space="preserve">as is evident from </w:t>
      </w:r>
      <w:r w:rsidR="00A53B63">
        <w:t>the factual matrix evidence which the Judge wrongly declined to take into account</w:t>
      </w:r>
      <w:r w:rsidR="00B46385">
        <w:t>.</w:t>
      </w:r>
      <w:r w:rsidR="00CD1D23">
        <w:t xml:space="preserve">   By contrast the </w:t>
      </w:r>
      <w:r w:rsidR="005572CB">
        <w:t>annual adjustment required by the Claimant</w:t>
      </w:r>
      <w:r w:rsidR="007A7321">
        <w:t>s’</w:t>
      </w:r>
      <w:r w:rsidR="005572CB">
        <w:t xml:space="preserve"> construction results in a different percentage of base case growth</w:t>
      </w:r>
      <w:r w:rsidR="00BC7986">
        <w:t xml:space="preserve"> between different years</w:t>
      </w:r>
      <w:r w:rsidR="007A7321">
        <w:t xml:space="preserve">, constantly </w:t>
      </w:r>
      <w:r w:rsidR="00DF22CE">
        <w:t>changing y</w:t>
      </w:r>
      <w:r w:rsidR="007A7321">
        <w:t>ear by year</w:t>
      </w:r>
      <w:r w:rsidR="00BC7986">
        <w:t xml:space="preserve">.  </w:t>
      </w:r>
    </w:p>
    <w:p w14:paraId="54AF0945" w14:textId="19835FB0" w:rsidR="00CE0490" w:rsidRDefault="00CE0490" w:rsidP="00C7371D">
      <w:pPr>
        <w:pStyle w:val="ParaLevel1"/>
        <w:numPr>
          <w:ilvl w:val="1"/>
          <w:numId w:val="11"/>
        </w:numPr>
      </w:pPr>
      <w:r>
        <w:t xml:space="preserve">The One-Off construction </w:t>
      </w:r>
      <w:r w:rsidR="00541BE7">
        <w:t>g</w:t>
      </w:r>
      <w:r w:rsidR="002C576A">
        <w:t xml:space="preserve">ives </w:t>
      </w:r>
      <w:r w:rsidR="00541BE7">
        <w:t xml:space="preserve">certainty in advance because the adjustment </w:t>
      </w:r>
      <w:r w:rsidR="002C576A">
        <w:t xml:space="preserve">to the base case would be known prior to each </w:t>
      </w:r>
      <w:r w:rsidR="00EE7C8F">
        <w:t xml:space="preserve">annual GDP announcement </w:t>
      </w:r>
      <w:r w:rsidR="00541BE7">
        <w:t>for the duration of each rebasing.  By contrast the Annual Adjustment construction wou</w:t>
      </w:r>
      <w:r w:rsidR="00E51577">
        <w:t>l</w:t>
      </w:r>
      <w:r w:rsidR="00541BE7">
        <w:t xml:space="preserve">d not enable </w:t>
      </w:r>
      <w:r w:rsidR="004D17B3">
        <w:t xml:space="preserve">a holder, or </w:t>
      </w:r>
      <w:r w:rsidR="00D417D8">
        <w:t>the Republic</w:t>
      </w:r>
      <w:r w:rsidR="004D17B3">
        <w:t>,</w:t>
      </w:r>
      <w:r w:rsidR="00D417D8">
        <w:t xml:space="preserve"> to identify what benchmark had to be met in any year after a </w:t>
      </w:r>
      <w:r w:rsidR="00D417D8">
        <w:lastRenderedPageBreak/>
        <w:t xml:space="preserve">rebasing because it would be adjusted by reference to the Annual GDP </w:t>
      </w:r>
      <w:r w:rsidR="003A71F3">
        <w:t>for that particular year</w:t>
      </w:r>
      <w:r w:rsidR="004D17B3">
        <w:t>,</w:t>
      </w:r>
      <w:r w:rsidR="003A71F3">
        <w:t xml:space="preserve"> which would not be known until after the</w:t>
      </w:r>
      <w:r w:rsidR="00E51577">
        <w:t xml:space="preserve"> </w:t>
      </w:r>
      <w:r w:rsidR="003A71F3">
        <w:t>year end.</w:t>
      </w:r>
    </w:p>
    <w:bookmarkEnd w:id="3"/>
    <w:p w14:paraId="143F1395" w14:textId="78201404" w:rsidR="00C45F1D" w:rsidRDefault="00FD3AAF" w:rsidP="00C662F9">
      <w:pPr>
        <w:pStyle w:val="ParaLevel1"/>
        <w:numPr>
          <w:ilvl w:val="0"/>
          <w:numId w:val="11"/>
        </w:numPr>
        <w:ind w:left="454" w:hanging="454"/>
      </w:pPr>
      <w:r>
        <w:t xml:space="preserve">In the light of these consequences, and the factual matrix, the language of the </w:t>
      </w:r>
      <w:r w:rsidR="006B43CD">
        <w:t>Adjustment Provision is compatible with the One</w:t>
      </w:r>
      <w:r w:rsidR="00597607">
        <w:t>-O</w:t>
      </w:r>
      <w:r w:rsidR="006B43CD">
        <w:t>ff construction.  The opening phrase</w:t>
      </w:r>
      <w:r w:rsidR="001A11FE">
        <w:t xml:space="preserve"> “if…at any tim</w:t>
      </w:r>
      <w:r w:rsidR="00C30430">
        <w:t>e”</w:t>
      </w:r>
      <w:r w:rsidR="001A11FE">
        <w:t xml:space="preserve"> is apt to identify a trigger for a one</w:t>
      </w:r>
      <w:r w:rsidR="00597607">
        <w:t>-</w:t>
      </w:r>
      <w:r w:rsidR="001A11FE">
        <w:t xml:space="preserve">off change.  </w:t>
      </w:r>
      <w:r w:rsidR="00C30430">
        <w:t>T</w:t>
      </w:r>
      <w:r w:rsidR="001A11FE">
        <w:t>h</w:t>
      </w:r>
      <w:r w:rsidR="008F14A6">
        <w:t xml:space="preserve">e </w:t>
      </w:r>
      <w:r w:rsidR="001A11FE">
        <w:t>word “such”</w:t>
      </w:r>
      <w:r w:rsidR="00AF6981">
        <w:t xml:space="preserve"> </w:t>
      </w:r>
      <w:r w:rsidR="00C30430">
        <w:t>as</w:t>
      </w:r>
      <w:r w:rsidR="00AF6981">
        <w:t xml:space="preserve"> </w:t>
      </w:r>
      <w:r w:rsidR="006A761B">
        <w:t xml:space="preserve">applied to Reference </w:t>
      </w:r>
      <w:r w:rsidR="00C30430">
        <w:t>Y</w:t>
      </w:r>
      <w:r w:rsidR="006A761B">
        <w:t>ear in the numerator and denominator of the fraction is a reference to the Overlap Year, which</w:t>
      </w:r>
      <w:r w:rsidR="00443C51">
        <w:t>,</w:t>
      </w:r>
      <w:r w:rsidR="006A761B">
        <w:t xml:space="preserve"> whilst</w:t>
      </w:r>
      <w:r w:rsidR="00AA3664">
        <w:t xml:space="preserve"> not itself expressly identified in the provision</w:t>
      </w:r>
      <w:r w:rsidR="00443C51">
        <w:t>,</w:t>
      </w:r>
      <w:r w:rsidR="00AA3664">
        <w:t xml:space="preserve"> is the logical choice as the first year which it is necessary to put into the new YOBP figures in order to </w:t>
      </w:r>
      <w:r w:rsidR="000A1450">
        <w:t xml:space="preserve">measure </w:t>
      </w:r>
      <w:r w:rsidR="00AA3664">
        <w:t xml:space="preserve">growth on a rebasing.  </w:t>
      </w:r>
      <w:r w:rsidR="00A91922">
        <w:t xml:space="preserve"> </w:t>
      </w:r>
      <w:r w:rsidR="003554AA">
        <w:t xml:space="preserve">In the event of a second and subsequent rebasing, the </w:t>
      </w:r>
      <w:r w:rsidR="003F5B4B">
        <w:t xml:space="preserve">final reference to 1993 prices in the denominator </w:t>
      </w:r>
      <w:r w:rsidR="003554AA">
        <w:t>needs t</w:t>
      </w:r>
      <w:r w:rsidR="00A91922">
        <w:t>o</w:t>
      </w:r>
      <w:r w:rsidR="003554AA">
        <w:t xml:space="preserve"> be treated as the YOBP of the </w:t>
      </w:r>
      <w:r w:rsidR="00010B72">
        <w:t xml:space="preserve">immediately previous YOBP, but that can be achieved by implying </w:t>
      </w:r>
      <w:r w:rsidR="00352E17">
        <w:t xml:space="preserve">such a </w:t>
      </w:r>
      <w:r w:rsidR="00010B72">
        <w:t>term</w:t>
      </w:r>
      <w:r w:rsidR="00352E17">
        <w:t xml:space="preserve">, so as to </w:t>
      </w:r>
      <w:r w:rsidR="00E750FF">
        <w:t xml:space="preserve">give effect to the purpose of the provision, which is less </w:t>
      </w:r>
      <w:r w:rsidR="00BE6BAD">
        <w:t>i</w:t>
      </w:r>
      <w:r w:rsidR="00C33276">
        <w:t xml:space="preserve">ntrusive </w:t>
      </w:r>
      <w:r w:rsidR="00BE6BAD">
        <w:t xml:space="preserve">than </w:t>
      </w:r>
      <w:r w:rsidR="00DB7BDF">
        <w:t>the implied term as to main</w:t>
      </w:r>
      <w:r w:rsidR="00BE6BAD">
        <w:t xml:space="preserve">tenance </w:t>
      </w:r>
      <w:r w:rsidR="00DB7BDF">
        <w:t xml:space="preserve">of outdated </w:t>
      </w:r>
      <w:r w:rsidR="00BE6BAD">
        <w:t>19</w:t>
      </w:r>
      <w:r w:rsidR="00C30430">
        <w:t xml:space="preserve">93 YOBP </w:t>
      </w:r>
      <w:r w:rsidR="00DB7BDF">
        <w:t>statistics which is required by the Claimant</w:t>
      </w:r>
      <w:r w:rsidR="002650E1">
        <w:t>s’</w:t>
      </w:r>
      <w:r w:rsidR="00DB7BDF">
        <w:t xml:space="preserve"> implied ter</w:t>
      </w:r>
      <w:r w:rsidR="00C30430">
        <w:t>m</w:t>
      </w:r>
      <w:r w:rsidR="00DB7BDF">
        <w:t>.</w:t>
      </w:r>
    </w:p>
    <w:p w14:paraId="5CCB098B" w14:textId="5B3B0E55" w:rsidR="00EE6875" w:rsidRDefault="00C45F1D" w:rsidP="00C662F9">
      <w:pPr>
        <w:pStyle w:val="ParaLevel1"/>
        <w:numPr>
          <w:ilvl w:val="0"/>
          <w:numId w:val="11"/>
        </w:numPr>
        <w:ind w:left="454" w:hanging="454"/>
      </w:pPr>
      <w:r>
        <w:t>Moreover</w:t>
      </w:r>
      <w:r w:rsidR="00443C51">
        <w:t>,</w:t>
      </w:r>
      <w:r>
        <w:t xml:space="preserve"> the Annual Adjustment construction, it is argued, r</w:t>
      </w:r>
      <w:r w:rsidR="00EA6473">
        <w:t xml:space="preserve">enders </w:t>
      </w:r>
      <w:r>
        <w:t>the whole Adjustment</w:t>
      </w:r>
      <w:r w:rsidR="0076049F">
        <w:t xml:space="preserve"> </w:t>
      </w:r>
      <w:r w:rsidR="00EA6473">
        <w:t>Provision redundant.</w:t>
      </w:r>
    </w:p>
    <w:p w14:paraId="611F60A8" w14:textId="790BCA46" w:rsidR="001E1694" w:rsidRDefault="001E1694" w:rsidP="00C662F9">
      <w:pPr>
        <w:pStyle w:val="ParaLevel1"/>
        <w:numPr>
          <w:ilvl w:val="0"/>
          <w:numId w:val="11"/>
        </w:numPr>
        <w:ind w:left="454" w:hanging="454"/>
      </w:pPr>
      <w:r>
        <w:t xml:space="preserve">On behalf of the Claimants, </w:t>
      </w:r>
      <w:r w:rsidR="00824169">
        <w:t>M</w:t>
      </w:r>
      <w:r>
        <w:t xml:space="preserve">s Prevezer KC </w:t>
      </w:r>
      <w:r w:rsidR="00EA14AE">
        <w:t xml:space="preserve">and Mr Barden </w:t>
      </w:r>
      <w:r>
        <w:t xml:space="preserve">argued that the language of the Adjustment </w:t>
      </w:r>
      <w:r w:rsidR="002650E1">
        <w:t xml:space="preserve">Provision </w:t>
      </w:r>
      <w:r>
        <w:t>is plainly and unambiguously that of</w:t>
      </w:r>
      <w:r w:rsidR="00BC0E75">
        <w:t xml:space="preserve"> an annual adjustment.  The introductory words “if…at any time” refer to all times at which one is considering a R</w:t>
      </w:r>
      <w:r w:rsidR="006062A2">
        <w:t>e</w:t>
      </w:r>
      <w:r w:rsidR="00BC0E75">
        <w:t xml:space="preserve">ference Year which is no longer in 1993 YOBP.  </w:t>
      </w:r>
      <w:r w:rsidR="00A205FD">
        <w:t xml:space="preserve"> </w:t>
      </w:r>
      <w:r w:rsidR="00BC0E75">
        <w:t xml:space="preserve">That </w:t>
      </w:r>
      <w:r w:rsidR="006062A2">
        <w:t xml:space="preserve">is </w:t>
      </w:r>
      <w:r w:rsidR="00BC0E75">
        <w:t xml:space="preserve">the Reference </w:t>
      </w:r>
      <w:r w:rsidR="00BA5735">
        <w:t>Y</w:t>
      </w:r>
      <w:r w:rsidR="00BC0E75">
        <w:t>ear</w:t>
      </w:r>
      <w:r w:rsidR="00683B96">
        <w:t xml:space="preserve"> to which “such” refers in the numerator and denominator of the fraction</w:t>
      </w:r>
      <w:r w:rsidR="006062A2">
        <w:t xml:space="preserve">.  The denominator is unequivocal in requiring the use of 1993 constant prices whenever the </w:t>
      </w:r>
      <w:r w:rsidR="00A205FD">
        <w:t xml:space="preserve">fraction falls to be applied, whether on a first rebasing or subsequent rebasings. There is </w:t>
      </w:r>
      <w:r w:rsidR="00A462B1">
        <w:t xml:space="preserve">nothing in the wording of the provision to suggest the concept of the </w:t>
      </w:r>
      <w:r w:rsidR="007570B7">
        <w:t>‘</w:t>
      </w:r>
      <w:r w:rsidR="00A462B1">
        <w:t xml:space="preserve">Overlap </w:t>
      </w:r>
      <w:r w:rsidR="007570B7">
        <w:t>Y</w:t>
      </w:r>
      <w:r w:rsidR="00A462B1">
        <w:t>ear</w:t>
      </w:r>
      <w:r w:rsidR="007570B7">
        <w:t>’</w:t>
      </w:r>
      <w:r w:rsidR="00A462B1">
        <w:t xml:space="preserve"> or its use in the </w:t>
      </w:r>
      <w:r w:rsidR="00824169">
        <w:t xml:space="preserve">fraction to be applied to the Base </w:t>
      </w:r>
      <w:r w:rsidR="00BA5735">
        <w:t>C</w:t>
      </w:r>
      <w:r w:rsidR="00824169">
        <w:t>ase GDP.</w:t>
      </w:r>
      <w:r w:rsidR="00A205FD">
        <w:t xml:space="preserve"> </w:t>
      </w:r>
      <w:r w:rsidR="00824169">
        <w:t xml:space="preserve">The redundancy argument is misconceived: it is not </w:t>
      </w:r>
      <w:r w:rsidR="006F3BB6">
        <w:t xml:space="preserve">that the Securities would operate in the same way if it were simply </w:t>
      </w:r>
      <w:r w:rsidR="00B10325">
        <w:t>removed, but rather that if it were removed and other terms rewritten the same result could have been achieved.  This is not an argument of surp</w:t>
      </w:r>
      <w:r w:rsidR="00917F7B">
        <w:t>l</w:t>
      </w:r>
      <w:r w:rsidR="00B10325">
        <w:t xml:space="preserve">usage but rather that the result could have been achieved by different drafting </w:t>
      </w:r>
      <w:r w:rsidR="00031D93">
        <w:t>of the instrument as a whole, which is of no weight in construing it.</w:t>
      </w:r>
      <w:r w:rsidR="00917F7B">
        <w:t xml:space="preserve">  The implied term</w:t>
      </w:r>
      <w:r w:rsidR="00C65C50">
        <w:t xml:space="preserve"> arises naturally from the fact that the instrument does not expressly require anything to be published by</w:t>
      </w:r>
      <w:r w:rsidR="004F1DBB">
        <w:t xml:space="preserve"> the Republic, so that it is obvious, and was common ground, that there must be implied a term that it will publish the figures necessary for the instrument to be operable in accordance with its terms.  Continuing publication of </w:t>
      </w:r>
      <w:r w:rsidR="00555157">
        <w:t>GDP in 1993 YOBP is simply what is required as the specific content of the application of this implied term.</w:t>
      </w:r>
    </w:p>
    <w:p w14:paraId="284D4588" w14:textId="63AA9B14" w:rsidR="00611076" w:rsidRDefault="00031D93" w:rsidP="00C662F9">
      <w:pPr>
        <w:pStyle w:val="ParaLevel1"/>
        <w:numPr>
          <w:ilvl w:val="0"/>
          <w:numId w:val="11"/>
        </w:numPr>
        <w:ind w:left="454" w:hanging="454"/>
      </w:pPr>
      <w:r>
        <w:t xml:space="preserve">As to the </w:t>
      </w:r>
      <w:r w:rsidR="00917F7B">
        <w:t>commercial and eco</w:t>
      </w:r>
      <w:r w:rsidR="00EE73FE">
        <w:t xml:space="preserve">nomic consequences, there are, </w:t>
      </w:r>
      <w:r w:rsidR="00313B97">
        <w:t>they</w:t>
      </w:r>
      <w:r w:rsidR="00EE73FE">
        <w:t xml:space="preserve"> submitted</w:t>
      </w:r>
      <w:r w:rsidR="00313B97">
        <w:t>,</w:t>
      </w:r>
      <w:r w:rsidR="00EE73FE">
        <w:t xml:space="preserve"> good reaso</w:t>
      </w:r>
      <w:r w:rsidR="00611076">
        <w:t>ns why the parties would have wanted to provide for an adjustment in</w:t>
      </w:r>
      <w:r w:rsidR="00EF1C2A">
        <w:t xml:space="preserve"> </w:t>
      </w:r>
      <w:r w:rsidR="00611076">
        <w:t>accordance with the Annual Adjustment construction</w:t>
      </w:r>
      <w:r w:rsidR="007570B7">
        <w:t>.</w:t>
      </w:r>
    </w:p>
    <w:p w14:paraId="3DC6CB9F" w14:textId="5D855410" w:rsidR="00973898" w:rsidRDefault="00280109" w:rsidP="00C7371D">
      <w:pPr>
        <w:pStyle w:val="ParaLevel1"/>
        <w:numPr>
          <w:ilvl w:val="1"/>
          <w:numId w:val="11"/>
        </w:numPr>
      </w:pPr>
      <w:r>
        <w:t xml:space="preserve">The </w:t>
      </w:r>
      <w:r w:rsidR="00632E50">
        <w:t xml:space="preserve">Annual Adjustment </w:t>
      </w:r>
      <w:r w:rsidR="00BD27BB">
        <w:t xml:space="preserve">construction is </w:t>
      </w:r>
      <w:r w:rsidR="00054F2D">
        <w:t xml:space="preserve">economically </w:t>
      </w:r>
      <w:r w:rsidR="00BD27BB">
        <w:t>logical</w:t>
      </w:r>
      <w:r w:rsidR="00394CAF">
        <w:t xml:space="preserve"> in applying revised growth rates to the base chart, because </w:t>
      </w:r>
      <w:r w:rsidR="00CC08BE">
        <w:t xml:space="preserve">different series are non-linear in their effect.  The </w:t>
      </w:r>
      <w:r w:rsidR="00394CAF">
        <w:t>base chart growth rates are in 1993</w:t>
      </w:r>
      <w:r w:rsidR="00825393">
        <w:t xml:space="preserve"> series and when a different series is used for </w:t>
      </w:r>
      <w:r w:rsidR="009A60EC">
        <w:t xml:space="preserve">Real </w:t>
      </w:r>
      <w:r w:rsidR="00825393">
        <w:t>Actual GDP</w:t>
      </w:r>
      <w:r w:rsidR="00F34CA1">
        <w:t xml:space="preserve">, which imports different growth rates in </w:t>
      </w:r>
      <w:r w:rsidR="0076049F">
        <w:t xml:space="preserve">Actual Real </w:t>
      </w:r>
      <w:r w:rsidR="00F34CA1">
        <w:t xml:space="preserve">GDP from those which would apply </w:t>
      </w:r>
      <w:r w:rsidR="00CC08BE">
        <w:t xml:space="preserve">in </w:t>
      </w:r>
      <w:r w:rsidR="00F34CA1">
        <w:t xml:space="preserve">a different series, </w:t>
      </w:r>
      <w:r w:rsidR="003677CE">
        <w:t xml:space="preserve">it is logical to apply the same difference in growth </w:t>
      </w:r>
      <w:r w:rsidR="00E0346A">
        <w:t xml:space="preserve">rates </w:t>
      </w:r>
      <w:r w:rsidR="003677CE">
        <w:t>to the other side of the comparator</w:t>
      </w:r>
      <w:r w:rsidR="000176C3">
        <w:t xml:space="preserve">, the adjusted </w:t>
      </w:r>
      <w:r w:rsidR="00452C8D">
        <w:t>B</w:t>
      </w:r>
      <w:r w:rsidR="000176C3">
        <w:t xml:space="preserve">ase </w:t>
      </w:r>
      <w:r w:rsidR="00452C8D">
        <w:t>C</w:t>
      </w:r>
      <w:r w:rsidR="000176C3">
        <w:t>ase</w:t>
      </w:r>
      <w:r w:rsidR="00452C8D">
        <w:t xml:space="preserve"> GDP</w:t>
      </w:r>
      <w:r w:rsidR="000176C3">
        <w:t>, so as to be comparing like with like.</w:t>
      </w:r>
      <w:r w:rsidR="00973898" w:rsidRPr="00973898">
        <w:t xml:space="preserve"> </w:t>
      </w:r>
    </w:p>
    <w:p w14:paraId="3B133AE5" w14:textId="388D40F5" w:rsidR="00847DE1" w:rsidRDefault="00973898" w:rsidP="00C7371D">
      <w:pPr>
        <w:pStyle w:val="ParaLevel1"/>
        <w:numPr>
          <w:ilvl w:val="1"/>
          <w:numId w:val="11"/>
        </w:numPr>
      </w:pPr>
      <w:r>
        <w:lastRenderedPageBreak/>
        <w:t xml:space="preserve">It preserves the bargain and provides certainty because its effect is, as the experts agreed, that both the Level Condition and the Growth Condition will be </w:t>
      </w:r>
      <w:r w:rsidR="00AE6663">
        <w:t xml:space="preserve">satisfied </w:t>
      </w:r>
      <w:r w:rsidR="00B25D19">
        <w:t xml:space="preserve">in a </w:t>
      </w:r>
      <w:r>
        <w:t>new YOBP if and only if they are satisfie</w:t>
      </w:r>
      <w:r w:rsidR="00B25D19">
        <w:t>d</w:t>
      </w:r>
      <w:r>
        <w:t xml:space="preserve"> in 1993 YOBP.</w:t>
      </w:r>
      <w:r w:rsidR="00B25D19">
        <w:t xml:space="preserve">  </w:t>
      </w:r>
      <w:r w:rsidR="00A44AB3">
        <w:t xml:space="preserve">By contrast the One-Off </w:t>
      </w:r>
      <w:r w:rsidR="00A8696B">
        <w:t>c</w:t>
      </w:r>
      <w:r w:rsidR="00A44AB3">
        <w:t>o</w:t>
      </w:r>
      <w:r w:rsidR="00E61576">
        <w:t>n</w:t>
      </w:r>
      <w:r w:rsidR="00A44AB3">
        <w:t xml:space="preserve">struction </w:t>
      </w:r>
      <w:r w:rsidR="001C5288">
        <w:t>“moves the goalposts”</w:t>
      </w:r>
      <w:r w:rsidR="00754684">
        <w:t xml:space="preserve"> and is </w:t>
      </w:r>
      <w:r w:rsidR="00A44AB3">
        <w:t>arbitrary</w:t>
      </w:r>
      <w:r w:rsidR="00CC24E4">
        <w:t xml:space="preserve">.  It </w:t>
      </w:r>
      <w:r w:rsidR="0091188D">
        <w:t xml:space="preserve">will produce different figures depending on which year is chosen as the new </w:t>
      </w:r>
      <w:r w:rsidR="00E61576">
        <w:t>year of base price</w:t>
      </w:r>
      <w:r w:rsidR="00395E0C">
        <w:t>s</w:t>
      </w:r>
      <w:r w:rsidR="00E61576">
        <w:t xml:space="preserve"> and the</w:t>
      </w:r>
      <w:r w:rsidR="000301B8">
        <w:t xml:space="preserve">refore as the Overlap </w:t>
      </w:r>
      <w:r w:rsidR="007570B7">
        <w:t>Y</w:t>
      </w:r>
      <w:r w:rsidR="000301B8">
        <w:t>ear</w:t>
      </w:r>
      <w:r w:rsidR="00CC24E4">
        <w:t>, and that choice will determine the levels of t</w:t>
      </w:r>
      <w:r w:rsidR="00555FD4">
        <w:t>h</w:t>
      </w:r>
      <w:r w:rsidR="00CC24E4">
        <w:t>e adjusted Base Case GDP</w:t>
      </w:r>
      <w:r w:rsidR="00555FD4">
        <w:t xml:space="preserve"> for all future years until a rebasing</w:t>
      </w:r>
      <w:r w:rsidR="00452C8D">
        <w:t>, which in turn affect</w:t>
      </w:r>
      <w:r w:rsidR="00A56824">
        <w:t>s</w:t>
      </w:r>
      <w:r w:rsidR="00452C8D">
        <w:t xml:space="preserve"> whether the </w:t>
      </w:r>
      <w:r w:rsidR="00A56824">
        <w:t>L</w:t>
      </w:r>
      <w:r w:rsidR="00452C8D">
        <w:t xml:space="preserve">evel Condition is met.  </w:t>
      </w:r>
      <w:r w:rsidR="00811386">
        <w:t xml:space="preserve">Where there are multiple rebasings the </w:t>
      </w:r>
      <w:r w:rsidR="007570B7">
        <w:t xml:space="preserve">distorting </w:t>
      </w:r>
      <w:r w:rsidR="00502D57">
        <w:t>effect is magnified.  If the operative year for a one</w:t>
      </w:r>
      <w:r w:rsidR="00597607">
        <w:t>-</w:t>
      </w:r>
      <w:r w:rsidR="00502D57">
        <w:t>off change in the chart involves an outlier in each case, the difference f</w:t>
      </w:r>
      <w:r w:rsidR="00A56824">
        <w:t>ro</w:t>
      </w:r>
      <w:r w:rsidR="00FD403C">
        <w:t xml:space="preserve">m </w:t>
      </w:r>
      <w:r w:rsidR="00502D57">
        <w:t xml:space="preserve">what </w:t>
      </w:r>
      <w:r w:rsidR="000B38A5">
        <w:t xml:space="preserve">the adjustment </w:t>
      </w:r>
      <w:r w:rsidR="00FD403C">
        <w:t>would have produced h</w:t>
      </w:r>
      <w:r w:rsidR="000B38A5">
        <w:t>ad a more typical year been used wil</w:t>
      </w:r>
      <w:r w:rsidR="00E33789">
        <w:t>l</w:t>
      </w:r>
      <w:r w:rsidR="000B38A5">
        <w:t xml:space="preserve"> be all the more marked.  </w:t>
      </w:r>
    </w:p>
    <w:p w14:paraId="65AAB5D3" w14:textId="5196FEDC" w:rsidR="00A44AB3" w:rsidRDefault="00597020" w:rsidP="00C7371D">
      <w:pPr>
        <w:pStyle w:val="ParaLevel1"/>
        <w:numPr>
          <w:ilvl w:val="1"/>
          <w:numId w:val="11"/>
        </w:numPr>
      </w:pPr>
      <w:r>
        <w:t>Moreover</w:t>
      </w:r>
      <w:r w:rsidR="00074DDF">
        <w:t>,</w:t>
      </w:r>
      <w:r>
        <w:t xml:space="preserve"> putting such financial consequences within the Republic’s gift gives rise to the moral hazard of manipulation which was recognised as a potential concern for investors in the early literature examining the feasibility and hazards of GDP</w:t>
      </w:r>
      <w:r w:rsidR="00074DDF">
        <w:t>-</w:t>
      </w:r>
      <w:r>
        <w:t>linked securities.</w:t>
      </w:r>
    </w:p>
    <w:p w14:paraId="39F380E4" w14:textId="1E01BB91" w:rsidR="002A42C4" w:rsidRDefault="002A42C4" w:rsidP="00C7371D">
      <w:pPr>
        <w:pStyle w:val="ParaLevel1"/>
        <w:numPr>
          <w:ilvl w:val="1"/>
          <w:numId w:val="11"/>
        </w:numPr>
      </w:pPr>
      <w:r>
        <w:t xml:space="preserve">The One-Off construction breaks the proportional </w:t>
      </w:r>
      <w:r w:rsidR="00E02EE1">
        <w:t xml:space="preserve">link </w:t>
      </w:r>
      <w:r>
        <w:t xml:space="preserve">between changes in Actual Nominal GDP and changes in the Payment Amount.   </w:t>
      </w:r>
    </w:p>
    <w:p w14:paraId="3C59B98D" w14:textId="2771C36A" w:rsidR="0052388A" w:rsidRDefault="00233473" w:rsidP="00C7371D">
      <w:pPr>
        <w:pStyle w:val="ParaLevel1"/>
        <w:numPr>
          <w:ilvl w:val="1"/>
          <w:numId w:val="11"/>
        </w:numPr>
      </w:pPr>
      <w:r>
        <w:t>There is nothing</w:t>
      </w:r>
      <w:r w:rsidR="004F48E5">
        <w:t xml:space="preserve"> </w:t>
      </w:r>
      <w:r w:rsidR="002A42C4">
        <w:t xml:space="preserve">uncommercial </w:t>
      </w:r>
      <w:r w:rsidR="004F48E5">
        <w:t>in</w:t>
      </w:r>
      <w:r w:rsidR="00597020">
        <w:t xml:space="preserve"> parties tying themselves to </w:t>
      </w:r>
      <w:r w:rsidR="00074DDF">
        <w:t>“</w:t>
      </w:r>
      <w:r w:rsidR="00597020">
        <w:t>the devil they know</w:t>
      </w:r>
      <w:r w:rsidR="00074DDF">
        <w:t>”</w:t>
      </w:r>
      <w:r w:rsidR="00597020">
        <w:t xml:space="preserve"> in 1993 YOBP pricing</w:t>
      </w:r>
      <w:r w:rsidR="003514EB">
        <w:t>.</w:t>
      </w:r>
      <w:r w:rsidR="00597020">
        <w:t xml:space="preserve"> </w:t>
      </w:r>
      <w:r w:rsidR="00804CBB">
        <w:t xml:space="preserve">The </w:t>
      </w:r>
      <w:r w:rsidR="003E7C59">
        <w:t xml:space="preserve">literature illustrates that </w:t>
      </w:r>
      <w:r w:rsidR="007220E5">
        <w:t>one way in which it was contemplated that GDP</w:t>
      </w:r>
      <w:r w:rsidR="00074DDF">
        <w:t>-</w:t>
      </w:r>
      <w:r w:rsidR="007220E5">
        <w:t>linked securities might be structured was to tie them to an outdate</w:t>
      </w:r>
      <w:r w:rsidR="00EA14AE">
        <w:t xml:space="preserve">d year of constant base prices </w:t>
      </w:r>
      <w:r w:rsidR="0052388A">
        <w:t>with an obligation on the country to maintain figures in the original base case pricing after rebasing had occurred.</w:t>
      </w:r>
    </w:p>
    <w:p w14:paraId="70170453" w14:textId="7D168EA7" w:rsidR="004E6F9F" w:rsidRDefault="002A42C4" w:rsidP="00C7371D">
      <w:pPr>
        <w:pStyle w:val="ParaLevel1"/>
        <w:numPr>
          <w:ilvl w:val="1"/>
          <w:numId w:val="11"/>
        </w:numPr>
      </w:pPr>
      <w:r>
        <w:t xml:space="preserve">It is accepted that </w:t>
      </w:r>
      <w:r w:rsidR="001B3ECD">
        <w:t xml:space="preserve">there are various adjustment methods which </w:t>
      </w:r>
      <w:r w:rsidR="007C056F">
        <w:t>m</w:t>
      </w:r>
      <w:r w:rsidR="001B3ECD">
        <w:t>ight have been adopted, including but not limited to</w:t>
      </w:r>
      <w:r w:rsidR="004E6F9F">
        <w:t xml:space="preserve"> </w:t>
      </w:r>
      <w:r w:rsidR="001B3ECD">
        <w:t xml:space="preserve">that contended for by the </w:t>
      </w:r>
      <w:r w:rsidR="004E6F9F">
        <w:t>Republic.  But that does not undermine the fact that what was chosen was</w:t>
      </w:r>
      <w:r w:rsidR="005F0B67">
        <w:t xml:space="preserve"> a solution which is expressed clearly and unambiguously in the language of the clause</w:t>
      </w:r>
      <w:r w:rsidR="007C056F">
        <w:t xml:space="preserve"> and which has a </w:t>
      </w:r>
      <w:r w:rsidR="00804CBB">
        <w:t xml:space="preserve">coherent </w:t>
      </w:r>
      <w:r w:rsidR="007C056F">
        <w:t xml:space="preserve">degree of </w:t>
      </w:r>
      <w:r w:rsidR="005F0B67">
        <w:t>economic and commercial logic</w:t>
      </w:r>
      <w:r w:rsidR="007C056F">
        <w:t>.</w:t>
      </w:r>
      <w:r w:rsidR="005F0B67">
        <w:t xml:space="preserve"> </w:t>
      </w:r>
    </w:p>
    <w:p w14:paraId="11468174" w14:textId="0E9A9ECE" w:rsidR="00384CF9" w:rsidRPr="00D07A7C" w:rsidRDefault="00384CF9" w:rsidP="00C7371D">
      <w:pPr>
        <w:pStyle w:val="ParaLevel1"/>
        <w:numPr>
          <w:ilvl w:val="0"/>
          <w:numId w:val="0"/>
        </w:numPr>
        <w:ind w:left="720" w:hanging="720"/>
        <w:rPr>
          <w:b/>
          <w:bCs/>
        </w:rPr>
      </w:pPr>
      <w:r w:rsidRPr="00D07A7C">
        <w:rPr>
          <w:b/>
          <w:bCs/>
        </w:rPr>
        <w:t>The law: principles of construction</w:t>
      </w:r>
    </w:p>
    <w:p w14:paraId="58E0F4DD" w14:textId="7402685D" w:rsidR="00384CF9" w:rsidRDefault="00384CF9" w:rsidP="00C662F9">
      <w:pPr>
        <w:pStyle w:val="ParaLevel1"/>
        <w:numPr>
          <w:ilvl w:val="0"/>
          <w:numId w:val="11"/>
        </w:numPr>
        <w:ind w:left="454" w:hanging="454"/>
      </w:pPr>
      <w:r>
        <w:t xml:space="preserve">There </w:t>
      </w:r>
      <w:r w:rsidR="003F0624">
        <w:t xml:space="preserve">was no dispute between the parties as to the </w:t>
      </w:r>
      <w:r>
        <w:t>approach to construction of contracts.   The Judge referred to a number of cases, including, amongst others, the House of Lords and Supreme Court decisions in</w:t>
      </w:r>
      <w:bookmarkStart w:id="4" w:name="para8"/>
      <w:r w:rsidRPr="0074530E">
        <w:rPr>
          <w:b/>
          <w:bCs/>
          <w:i/>
          <w:iCs/>
          <w:color w:val="000000"/>
          <w:sz w:val="27"/>
          <w:szCs w:val="27"/>
        </w:rPr>
        <w:t xml:space="preserve"> </w:t>
      </w:r>
      <w:r w:rsidRPr="0074530E">
        <w:rPr>
          <w:i/>
          <w:iCs/>
          <w:color w:val="000000"/>
          <w:szCs w:val="24"/>
        </w:rPr>
        <w:t>Investors Compensation Scheme Ltd v West Bromwich Building Society</w:t>
      </w:r>
      <w:r w:rsidRPr="0074530E">
        <w:rPr>
          <w:color w:val="000000"/>
          <w:szCs w:val="24"/>
        </w:rPr>
        <w:t> </w:t>
      </w:r>
      <w:bookmarkEnd w:id="4"/>
      <w:r w:rsidRPr="0074530E">
        <w:rPr>
          <w:szCs w:val="24"/>
        </w:rPr>
        <w:t>[1998] 1 WLR 896</w:t>
      </w:r>
      <w:r w:rsidRPr="0074530E">
        <w:rPr>
          <w:color w:val="000000"/>
          <w:szCs w:val="24"/>
        </w:rPr>
        <w:t>; </w:t>
      </w:r>
      <w:r w:rsidRPr="0074530E">
        <w:rPr>
          <w:i/>
          <w:iCs/>
          <w:color w:val="000000"/>
          <w:szCs w:val="24"/>
        </w:rPr>
        <w:t>Chartbrook Ltd v Persimmon Homes Ltd</w:t>
      </w:r>
      <w:r w:rsidR="00F80C9F">
        <w:rPr>
          <w:color w:val="000000"/>
          <w:szCs w:val="24"/>
        </w:rPr>
        <w:t xml:space="preserve"> </w:t>
      </w:r>
      <w:r w:rsidRPr="0074530E">
        <w:rPr>
          <w:szCs w:val="24"/>
        </w:rPr>
        <w:t>[2009] 1 AC 1101</w:t>
      </w:r>
      <w:r>
        <w:rPr>
          <w:color w:val="000000"/>
          <w:sz w:val="27"/>
          <w:szCs w:val="27"/>
        </w:rPr>
        <w:t>;</w:t>
      </w:r>
      <w:r>
        <w:t xml:space="preserve"> </w:t>
      </w:r>
      <w:r w:rsidRPr="00B90602">
        <w:rPr>
          <w:i/>
          <w:iCs/>
        </w:rPr>
        <w:t>In Re Sigma Finance Corporation</w:t>
      </w:r>
      <w:r>
        <w:t xml:space="preserve"> [2009] UKSC 2 [2010] 1 All ER 571; </w:t>
      </w:r>
      <w:r w:rsidRPr="00B90602">
        <w:rPr>
          <w:i/>
          <w:iCs/>
        </w:rPr>
        <w:t>Rainy Sky SA v Kookmin Bank</w:t>
      </w:r>
      <w:r>
        <w:t xml:space="preserve"> [2011] UKSC 50 [2011] 1 WLR 2900; </w:t>
      </w:r>
      <w:r w:rsidRPr="00B90602">
        <w:rPr>
          <w:i/>
          <w:iCs/>
        </w:rPr>
        <w:t>Arnold v Britton</w:t>
      </w:r>
      <w:r>
        <w:t xml:space="preserve"> [2015] UKSC 36 [2015] AC 1619; and </w:t>
      </w:r>
      <w:r w:rsidRPr="00B90602">
        <w:rPr>
          <w:i/>
          <w:iCs/>
        </w:rPr>
        <w:t>Wood v Capita Insurance Services Ltd</w:t>
      </w:r>
      <w:r>
        <w:t xml:space="preserve"> [2017] UKSC 24 [2017] AC 1173.  </w:t>
      </w:r>
    </w:p>
    <w:p w14:paraId="491EA531" w14:textId="7C97BCA7" w:rsidR="00384CF9" w:rsidRPr="00993EFA" w:rsidRDefault="00384CF9" w:rsidP="00C662F9">
      <w:pPr>
        <w:pStyle w:val="ParaLevel1"/>
        <w:numPr>
          <w:ilvl w:val="0"/>
          <w:numId w:val="11"/>
        </w:numPr>
        <w:ind w:left="454" w:hanging="454"/>
        <w:rPr>
          <w:szCs w:val="24"/>
        </w:rPr>
      </w:pPr>
      <w:r>
        <w:t>Although the Judge cited passages from these and other cases in some detail (and this is not a criticism), I do not regard it as necessary to do so</w:t>
      </w:r>
      <w:r w:rsidR="00F23A89" w:rsidRPr="00F23A89">
        <w:t xml:space="preserve"> </w:t>
      </w:r>
      <w:r w:rsidR="00F23A89">
        <w:t>for the purposes of this appeal</w:t>
      </w:r>
      <w:r>
        <w:t>, nor to seek to distil or paraphrase the learning set out in the authorities. I would merely emphasise a few aspect</w:t>
      </w:r>
      <w:r w:rsidR="00F23A89">
        <w:t>s</w:t>
      </w:r>
      <w:r>
        <w:t xml:space="preserve"> </w:t>
      </w:r>
      <w:r>
        <w:rPr>
          <w:szCs w:val="24"/>
        </w:rPr>
        <w:t>as of particular relevance to the current dispute.</w:t>
      </w:r>
    </w:p>
    <w:p w14:paraId="280EEE65" w14:textId="438564DF" w:rsidR="00F41E55" w:rsidRPr="00F41E55" w:rsidRDefault="00384CF9" w:rsidP="00C662F9">
      <w:pPr>
        <w:pStyle w:val="ParaLevel1"/>
        <w:numPr>
          <w:ilvl w:val="0"/>
          <w:numId w:val="11"/>
        </w:numPr>
        <w:ind w:left="454" w:hanging="454"/>
      </w:pPr>
      <w:r>
        <w:rPr>
          <w:szCs w:val="24"/>
        </w:rPr>
        <w:t xml:space="preserve">Contractual construction involves determining the meaning of what the parties have said, not what they meant to say, as Lord Simon emphasised in </w:t>
      </w:r>
      <w:r w:rsidRPr="00521A7E">
        <w:rPr>
          <w:i/>
          <w:iCs/>
          <w:szCs w:val="24"/>
        </w:rPr>
        <w:t>Wickman Machine Tool Sales Ltd v L. Schuler AG</w:t>
      </w:r>
      <w:r>
        <w:rPr>
          <w:szCs w:val="24"/>
        </w:rPr>
        <w:t xml:space="preserve"> [1974] AC 235 at p. 263E-G.  The iterative process required involves </w:t>
      </w:r>
      <w:r>
        <w:rPr>
          <w:szCs w:val="24"/>
        </w:rPr>
        <w:lastRenderedPageBreak/>
        <w:t>testing rival meanings of the language used against the</w:t>
      </w:r>
      <w:r w:rsidR="007144E2">
        <w:rPr>
          <w:szCs w:val="24"/>
        </w:rPr>
        <w:t>ir</w:t>
      </w:r>
      <w:r>
        <w:rPr>
          <w:szCs w:val="24"/>
        </w:rPr>
        <w:t xml:space="preserve"> commercial and economic consequences</w:t>
      </w:r>
      <w:r w:rsidR="00D172BC">
        <w:rPr>
          <w:szCs w:val="24"/>
        </w:rPr>
        <w:t xml:space="preserve">, against the background of admissible </w:t>
      </w:r>
      <w:r w:rsidR="009857D9">
        <w:rPr>
          <w:szCs w:val="24"/>
        </w:rPr>
        <w:t>contextual material</w:t>
      </w:r>
      <w:r w:rsidR="007144E2">
        <w:rPr>
          <w:szCs w:val="24"/>
        </w:rPr>
        <w:t xml:space="preserve">, but </w:t>
      </w:r>
      <w:r w:rsidR="00177CB3">
        <w:rPr>
          <w:szCs w:val="24"/>
        </w:rPr>
        <w:t xml:space="preserve">this must not be permitted to </w:t>
      </w:r>
      <w:r w:rsidR="0003247D">
        <w:rPr>
          <w:szCs w:val="24"/>
        </w:rPr>
        <w:t xml:space="preserve">undervalue the importance of the language used.  </w:t>
      </w:r>
      <w:bookmarkStart w:id="5" w:name="para17"/>
      <w:r w:rsidR="00D72F2F">
        <w:rPr>
          <w:szCs w:val="24"/>
        </w:rPr>
        <w:t xml:space="preserve">As </w:t>
      </w:r>
      <w:r w:rsidR="00724C21">
        <w:rPr>
          <w:szCs w:val="24"/>
        </w:rPr>
        <w:t xml:space="preserve">Lord Neuberger emphasised in </w:t>
      </w:r>
      <w:r w:rsidR="00724C21" w:rsidRPr="0045131F">
        <w:rPr>
          <w:i/>
          <w:iCs/>
          <w:szCs w:val="24"/>
        </w:rPr>
        <w:t>Arnold v Britton</w:t>
      </w:r>
      <w:r w:rsidR="00724C21">
        <w:rPr>
          <w:szCs w:val="24"/>
        </w:rPr>
        <w:t xml:space="preserve"> at [</w:t>
      </w:r>
      <w:r w:rsidR="00DE32D6">
        <w:rPr>
          <w:szCs w:val="24"/>
        </w:rPr>
        <w:t xml:space="preserve">17], </w:t>
      </w:r>
    </w:p>
    <w:p w14:paraId="023B65C9" w14:textId="134653D8" w:rsidR="00F41E55" w:rsidRPr="0045131F" w:rsidRDefault="001942E6" w:rsidP="00C7371D">
      <w:pPr>
        <w:spacing w:before="100" w:beforeAutospacing="1" w:after="100" w:afterAutospacing="1"/>
        <w:ind w:left="1134"/>
        <w:rPr>
          <w:color w:val="000000"/>
          <w:lang w:eastAsia="en-GB"/>
        </w:rPr>
      </w:pPr>
      <w:r>
        <w:rPr>
          <w:color w:val="000000"/>
        </w:rPr>
        <w:t>“</w:t>
      </w:r>
      <w:r w:rsidR="00F41E55" w:rsidRPr="0045131F">
        <w:rPr>
          <w:color w:val="000000"/>
        </w:rPr>
        <w:t>First, the reliance placed in some cases on commercial common sense and surrounding circumstances (</w:t>
      </w:r>
      <w:r w:rsidR="00D4749C" w:rsidRPr="0045131F">
        <w:rPr>
          <w:color w:val="000000"/>
        </w:rPr>
        <w:t>e.g.</w:t>
      </w:r>
      <w:r w:rsidR="00F41E55" w:rsidRPr="0045131F">
        <w:rPr>
          <w:color w:val="000000"/>
        </w:rPr>
        <w:t xml:space="preserve"> in </w:t>
      </w:r>
      <w:r w:rsidR="00F41E55" w:rsidRPr="0045131F">
        <w:rPr>
          <w:i/>
          <w:iCs/>
          <w:color w:val="000000"/>
        </w:rPr>
        <w:t>Chartbrook</w:t>
      </w:r>
      <w:r w:rsidR="00F41E55" w:rsidRPr="0045131F">
        <w:rPr>
          <w:color w:val="000000"/>
        </w:rPr>
        <w:t>, paras 16-26) should not be invoked to undervalue the importance of the language of the provision which is to be construed. The exercise of interpreting a provision involves identifying what the parties meant through the eyes of a reasonable reader, and, save perhaps in a very unusual case, that meaning is most obviously to be gleaned from the language of the provision. Unlike commercial common sense and the surrounding circumstances, the parties have control over the language they use in a contract. And, again save perhaps in a very unusual case, the parties must have been specifically focussing on the issue covered by the provision when agreeing the wording of that provision.</w:t>
      </w:r>
      <w:r w:rsidR="00750179" w:rsidRPr="0045131F">
        <w:rPr>
          <w:color w:val="000000"/>
        </w:rPr>
        <w:t>”</w:t>
      </w:r>
    </w:p>
    <w:bookmarkEnd w:id="5"/>
    <w:p w14:paraId="5D879535" w14:textId="7D508716" w:rsidR="0045131F" w:rsidRDefault="0045131F" w:rsidP="00C662F9">
      <w:pPr>
        <w:pStyle w:val="ParaLevel1"/>
        <w:numPr>
          <w:ilvl w:val="0"/>
          <w:numId w:val="11"/>
        </w:numPr>
        <w:ind w:left="454" w:hanging="454"/>
        <w:rPr>
          <w:szCs w:val="24"/>
        </w:rPr>
      </w:pPr>
      <w:r>
        <w:rPr>
          <w:szCs w:val="24"/>
        </w:rPr>
        <w:t>In this context, a court should be wary of assuming that it knows what is or is not commercially sensible</w:t>
      </w:r>
      <w:r w:rsidRPr="00C176C5">
        <w:rPr>
          <w:szCs w:val="24"/>
        </w:rPr>
        <w:t xml:space="preserve"> </w:t>
      </w:r>
      <w:r>
        <w:rPr>
          <w:szCs w:val="24"/>
        </w:rPr>
        <w:t xml:space="preserve">where the language used points to a clear answer, as Lewison LJ observed in </w:t>
      </w:r>
      <w:r w:rsidRPr="006D799B">
        <w:rPr>
          <w:i/>
          <w:iCs/>
          <w:szCs w:val="24"/>
        </w:rPr>
        <w:t>Napier Park European Credit Opportunities</w:t>
      </w:r>
      <w:r>
        <w:rPr>
          <w:i/>
          <w:iCs/>
          <w:szCs w:val="24"/>
        </w:rPr>
        <w:t xml:space="preserve"> </w:t>
      </w:r>
      <w:r w:rsidRPr="006D799B">
        <w:rPr>
          <w:i/>
          <w:iCs/>
          <w:szCs w:val="24"/>
        </w:rPr>
        <w:t>Fund Ltd v Harbourmaster Pro-rata Clo 2 BV</w:t>
      </w:r>
      <w:r>
        <w:rPr>
          <w:szCs w:val="24"/>
        </w:rPr>
        <w:t xml:space="preserve"> [2014] EWCA Civ 984 at [37].  Parties who have chosen clear language in which to express their bargain can be assumed to understand the commercial and economic context and can usually be assumed to have intended the result, and therefore, </w:t>
      </w:r>
      <w:r w:rsidRPr="007C3D10">
        <w:rPr>
          <w:i/>
          <w:iCs/>
          <w:szCs w:val="24"/>
        </w:rPr>
        <w:t>ex hypothesi</w:t>
      </w:r>
      <w:r>
        <w:rPr>
          <w:szCs w:val="24"/>
        </w:rPr>
        <w:t>, not to have regarded it as one which has no commercial or economic rationale.</w:t>
      </w:r>
    </w:p>
    <w:p w14:paraId="0AACE449" w14:textId="52628153" w:rsidR="0027541C" w:rsidRDefault="0045131F" w:rsidP="00C662F9">
      <w:pPr>
        <w:pStyle w:val="ParaLevel1"/>
        <w:numPr>
          <w:ilvl w:val="0"/>
          <w:numId w:val="11"/>
        </w:numPr>
        <w:ind w:left="454" w:hanging="454"/>
        <w:rPr>
          <w:szCs w:val="24"/>
        </w:rPr>
      </w:pPr>
      <w:r>
        <w:rPr>
          <w:szCs w:val="24"/>
        </w:rPr>
        <w:t xml:space="preserve">That is particularly so </w:t>
      </w:r>
      <w:r w:rsidRPr="002954DA">
        <w:rPr>
          <w:szCs w:val="24"/>
        </w:rPr>
        <w:t>where</w:t>
      </w:r>
      <w:r>
        <w:rPr>
          <w:szCs w:val="24"/>
        </w:rPr>
        <w:t xml:space="preserve">, as in this case, </w:t>
      </w:r>
      <w:r w:rsidRPr="002954DA">
        <w:rPr>
          <w:szCs w:val="24"/>
        </w:rPr>
        <w:t xml:space="preserve">contract terms have been negotiated and prepared with the assistance of skilled lawyers, </w:t>
      </w:r>
      <w:r>
        <w:rPr>
          <w:szCs w:val="24"/>
        </w:rPr>
        <w:t xml:space="preserve">and </w:t>
      </w:r>
      <w:r w:rsidRPr="002954DA">
        <w:rPr>
          <w:szCs w:val="24"/>
        </w:rPr>
        <w:t>where the provision in question is an important one on which the lawyers and their clients can be expected to have focussed their attention</w:t>
      </w:r>
      <w:r w:rsidR="004D099B">
        <w:rPr>
          <w:szCs w:val="24"/>
        </w:rPr>
        <w:t xml:space="preserve">, </w:t>
      </w:r>
      <w:r w:rsidRPr="002954DA">
        <w:rPr>
          <w:szCs w:val="24"/>
        </w:rPr>
        <w:t xml:space="preserve">and </w:t>
      </w:r>
      <w:r w:rsidR="009D6A93">
        <w:rPr>
          <w:szCs w:val="24"/>
        </w:rPr>
        <w:t xml:space="preserve">to have </w:t>
      </w:r>
      <w:r w:rsidRPr="002954DA">
        <w:rPr>
          <w:szCs w:val="24"/>
        </w:rPr>
        <w:t xml:space="preserve">taken care to ensure that it accurately expressed the bargain.   </w:t>
      </w:r>
      <w:r w:rsidR="00230254">
        <w:rPr>
          <w:szCs w:val="24"/>
        </w:rPr>
        <w:t>T</w:t>
      </w:r>
      <w:r w:rsidRPr="006D2B74">
        <w:rPr>
          <w:szCs w:val="24"/>
        </w:rPr>
        <w:t xml:space="preserve">he Adjustment Provision is critical to the operation of the Growth Condition </w:t>
      </w:r>
      <w:r w:rsidR="002063B8">
        <w:rPr>
          <w:szCs w:val="24"/>
        </w:rPr>
        <w:t xml:space="preserve">and Level Condition </w:t>
      </w:r>
      <w:r w:rsidRPr="006D2B74">
        <w:rPr>
          <w:szCs w:val="24"/>
        </w:rPr>
        <w:t xml:space="preserve">which </w:t>
      </w:r>
      <w:r w:rsidR="002063B8">
        <w:rPr>
          <w:szCs w:val="24"/>
        </w:rPr>
        <w:t xml:space="preserve">are at </w:t>
      </w:r>
      <w:r w:rsidRPr="006D2B74">
        <w:rPr>
          <w:szCs w:val="24"/>
        </w:rPr>
        <w:t>the heart of the instrument, determining when a payment is due</w:t>
      </w:r>
      <w:r w:rsidR="002063B8">
        <w:rPr>
          <w:szCs w:val="24"/>
        </w:rPr>
        <w:t xml:space="preserve">, and affects the </w:t>
      </w:r>
      <w:r w:rsidR="00E666C9">
        <w:rPr>
          <w:szCs w:val="24"/>
        </w:rPr>
        <w:t>amount of any payment.</w:t>
      </w:r>
      <w:r w:rsidRPr="006D2B74">
        <w:rPr>
          <w:szCs w:val="24"/>
        </w:rPr>
        <w:t xml:space="preserve">  If the language points </w:t>
      </w:r>
      <w:r w:rsidR="004D099B">
        <w:rPr>
          <w:szCs w:val="24"/>
        </w:rPr>
        <w:t xml:space="preserve">clearly to </w:t>
      </w:r>
      <w:r w:rsidR="002813BA">
        <w:rPr>
          <w:szCs w:val="24"/>
        </w:rPr>
        <w:t xml:space="preserve">one construction, </w:t>
      </w:r>
      <w:r w:rsidRPr="006D2B74">
        <w:rPr>
          <w:szCs w:val="24"/>
        </w:rPr>
        <w:t>the court should not readily conclude that the sophisticated parties involved</w:t>
      </w:r>
      <w:r w:rsidR="001D7425">
        <w:rPr>
          <w:szCs w:val="24"/>
        </w:rPr>
        <w:t xml:space="preserve"> in agreeing to it, </w:t>
      </w:r>
      <w:r w:rsidRPr="006D2B74">
        <w:rPr>
          <w:szCs w:val="24"/>
        </w:rPr>
        <w:t xml:space="preserve">with their understanding of GDP concepts and the benefit of advice on drafting from lawyers on both sides, would have regarded the economic and commercial consequences as anything other than that which </w:t>
      </w:r>
      <w:r w:rsidR="00D12C7C">
        <w:rPr>
          <w:szCs w:val="24"/>
        </w:rPr>
        <w:t>follow from the word used.</w:t>
      </w:r>
    </w:p>
    <w:p w14:paraId="602099D9" w14:textId="0367FE51" w:rsidR="0027541C" w:rsidRPr="0045131F" w:rsidRDefault="0027541C" w:rsidP="00C662F9">
      <w:pPr>
        <w:pStyle w:val="ParaLevel1"/>
        <w:numPr>
          <w:ilvl w:val="0"/>
          <w:numId w:val="11"/>
        </w:numPr>
        <w:ind w:left="454" w:hanging="454"/>
        <w:rPr>
          <w:szCs w:val="24"/>
        </w:rPr>
      </w:pPr>
      <w:r>
        <w:rPr>
          <w:szCs w:val="24"/>
        </w:rPr>
        <w:t xml:space="preserve">There may be a number of different outcomes which the parties might hypothetically have wanted to achieve, with differing degrees of attraction in terms of the commercial and economic consequences.  But however sensible it might have been for them to have made a particular choice by reference to its economic or commercial consequences, the court cannot give effect to that result by a process of construction unless the language used is capable of bearing that meaning, because construction is an exercise in ascertaining the meaning from the language used.  As Lord Hodge said in </w:t>
      </w:r>
      <w:r w:rsidRPr="002332A8">
        <w:rPr>
          <w:i/>
          <w:iCs/>
          <w:szCs w:val="24"/>
        </w:rPr>
        <w:t>Arnold v Britton</w:t>
      </w:r>
      <w:r>
        <w:rPr>
          <w:szCs w:val="24"/>
        </w:rPr>
        <w:t xml:space="preserve"> at [77], there must be a basis in the words used, within their factual matrix, for the rival meaning.  As Lord Clarke said in </w:t>
      </w:r>
      <w:r w:rsidRPr="007362CB">
        <w:rPr>
          <w:i/>
          <w:iCs/>
          <w:szCs w:val="24"/>
        </w:rPr>
        <w:t>Rainy Sky</w:t>
      </w:r>
      <w:r>
        <w:rPr>
          <w:szCs w:val="24"/>
        </w:rPr>
        <w:t xml:space="preserve"> at [23], where the parties have used unambiguous language, the court must apply it.</w:t>
      </w:r>
    </w:p>
    <w:p w14:paraId="5DBB1098" w14:textId="448FAF58" w:rsidR="0027541C" w:rsidRPr="003E3A53" w:rsidRDefault="0027541C" w:rsidP="00C662F9">
      <w:pPr>
        <w:pStyle w:val="ParaLevel1"/>
        <w:numPr>
          <w:ilvl w:val="0"/>
          <w:numId w:val="11"/>
        </w:numPr>
        <w:ind w:left="454" w:hanging="454"/>
        <w:rPr>
          <w:szCs w:val="24"/>
        </w:rPr>
      </w:pPr>
      <w:r>
        <w:rPr>
          <w:szCs w:val="24"/>
        </w:rPr>
        <w:t xml:space="preserve">I would also emphasise that where the instrument in question is a bond which will be traded in the market, particular care needs to be taken to ensure that what is relied on as </w:t>
      </w:r>
      <w:r>
        <w:rPr>
          <w:szCs w:val="24"/>
        </w:rPr>
        <w:lastRenderedPageBreak/>
        <w:t xml:space="preserve">factual matrix is material which was not only reasonably available to the original parties when the instrument came into existence, but also reasonably available to an investor when purchasing the instrument in the market, in the sense that the market investor can reasonably have been expected to have sought it out.  The Adjustment Provision in these Securities must mean the same for </w:t>
      </w:r>
      <w:r w:rsidR="00B03DD2">
        <w:rPr>
          <w:szCs w:val="24"/>
        </w:rPr>
        <w:t xml:space="preserve">holders </w:t>
      </w:r>
      <w:r>
        <w:rPr>
          <w:szCs w:val="24"/>
        </w:rPr>
        <w:t xml:space="preserve">who purchase them many years after they were issued as for the original holders, and the relevant factual matrix is limited to what it is reasonable to expect such investors to have taken into account. </w:t>
      </w:r>
      <w:r w:rsidR="004835E8">
        <w:rPr>
          <w:szCs w:val="24"/>
        </w:rPr>
        <w:t xml:space="preserve"> </w:t>
      </w:r>
      <w:r>
        <w:rPr>
          <w:szCs w:val="24"/>
        </w:rPr>
        <w:t>The primary source of understanding for such an investor will be the words used in the instrument, supplemented in case of any doubt by the prospectus</w:t>
      </w:r>
      <w:r w:rsidR="00C7554D">
        <w:rPr>
          <w:szCs w:val="24"/>
        </w:rPr>
        <w:t xml:space="preserve">.  </w:t>
      </w:r>
      <w:r>
        <w:rPr>
          <w:szCs w:val="24"/>
        </w:rPr>
        <w:t xml:space="preserve">Such an investor cannot reasonably be expected to delve into the detail of what may have passed between the issuer and original investors when the instruments were being </w:t>
      </w:r>
      <w:r w:rsidR="00CA7ECA">
        <w:rPr>
          <w:szCs w:val="24"/>
        </w:rPr>
        <w:t>proposed</w:t>
      </w:r>
      <w:r>
        <w:rPr>
          <w:szCs w:val="24"/>
        </w:rPr>
        <w:t xml:space="preserve">, or to have searched a website to see what was published at the time.  The primacy of the words used in the instrument is particularly acute in such cases, although the iterative process of considering the commercial and economic consequences still falls to be applied.  A similar point was made by Lord Collins in </w:t>
      </w:r>
      <w:r w:rsidRPr="003B3120">
        <w:rPr>
          <w:i/>
          <w:iCs/>
          <w:szCs w:val="24"/>
        </w:rPr>
        <w:t>In re Sigma Finance</w:t>
      </w:r>
      <w:r>
        <w:rPr>
          <w:szCs w:val="24"/>
        </w:rPr>
        <w:t xml:space="preserve"> at [</w:t>
      </w:r>
      <w:r w:rsidR="002D04E1">
        <w:rPr>
          <w:szCs w:val="24"/>
        </w:rPr>
        <w:t>3</w:t>
      </w:r>
      <w:r>
        <w:rPr>
          <w:szCs w:val="24"/>
        </w:rPr>
        <w:t>7].</w:t>
      </w:r>
    </w:p>
    <w:p w14:paraId="55CC56CD" w14:textId="6DB9FDAA" w:rsidR="00765030" w:rsidRPr="00765030" w:rsidRDefault="004835E8" w:rsidP="00C662F9">
      <w:pPr>
        <w:pStyle w:val="ParaLevel1"/>
        <w:numPr>
          <w:ilvl w:val="0"/>
          <w:numId w:val="11"/>
        </w:numPr>
        <w:ind w:left="454" w:hanging="454"/>
        <w:rPr>
          <w:szCs w:val="24"/>
        </w:rPr>
      </w:pPr>
      <w:r>
        <w:rPr>
          <w:szCs w:val="24"/>
        </w:rPr>
        <w:t xml:space="preserve">One further aspect </w:t>
      </w:r>
      <w:r w:rsidR="004717D9">
        <w:rPr>
          <w:szCs w:val="24"/>
        </w:rPr>
        <w:t xml:space="preserve">the relevant principles is of significance in this case.  </w:t>
      </w:r>
      <w:r w:rsidR="00230254">
        <w:rPr>
          <w:szCs w:val="24"/>
        </w:rPr>
        <w:t xml:space="preserve">In </w:t>
      </w:r>
      <w:r w:rsidR="00E926E1" w:rsidRPr="00D15325">
        <w:rPr>
          <w:i/>
          <w:iCs/>
          <w:szCs w:val="24"/>
        </w:rPr>
        <w:t>Wood v Capita</w:t>
      </w:r>
      <w:r w:rsidR="00E926E1">
        <w:rPr>
          <w:szCs w:val="24"/>
        </w:rPr>
        <w:t>, Lord Hodge said at [13]</w:t>
      </w:r>
      <w:r w:rsidR="00781779">
        <w:rPr>
          <w:szCs w:val="24"/>
        </w:rPr>
        <w:t>:</w:t>
      </w:r>
      <w:bookmarkStart w:id="6" w:name="para13"/>
      <w:r w:rsidR="00765030" w:rsidRPr="00765030">
        <w:rPr>
          <w:color w:val="000000"/>
          <w:sz w:val="26"/>
          <w:szCs w:val="26"/>
        </w:rPr>
        <w:t xml:space="preserve"> </w:t>
      </w:r>
    </w:p>
    <w:p w14:paraId="562F5B2F" w14:textId="0EF7B689" w:rsidR="00781779" w:rsidRDefault="00CD1A0C" w:rsidP="00C7371D">
      <w:pPr>
        <w:pStyle w:val="ParaLevel1"/>
        <w:numPr>
          <w:ilvl w:val="0"/>
          <w:numId w:val="0"/>
        </w:numPr>
        <w:ind w:left="1134"/>
        <w:rPr>
          <w:szCs w:val="24"/>
        </w:rPr>
      </w:pPr>
      <w:r>
        <w:rPr>
          <w:color w:val="000000"/>
          <w:sz w:val="26"/>
          <w:szCs w:val="26"/>
        </w:rPr>
        <w:t>“</w:t>
      </w:r>
      <w:r w:rsidR="00765030" w:rsidRPr="00765030">
        <w:rPr>
          <w:szCs w:val="24"/>
        </w:rPr>
        <w:t>Textualism and contextualism are not conflicting paradigms in a battle for exclusive occupation of the field of contractual interpretation. Rather, the lawyer and the judge, when interpreting any contract, can use them as tools to ascertain the objective meaning of the language which the parties have chosen to express their agreement. The extent to which each tool will assist the court in its task wil</w:t>
      </w:r>
      <w:r>
        <w:rPr>
          <w:szCs w:val="24"/>
        </w:rPr>
        <w:t xml:space="preserve">l vary </w:t>
      </w:r>
      <w:bookmarkEnd w:id="6"/>
      <w:r w:rsidR="00765030" w:rsidRPr="00765030">
        <w:rPr>
          <w:szCs w:val="24"/>
        </w:rPr>
        <w:t>according to the circumstances of the particular agreement or agreements. Some agreements may be successfully interpreted principally by textual analysis, for example because of their sophistication and complexity and because they have been negotiated and prepared with the assistance of skilled professionals. The correct interpretation of other contracts may be achieved by a greater emphasis on the factual matrix, for example because of their informality, brevity or the absence of skilled professional assistance. But negotiators of complex formal contracts may often not achieve a logical and coherent text because of, for example, the conflicting aims of the parties, failures of communication, differing drafting practices, or deadlines which require the parties to compromise in order to reach agreement. There may often therefore be provisions in a detailed professionally drawn contract which lack clarity and the lawyer or judge in interpreting such provisions may be particularly helped by considering the factual matrix and the purpose of similar provisions in contracts of the same type. The iterative process, of which Lord Mance spoke in </w:t>
      </w:r>
      <w:r w:rsidR="00765030" w:rsidRPr="00765030">
        <w:rPr>
          <w:i/>
          <w:iCs/>
          <w:szCs w:val="24"/>
        </w:rPr>
        <w:t>Sigma Finance Corpn</w:t>
      </w:r>
      <w:r w:rsidR="00765030" w:rsidRPr="00765030">
        <w:rPr>
          <w:szCs w:val="24"/>
        </w:rPr>
        <w:t> (above), assists the lawyer or judge to ascertain the objective meaning of disputed provisions.</w:t>
      </w:r>
      <w:r w:rsidR="008B5F4C">
        <w:rPr>
          <w:szCs w:val="24"/>
        </w:rPr>
        <w:t>”</w:t>
      </w:r>
    </w:p>
    <w:p w14:paraId="3573EF64" w14:textId="29E59EF7" w:rsidR="0045131F" w:rsidRDefault="003D03A3" w:rsidP="00C662F9">
      <w:pPr>
        <w:pStyle w:val="ParaLevel1"/>
        <w:numPr>
          <w:ilvl w:val="0"/>
          <w:numId w:val="11"/>
        </w:numPr>
        <w:ind w:left="454" w:hanging="454"/>
        <w:rPr>
          <w:szCs w:val="24"/>
        </w:rPr>
      </w:pPr>
      <w:r>
        <w:rPr>
          <w:szCs w:val="24"/>
        </w:rPr>
        <w:t xml:space="preserve">Because the </w:t>
      </w:r>
      <w:r w:rsidR="00F621A7">
        <w:rPr>
          <w:szCs w:val="24"/>
        </w:rPr>
        <w:t xml:space="preserve">Adjustment Provision </w:t>
      </w:r>
      <w:r w:rsidR="006A4EAC">
        <w:rPr>
          <w:szCs w:val="24"/>
        </w:rPr>
        <w:t xml:space="preserve">is </w:t>
      </w:r>
      <w:r w:rsidR="00E86B09">
        <w:rPr>
          <w:szCs w:val="24"/>
        </w:rPr>
        <w:t xml:space="preserve">of central importance to the Securities </w:t>
      </w:r>
      <w:r w:rsidR="00E62454">
        <w:rPr>
          <w:szCs w:val="24"/>
        </w:rPr>
        <w:t xml:space="preserve">and must have been focussed on by the parties and those skilled professionals involved in its negotiation and drafting, and because the </w:t>
      </w:r>
      <w:r w:rsidR="00343507">
        <w:rPr>
          <w:szCs w:val="24"/>
        </w:rPr>
        <w:t xml:space="preserve">language in which it is expressed will be the primary source available to purchasers in the secondary market </w:t>
      </w:r>
      <w:r w:rsidR="00E6595F">
        <w:rPr>
          <w:szCs w:val="24"/>
        </w:rPr>
        <w:t xml:space="preserve">in understanding its effect, </w:t>
      </w:r>
      <w:r w:rsidR="00D119F1">
        <w:rPr>
          <w:szCs w:val="24"/>
        </w:rPr>
        <w:t>it is</w:t>
      </w:r>
      <w:r w:rsidR="00144BF3">
        <w:rPr>
          <w:szCs w:val="24"/>
        </w:rPr>
        <w:t xml:space="preserve">, in Lord Hodge’s words, </w:t>
      </w:r>
      <w:r w:rsidR="00D119F1">
        <w:rPr>
          <w:szCs w:val="24"/>
        </w:rPr>
        <w:t xml:space="preserve">the </w:t>
      </w:r>
      <w:r w:rsidR="00781779">
        <w:rPr>
          <w:szCs w:val="24"/>
        </w:rPr>
        <w:t xml:space="preserve">type of agreement which can be </w:t>
      </w:r>
      <w:r w:rsidR="00311C3B">
        <w:rPr>
          <w:szCs w:val="24"/>
        </w:rPr>
        <w:t>successfully interpreted princip</w:t>
      </w:r>
      <w:r w:rsidR="006A4EAC">
        <w:rPr>
          <w:szCs w:val="24"/>
        </w:rPr>
        <w:t xml:space="preserve">ally </w:t>
      </w:r>
      <w:r w:rsidR="00311C3B">
        <w:rPr>
          <w:szCs w:val="24"/>
        </w:rPr>
        <w:t>by textual analysis</w:t>
      </w:r>
      <w:r w:rsidR="00F621A7">
        <w:rPr>
          <w:szCs w:val="24"/>
        </w:rPr>
        <w:t xml:space="preserve"> </w:t>
      </w:r>
      <w:r w:rsidR="00897E97">
        <w:rPr>
          <w:szCs w:val="24"/>
        </w:rPr>
        <w:t xml:space="preserve">unless it lacks clarity. </w:t>
      </w:r>
      <w:r w:rsidR="000B13C1">
        <w:rPr>
          <w:szCs w:val="24"/>
        </w:rPr>
        <w:t>Textualism is</w:t>
      </w:r>
      <w:r w:rsidR="00522BA8">
        <w:rPr>
          <w:szCs w:val="24"/>
        </w:rPr>
        <w:t xml:space="preserve">, </w:t>
      </w:r>
      <w:r w:rsidR="00144BF3">
        <w:rPr>
          <w:szCs w:val="24"/>
        </w:rPr>
        <w:t>in this case</w:t>
      </w:r>
      <w:r w:rsidR="00522BA8">
        <w:rPr>
          <w:szCs w:val="24"/>
        </w:rPr>
        <w:t>,</w:t>
      </w:r>
      <w:r w:rsidR="00144BF3">
        <w:rPr>
          <w:szCs w:val="24"/>
        </w:rPr>
        <w:t xml:space="preserve"> the </w:t>
      </w:r>
      <w:r w:rsidR="000B13C1">
        <w:rPr>
          <w:szCs w:val="24"/>
        </w:rPr>
        <w:t>most useful tool, although not the only one.</w:t>
      </w:r>
      <w:r w:rsidR="00897E97">
        <w:rPr>
          <w:szCs w:val="24"/>
        </w:rPr>
        <w:t xml:space="preserve"> </w:t>
      </w:r>
      <w:r w:rsidR="00F621A7">
        <w:rPr>
          <w:szCs w:val="24"/>
        </w:rPr>
        <w:t xml:space="preserve"> </w:t>
      </w:r>
      <w:r w:rsidR="0045131F" w:rsidRPr="002954DA">
        <w:rPr>
          <w:szCs w:val="24"/>
        </w:rPr>
        <w:t xml:space="preserve"> </w:t>
      </w:r>
    </w:p>
    <w:p w14:paraId="1348CEC6" w14:textId="64406484" w:rsidR="00384CF9" w:rsidRDefault="003E3A53" w:rsidP="00C662F9">
      <w:pPr>
        <w:pStyle w:val="ParaLevel1"/>
        <w:numPr>
          <w:ilvl w:val="0"/>
          <w:numId w:val="11"/>
        </w:numPr>
        <w:ind w:left="454" w:hanging="454"/>
        <w:rPr>
          <w:szCs w:val="24"/>
        </w:rPr>
      </w:pPr>
      <w:r>
        <w:rPr>
          <w:szCs w:val="24"/>
        </w:rPr>
        <w:t xml:space="preserve">All this is </w:t>
      </w:r>
      <w:r w:rsidR="00384CF9">
        <w:rPr>
          <w:szCs w:val="24"/>
        </w:rPr>
        <w:t xml:space="preserve">subject to </w:t>
      </w:r>
      <w:r w:rsidR="00C6412F">
        <w:rPr>
          <w:szCs w:val="24"/>
        </w:rPr>
        <w:t xml:space="preserve">the caveat that the </w:t>
      </w:r>
      <w:r w:rsidR="00384CF9">
        <w:rPr>
          <w:szCs w:val="24"/>
        </w:rPr>
        <w:t xml:space="preserve">Court has the power to correct obvious mistakes where it is clear from the document itself and the background or context that something </w:t>
      </w:r>
      <w:r w:rsidR="00384CF9">
        <w:rPr>
          <w:szCs w:val="24"/>
        </w:rPr>
        <w:lastRenderedPageBreak/>
        <w:t xml:space="preserve">has gone wrong with the language. </w:t>
      </w:r>
      <w:r w:rsidR="00C6412F">
        <w:rPr>
          <w:szCs w:val="24"/>
        </w:rPr>
        <w:t xml:space="preserve"> </w:t>
      </w:r>
      <w:r w:rsidR="00384CF9">
        <w:rPr>
          <w:szCs w:val="24"/>
        </w:rPr>
        <w:t xml:space="preserve">The power was recognised by Lord St Leonards in </w:t>
      </w:r>
      <w:r w:rsidR="00384CF9" w:rsidRPr="00053B2A">
        <w:rPr>
          <w:i/>
          <w:iCs/>
          <w:szCs w:val="24"/>
        </w:rPr>
        <w:t>Wilson v Wilson</w:t>
      </w:r>
      <w:r w:rsidR="00384CF9">
        <w:rPr>
          <w:szCs w:val="24"/>
        </w:rPr>
        <w:t xml:space="preserve"> (1854) 5 HL Cas 40 at p. 66.  It was described and applied by Lord Hoffmann in </w:t>
      </w:r>
      <w:r w:rsidR="00384CF9" w:rsidRPr="00053B2A">
        <w:rPr>
          <w:i/>
          <w:iCs/>
          <w:szCs w:val="24"/>
        </w:rPr>
        <w:t>Chartbrook</w:t>
      </w:r>
      <w:r w:rsidR="00384CF9">
        <w:rPr>
          <w:szCs w:val="24"/>
        </w:rPr>
        <w:t xml:space="preserve">: see at [21] to [25].  </w:t>
      </w:r>
      <w:r w:rsidR="007362CB">
        <w:rPr>
          <w:szCs w:val="24"/>
        </w:rPr>
        <w:t>I</w:t>
      </w:r>
      <w:r w:rsidR="00653A7B">
        <w:rPr>
          <w:szCs w:val="24"/>
        </w:rPr>
        <w:t xml:space="preserve">t </w:t>
      </w:r>
      <w:r w:rsidR="007362CB">
        <w:rPr>
          <w:szCs w:val="24"/>
        </w:rPr>
        <w:t>has been described as a principle of interpretation or construction</w:t>
      </w:r>
      <w:r w:rsidR="000F740B">
        <w:rPr>
          <w:szCs w:val="24"/>
        </w:rPr>
        <w:t xml:space="preserve">.  </w:t>
      </w:r>
      <w:r w:rsidR="00742EA0">
        <w:rPr>
          <w:szCs w:val="24"/>
        </w:rPr>
        <w:t xml:space="preserve">It is </w:t>
      </w:r>
      <w:r w:rsidR="00384CF9">
        <w:rPr>
          <w:szCs w:val="24"/>
        </w:rPr>
        <w:t xml:space="preserve">subject to two stringent conditions which must be satisfied, which were expressed by Brightman LJ in </w:t>
      </w:r>
      <w:r w:rsidR="00384CF9" w:rsidRPr="00053B2A">
        <w:rPr>
          <w:i/>
          <w:iCs/>
          <w:szCs w:val="24"/>
        </w:rPr>
        <w:t xml:space="preserve">East v Pantiles (Plant Hire) Ltd </w:t>
      </w:r>
      <w:r w:rsidR="00384CF9">
        <w:rPr>
          <w:szCs w:val="24"/>
        </w:rPr>
        <w:t>(1981) 263 EG 61 as follows:</w:t>
      </w:r>
    </w:p>
    <w:p w14:paraId="6B3130C2" w14:textId="73EC8297" w:rsidR="00384CF9" w:rsidRPr="00E71E82" w:rsidRDefault="00384CF9" w:rsidP="00C7371D">
      <w:pPr>
        <w:pStyle w:val="ParaLevel1"/>
        <w:numPr>
          <w:ilvl w:val="0"/>
          <w:numId w:val="0"/>
        </w:numPr>
        <w:ind w:left="1134"/>
        <w:rPr>
          <w:szCs w:val="24"/>
        </w:rPr>
      </w:pPr>
      <w:r>
        <w:rPr>
          <w:szCs w:val="24"/>
        </w:rPr>
        <w:t>“Two conditions must be satisfied: first there must be a clear mistake on the face of the instrument; secondly it must be clear what correction ought to be made in order to cure the mistake</w:t>
      </w:r>
      <w:r w:rsidR="00E71E82">
        <w:rPr>
          <w:szCs w:val="24"/>
        </w:rPr>
        <w:t>…</w:t>
      </w:r>
      <w:r w:rsidR="00E71E82" w:rsidRPr="00E71E82">
        <w:t xml:space="preserve"> </w:t>
      </w:r>
      <w:r w:rsidR="00E71E82" w:rsidRPr="00E71E82">
        <w:rPr>
          <w:szCs w:val="24"/>
        </w:rPr>
        <w:t>In Snell's Principles of Equity 27th ed p 611 the principle of rectification by construction is said to apply only to obvious clerical blunders or grammatical mistakes. I agree with that approach. Perhaps it might be summarised by saying that the principle applies where a reader with sufficient experience of the sort of document in issue would inevitably say to himself, “Of course X is a mistake for Y”</w:t>
      </w:r>
      <w:r w:rsidR="00E71E82">
        <w:rPr>
          <w:szCs w:val="24"/>
        </w:rPr>
        <w:t>.</w:t>
      </w:r>
      <w:r w:rsidRPr="00E71E82">
        <w:rPr>
          <w:szCs w:val="24"/>
        </w:rPr>
        <w:t>”</w:t>
      </w:r>
    </w:p>
    <w:p w14:paraId="2807A75A" w14:textId="59E30B88" w:rsidR="007B1C56" w:rsidRDefault="00384CF9" w:rsidP="00C662F9">
      <w:pPr>
        <w:pStyle w:val="ParaLevel1"/>
        <w:numPr>
          <w:ilvl w:val="0"/>
          <w:numId w:val="11"/>
        </w:numPr>
        <w:ind w:left="454" w:hanging="454"/>
        <w:rPr>
          <w:szCs w:val="24"/>
        </w:rPr>
      </w:pPr>
      <w:r>
        <w:rPr>
          <w:szCs w:val="24"/>
        </w:rPr>
        <w:t xml:space="preserve">Lord Hoffmann endorsed these conditions in </w:t>
      </w:r>
      <w:r w:rsidR="00E65B92">
        <w:rPr>
          <w:i/>
          <w:iCs/>
          <w:szCs w:val="24"/>
        </w:rPr>
        <w:t>Chartbrook</w:t>
      </w:r>
      <w:r>
        <w:rPr>
          <w:szCs w:val="24"/>
        </w:rPr>
        <w:t>, subject to making clear that context and background can be resorted to, as well as the terms of the instrument, in determining whether there has been a clear mistake</w:t>
      </w:r>
      <w:r w:rsidR="007B1C56">
        <w:rPr>
          <w:szCs w:val="24"/>
        </w:rPr>
        <w:t>.</w:t>
      </w:r>
    </w:p>
    <w:p w14:paraId="59287078" w14:textId="4831B173" w:rsidR="00384CF9" w:rsidRDefault="007B1C56" w:rsidP="00C662F9">
      <w:pPr>
        <w:pStyle w:val="ParaLevel1"/>
        <w:numPr>
          <w:ilvl w:val="0"/>
          <w:numId w:val="11"/>
        </w:numPr>
        <w:ind w:left="454" w:hanging="454"/>
        <w:rPr>
          <w:szCs w:val="24"/>
        </w:rPr>
      </w:pPr>
      <w:r>
        <w:rPr>
          <w:szCs w:val="24"/>
        </w:rPr>
        <w:t>Lord Hoffmann also s</w:t>
      </w:r>
      <w:r w:rsidR="00384CF9">
        <w:rPr>
          <w:szCs w:val="24"/>
        </w:rPr>
        <w:t xml:space="preserve">aid that the principle was not separate from the exercise of construction but an aspect of it.  </w:t>
      </w:r>
      <w:r w:rsidR="00F7273B">
        <w:rPr>
          <w:szCs w:val="24"/>
        </w:rPr>
        <w:t xml:space="preserve">Whether that is conceptually so is a matter for debate.  </w:t>
      </w:r>
      <w:r w:rsidR="00503BAD">
        <w:rPr>
          <w:szCs w:val="24"/>
        </w:rPr>
        <w:t>F</w:t>
      </w:r>
      <w:r w:rsidR="00384CF9">
        <w:rPr>
          <w:szCs w:val="24"/>
        </w:rPr>
        <w:t xml:space="preserve">or my part I would </w:t>
      </w:r>
      <w:r w:rsidR="00612281">
        <w:rPr>
          <w:szCs w:val="24"/>
        </w:rPr>
        <w:t xml:space="preserve">agree with </w:t>
      </w:r>
      <w:r w:rsidR="00384CF9">
        <w:rPr>
          <w:szCs w:val="24"/>
        </w:rPr>
        <w:t xml:space="preserve">what Nugee LJ said in </w:t>
      </w:r>
      <w:r w:rsidR="00384CF9" w:rsidRPr="002C1CA7">
        <w:rPr>
          <w:i/>
          <w:iCs/>
          <w:szCs w:val="24"/>
        </w:rPr>
        <w:t>Monsolar IQ Ltd v Woden Park Ltd</w:t>
      </w:r>
      <w:r w:rsidR="00384CF9">
        <w:rPr>
          <w:szCs w:val="24"/>
        </w:rPr>
        <w:t xml:space="preserve"> [2022] 2 P &amp; CR 10 at [25] that this is in principle a different exercise from that of choosing between rival interpretations. </w:t>
      </w:r>
      <w:r w:rsidR="00503BAD">
        <w:rPr>
          <w:szCs w:val="24"/>
        </w:rPr>
        <w:t xml:space="preserve"> </w:t>
      </w:r>
      <w:r w:rsidR="00384CF9">
        <w:rPr>
          <w:szCs w:val="24"/>
        </w:rPr>
        <w:t xml:space="preserve">The latter is seeking to give effect to the language used; whereas the power to correct a mistake operates to replace the language in order to give effect to a meaning which the language in the instrument will not bear.  It is only necessary to resort to the </w:t>
      </w:r>
      <w:r w:rsidR="00384CF9" w:rsidRPr="00864C3D">
        <w:rPr>
          <w:i/>
          <w:iCs/>
          <w:szCs w:val="24"/>
        </w:rPr>
        <w:t>Chartbrook</w:t>
      </w:r>
      <w:r w:rsidR="00384CF9">
        <w:rPr>
          <w:szCs w:val="24"/>
        </w:rPr>
        <w:t xml:space="preserve"> principle if the iterative process of construction cannot achieve the desired interpretation of the language used by the</w:t>
      </w:r>
      <w:r w:rsidR="001F1AC6">
        <w:rPr>
          <w:szCs w:val="24"/>
        </w:rPr>
        <w:t xml:space="preserve"> </w:t>
      </w:r>
      <w:r w:rsidR="00384CF9">
        <w:rPr>
          <w:szCs w:val="24"/>
        </w:rPr>
        <w:t>parties</w:t>
      </w:r>
      <w:r w:rsidR="00A523DC">
        <w:rPr>
          <w:szCs w:val="24"/>
        </w:rPr>
        <w:t xml:space="preserve"> as a permissible meaning of the </w:t>
      </w:r>
      <w:r w:rsidR="00DC5A68">
        <w:rPr>
          <w:szCs w:val="24"/>
        </w:rPr>
        <w:t>wording</w:t>
      </w:r>
      <w:r w:rsidR="00384CF9">
        <w:rPr>
          <w:szCs w:val="24"/>
        </w:rPr>
        <w:t>.  That is how it was approached by Mr Railton on behalf of the Republic in this case.  He argued that the One</w:t>
      </w:r>
      <w:r w:rsidR="00597607">
        <w:rPr>
          <w:szCs w:val="24"/>
        </w:rPr>
        <w:t>-</w:t>
      </w:r>
      <w:r w:rsidR="00384CF9">
        <w:rPr>
          <w:szCs w:val="24"/>
        </w:rPr>
        <w:t>Off</w:t>
      </w:r>
      <w:r w:rsidR="00A8696B">
        <w:rPr>
          <w:szCs w:val="24"/>
        </w:rPr>
        <w:t xml:space="preserve"> c</w:t>
      </w:r>
      <w:r w:rsidR="00384CF9">
        <w:rPr>
          <w:szCs w:val="24"/>
        </w:rPr>
        <w:t>onstruction was the true construction of the Adjustment Provision properly applying the iterative process which a</w:t>
      </w:r>
      <w:r w:rsidR="00991AEA">
        <w:rPr>
          <w:szCs w:val="24"/>
        </w:rPr>
        <w:t>ssessed th</w:t>
      </w:r>
      <w:r w:rsidR="00384CF9">
        <w:rPr>
          <w:szCs w:val="24"/>
        </w:rPr>
        <w:t xml:space="preserve">e language against the commercial and economic consequences of the rival arguments.  His reliance on the power to correct mistakes was put forward as a separate alternative argument.  But it does not </w:t>
      </w:r>
      <w:r w:rsidR="00991AEA">
        <w:rPr>
          <w:szCs w:val="24"/>
        </w:rPr>
        <w:t xml:space="preserve">ultimately </w:t>
      </w:r>
      <w:r w:rsidR="00384CF9">
        <w:rPr>
          <w:szCs w:val="24"/>
        </w:rPr>
        <w:t xml:space="preserve">matter whether the exercise is treated as a separate one or </w:t>
      </w:r>
      <w:r w:rsidR="00CD59FF">
        <w:rPr>
          <w:szCs w:val="24"/>
        </w:rPr>
        <w:t xml:space="preserve">an aspect of </w:t>
      </w:r>
      <w:r w:rsidR="00384CF9">
        <w:rPr>
          <w:szCs w:val="24"/>
        </w:rPr>
        <w:t xml:space="preserve">a single </w:t>
      </w:r>
      <w:r w:rsidR="000C32B3">
        <w:rPr>
          <w:szCs w:val="24"/>
        </w:rPr>
        <w:t>process of construction.</w:t>
      </w:r>
      <w:r w:rsidR="00384CF9">
        <w:rPr>
          <w:szCs w:val="24"/>
        </w:rPr>
        <w:t xml:space="preserve">  Where it is invoked, as it is in the alternative by the Republic in this case, it is necessary to address it.  </w:t>
      </w:r>
    </w:p>
    <w:p w14:paraId="7F6F9E4E" w14:textId="479421D9" w:rsidR="00384CF9" w:rsidRPr="006B46BE" w:rsidRDefault="00384CF9" w:rsidP="00C662F9">
      <w:pPr>
        <w:pStyle w:val="ParaLevel1"/>
        <w:numPr>
          <w:ilvl w:val="0"/>
          <w:numId w:val="11"/>
        </w:numPr>
        <w:ind w:left="454" w:hanging="454"/>
        <w:rPr>
          <w:szCs w:val="24"/>
        </w:rPr>
      </w:pPr>
      <w:r>
        <w:rPr>
          <w:szCs w:val="24"/>
        </w:rPr>
        <w:t xml:space="preserve">As to the first condition, in </w:t>
      </w:r>
      <w:r w:rsidRPr="000C32B3">
        <w:rPr>
          <w:i/>
          <w:iCs/>
          <w:szCs w:val="24"/>
        </w:rPr>
        <w:t>Monsolar</w:t>
      </w:r>
      <w:r w:rsidR="00A523DC">
        <w:rPr>
          <w:szCs w:val="24"/>
        </w:rPr>
        <w:t xml:space="preserve"> </w:t>
      </w:r>
      <w:r>
        <w:rPr>
          <w:szCs w:val="24"/>
        </w:rPr>
        <w:t>Nugee LJ considered the authorities</w:t>
      </w:r>
      <w:r w:rsidR="00A523DC">
        <w:rPr>
          <w:szCs w:val="24"/>
        </w:rPr>
        <w:t>,</w:t>
      </w:r>
      <w:r>
        <w:rPr>
          <w:szCs w:val="24"/>
        </w:rPr>
        <w:t xml:space="preserve"> which dr</w:t>
      </w:r>
      <w:r w:rsidR="00A523DC">
        <w:rPr>
          <w:szCs w:val="24"/>
        </w:rPr>
        <w:t>a</w:t>
      </w:r>
      <w:r>
        <w:rPr>
          <w:szCs w:val="24"/>
        </w:rPr>
        <w:t xml:space="preserve">w a distinction between a result which is commercially unattractive or even unreasonable, and the higher threshold necessary to fulfil the condition of a clear mistake.  </w:t>
      </w:r>
      <w:r w:rsidR="009B2863">
        <w:rPr>
          <w:szCs w:val="24"/>
        </w:rPr>
        <w:t xml:space="preserve">He concluded that the </w:t>
      </w:r>
      <w:r w:rsidR="001C3A46">
        <w:rPr>
          <w:szCs w:val="24"/>
        </w:rPr>
        <w:t xml:space="preserve">condition </w:t>
      </w:r>
      <w:r w:rsidR="009F2E34">
        <w:rPr>
          <w:szCs w:val="24"/>
        </w:rPr>
        <w:t xml:space="preserve">has been </w:t>
      </w:r>
      <w:r>
        <w:rPr>
          <w:szCs w:val="24"/>
        </w:rPr>
        <w:t xml:space="preserve">expressed in </w:t>
      </w:r>
      <w:r w:rsidR="001C3A46">
        <w:rPr>
          <w:szCs w:val="24"/>
        </w:rPr>
        <w:t xml:space="preserve">slightly </w:t>
      </w:r>
      <w:r>
        <w:rPr>
          <w:szCs w:val="24"/>
        </w:rPr>
        <w:t xml:space="preserve">different language in the </w:t>
      </w:r>
      <w:r w:rsidR="006A76AD">
        <w:rPr>
          <w:szCs w:val="24"/>
        </w:rPr>
        <w:t xml:space="preserve">various </w:t>
      </w:r>
      <w:r>
        <w:rPr>
          <w:szCs w:val="24"/>
        </w:rPr>
        <w:t>authorities</w:t>
      </w:r>
      <w:r w:rsidR="001C3A46">
        <w:rPr>
          <w:szCs w:val="24"/>
        </w:rPr>
        <w:t xml:space="preserve"> but </w:t>
      </w:r>
      <w:r w:rsidR="009B2863">
        <w:rPr>
          <w:szCs w:val="24"/>
        </w:rPr>
        <w:t xml:space="preserve">is one which is </w:t>
      </w:r>
      <w:r w:rsidR="00A412E2">
        <w:rPr>
          <w:szCs w:val="24"/>
        </w:rPr>
        <w:t xml:space="preserve">clear in its concept: what is required is that </w:t>
      </w:r>
      <w:r>
        <w:rPr>
          <w:szCs w:val="24"/>
        </w:rPr>
        <w:t xml:space="preserve">the result achieved by giving the words used their meaning in accordance with the normal iterative process of construction </w:t>
      </w:r>
      <w:r w:rsidR="00A412E2">
        <w:rPr>
          <w:szCs w:val="24"/>
        </w:rPr>
        <w:t xml:space="preserve">would be </w:t>
      </w:r>
      <w:r>
        <w:rPr>
          <w:szCs w:val="24"/>
        </w:rPr>
        <w:t xml:space="preserve">“arbitrary” or “irrational” or “nonsensical” or </w:t>
      </w:r>
      <w:r w:rsidR="00A412E2">
        <w:rPr>
          <w:szCs w:val="24"/>
        </w:rPr>
        <w:t>“</w:t>
      </w:r>
      <w:r>
        <w:rPr>
          <w:szCs w:val="24"/>
        </w:rPr>
        <w:t>absurd”.</w:t>
      </w:r>
      <w:r w:rsidR="000C32B3">
        <w:rPr>
          <w:szCs w:val="24"/>
        </w:rPr>
        <w:t xml:space="preserve">  </w:t>
      </w:r>
      <w:r w:rsidR="000C32B3" w:rsidRPr="006B46BE">
        <w:rPr>
          <w:szCs w:val="24"/>
        </w:rPr>
        <w:t>In</w:t>
      </w:r>
      <w:r w:rsidR="006B46BE" w:rsidRPr="006B46BE">
        <w:rPr>
          <w:szCs w:val="24"/>
        </w:rPr>
        <w:t xml:space="preserve"> </w:t>
      </w:r>
      <w:r w:rsidR="006B46BE" w:rsidRPr="00CB34F3">
        <w:rPr>
          <w:i/>
          <w:iCs/>
          <w:szCs w:val="24"/>
        </w:rPr>
        <w:t>Bellini (N/E) Ltd trading as Bellin</w:t>
      </w:r>
      <w:r w:rsidR="009460BA">
        <w:rPr>
          <w:i/>
          <w:iCs/>
          <w:szCs w:val="24"/>
        </w:rPr>
        <w:t>i</w:t>
      </w:r>
      <w:r w:rsidR="006B46BE" w:rsidRPr="00CB34F3">
        <w:rPr>
          <w:i/>
          <w:iCs/>
          <w:szCs w:val="24"/>
        </w:rPr>
        <w:t xml:space="preserve"> v Brit UW Ltd</w:t>
      </w:r>
      <w:r w:rsidR="006B46BE" w:rsidRPr="006B46BE">
        <w:rPr>
          <w:szCs w:val="24"/>
        </w:rPr>
        <w:t xml:space="preserve"> [2024] EWCA Civ 435, Sir </w:t>
      </w:r>
      <w:r w:rsidR="006B46BE">
        <w:rPr>
          <w:szCs w:val="24"/>
        </w:rPr>
        <w:t xml:space="preserve">Geoffrey Vos MR emphasised </w:t>
      </w:r>
      <w:r w:rsidR="002A4611">
        <w:rPr>
          <w:szCs w:val="24"/>
        </w:rPr>
        <w:t>at [19] that the principle was one addressed to “obvious clerical blunders or grammatical mistakes”</w:t>
      </w:r>
      <w:r w:rsidR="006A76AD">
        <w:rPr>
          <w:szCs w:val="24"/>
        </w:rPr>
        <w:t xml:space="preserve"> in the language of Brightman LJ</w:t>
      </w:r>
      <w:r w:rsidR="002522C9">
        <w:rPr>
          <w:szCs w:val="24"/>
        </w:rPr>
        <w:t>.</w:t>
      </w:r>
    </w:p>
    <w:p w14:paraId="23F59DD6" w14:textId="77777777" w:rsidR="00AC019A" w:rsidRDefault="00AC019A" w:rsidP="00C7371D">
      <w:pPr>
        <w:pStyle w:val="ParaLevel1"/>
        <w:numPr>
          <w:ilvl w:val="0"/>
          <w:numId w:val="0"/>
        </w:numPr>
        <w:rPr>
          <w:b/>
          <w:bCs/>
          <w:szCs w:val="24"/>
        </w:rPr>
      </w:pPr>
    </w:p>
    <w:p w14:paraId="326A47AB" w14:textId="385B5C6D" w:rsidR="00B772AB" w:rsidRPr="009E1CF6" w:rsidRDefault="00B772AB" w:rsidP="00C7371D">
      <w:pPr>
        <w:pStyle w:val="ParaLevel1"/>
        <w:numPr>
          <w:ilvl w:val="0"/>
          <w:numId w:val="0"/>
        </w:numPr>
        <w:rPr>
          <w:b/>
          <w:bCs/>
          <w:szCs w:val="24"/>
        </w:rPr>
      </w:pPr>
      <w:r w:rsidRPr="009E1CF6">
        <w:rPr>
          <w:b/>
          <w:bCs/>
          <w:szCs w:val="24"/>
        </w:rPr>
        <w:lastRenderedPageBreak/>
        <w:t xml:space="preserve">Factual </w:t>
      </w:r>
      <w:r w:rsidR="00C5382A">
        <w:rPr>
          <w:b/>
          <w:bCs/>
          <w:szCs w:val="24"/>
        </w:rPr>
        <w:t>m</w:t>
      </w:r>
      <w:r w:rsidRPr="009E1CF6">
        <w:rPr>
          <w:b/>
          <w:bCs/>
          <w:szCs w:val="24"/>
        </w:rPr>
        <w:t xml:space="preserve">atrix </w:t>
      </w:r>
      <w:r w:rsidR="00C5382A">
        <w:rPr>
          <w:b/>
          <w:bCs/>
          <w:szCs w:val="24"/>
        </w:rPr>
        <w:t xml:space="preserve">evidence and </w:t>
      </w:r>
      <w:r w:rsidRPr="009E1CF6">
        <w:rPr>
          <w:b/>
          <w:bCs/>
          <w:szCs w:val="24"/>
        </w:rPr>
        <w:t>extraneous material</w:t>
      </w:r>
    </w:p>
    <w:p w14:paraId="12C3B78B" w14:textId="2C652F80" w:rsidR="00D91379" w:rsidRDefault="009E7DDC" w:rsidP="00C662F9">
      <w:pPr>
        <w:pStyle w:val="ParaLevel1"/>
        <w:numPr>
          <w:ilvl w:val="0"/>
          <w:numId w:val="11"/>
        </w:numPr>
        <w:ind w:left="454" w:hanging="454"/>
        <w:rPr>
          <w:szCs w:val="24"/>
        </w:rPr>
      </w:pPr>
      <w:r>
        <w:rPr>
          <w:szCs w:val="24"/>
        </w:rPr>
        <w:t xml:space="preserve">The additional material upon which Mr Railton sought to rely, and which he argued was wrongly excluded </w:t>
      </w:r>
      <w:r w:rsidR="0086783C">
        <w:rPr>
          <w:szCs w:val="24"/>
        </w:rPr>
        <w:t>from conside</w:t>
      </w:r>
      <w:r w:rsidR="002636AF">
        <w:rPr>
          <w:szCs w:val="24"/>
        </w:rPr>
        <w:t xml:space="preserve">ration </w:t>
      </w:r>
      <w:r w:rsidR="0086783C">
        <w:rPr>
          <w:szCs w:val="24"/>
        </w:rPr>
        <w:t xml:space="preserve">by the Judge, does not fall within the proper scope of contextual material against which the meaning of the words falls to be </w:t>
      </w:r>
      <w:r w:rsidR="002636AF">
        <w:rPr>
          <w:szCs w:val="24"/>
        </w:rPr>
        <w:t xml:space="preserve">ascertained.  </w:t>
      </w:r>
      <w:r w:rsidR="008D5B17">
        <w:rPr>
          <w:szCs w:val="24"/>
        </w:rPr>
        <w:t xml:space="preserve">It is not material </w:t>
      </w:r>
      <w:r w:rsidR="002F20C8">
        <w:rPr>
          <w:szCs w:val="24"/>
        </w:rPr>
        <w:t xml:space="preserve">of </w:t>
      </w:r>
      <w:r w:rsidR="008D5B17">
        <w:rPr>
          <w:szCs w:val="24"/>
        </w:rPr>
        <w:t>which an investor in the secondary market could reasonably have been expected to be aware when purchasing</w:t>
      </w:r>
      <w:r w:rsidR="00ED39C9">
        <w:rPr>
          <w:szCs w:val="24"/>
        </w:rPr>
        <w:t xml:space="preserve"> the Securities</w:t>
      </w:r>
      <w:r w:rsidR="00D91379">
        <w:rPr>
          <w:szCs w:val="24"/>
        </w:rPr>
        <w:t xml:space="preserve">.  </w:t>
      </w:r>
    </w:p>
    <w:p w14:paraId="6312C00E" w14:textId="40DC1738" w:rsidR="004C12E9" w:rsidRDefault="00503A69" w:rsidP="00C662F9">
      <w:pPr>
        <w:pStyle w:val="ParaLevel1"/>
        <w:numPr>
          <w:ilvl w:val="0"/>
          <w:numId w:val="11"/>
        </w:numPr>
        <w:ind w:left="454" w:hanging="454"/>
        <w:rPr>
          <w:szCs w:val="24"/>
        </w:rPr>
      </w:pPr>
      <w:r>
        <w:rPr>
          <w:szCs w:val="24"/>
        </w:rPr>
        <w:t xml:space="preserve">Mr Railton </w:t>
      </w:r>
      <w:r w:rsidR="00C7554D">
        <w:rPr>
          <w:szCs w:val="24"/>
        </w:rPr>
        <w:t>also took us to the 2005 Prospectus</w:t>
      </w:r>
      <w:r w:rsidR="00A058C6">
        <w:rPr>
          <w:szCs w:val="24"/>
        </w:rPr>
        <w:t xml:space="preserve"> which has an example of the operation of the Adjustment Provision.  </w:t>
      </w:r>
      <w:r w:rsidR="004A486F">
        <w:rPr>
          <w:szCs w:val="24"/>
        </w:rPr>
        <w:t>He</w:t>
      </w:r>
      <w:r w:rsidR="00A058C6">
        <w:rPr>
          <w:szCs w:val="24"/>
        </w:rPr>
        <w:t xml:space="preserve"> submitted that it favoured the Republic’s construction </w:t>
      </w:r>
      <w:r w:rsidR="008152CF">
        <w:rPr>
          <w:szCs w:val="24"/>
        </w:rPr>
        <w:t>because it used the expression “at any time”</w:t>
      </w:r>
      <w:r>
        <w:rPr>
          <w:szCs w:val="24"/>
        </w:rPr>
        <w:t>,</w:t>
      </w:r>
      <w:r w:rsidR="008152CF">
        <w:rPr>
          <w:szCs w:val="24"/>
        </w:rPr>
        <w:t xml:space="preserve"> which he submitted indicated a trigger</w:t>
      </w:r>
      <w:r>
        <w:rPr>
          <w:szCs w:val="24"/>
        </w:rPr>
        <w:t xml:space="preserve"> for a one</w:t>
      </w:r>
      <w:r w:rsidR="00597607">
        <w:rPr>
          <w:szCs w:val="24"/>
        </w:rPr>
        <w:t>-</w:t>
      </w:r>
      <w:r>
        <w:rPr>
          <w:szCs w:val="24"/>
        </w:rPr>
        <w:t>off adjustment</w:t>
      </w:r>
      <w:r w:rsidR="008152CF">
        <w:rPr>
          <w:szCs w:val="24"/>
        </w:rPr>
        <w:t>.  As I shall explain when dealing with the language of the Adjustment Provision itself, tha</w:t>
      </w:r>
      <w:r w:rsidR="00814A3D">
        <w:rPr>
          <w:szCs w:val="24"/>
        </w:rPr>
        <w:t>t is not the language of a trigger.  I regard the 2005 Prospectus as neutral</w:t>
      </w:r>
      <w:r>
        <w:rPr>
          <w:szCs w:val="24"/>
        </w:rPr>
        <w:t>, as did the Judge</w:t>
      </w:r>
      <w:r w:rsidR="00215D67">
        <w:rPr>
          <w:szCs w:val="24"/>
        </w:rPr>
        <w:t xml:space="preserve">; it </w:t>
      </w:r>
      <w:r w:rsidR="00C7554D">
        <w:rPr>
          <w:szCs w:val="24"/>
        </w:rPr>
        <w:t xml:space="preserve">casts no light either way on the issue of construction which has arisen.  </w:t>
      </w:r>
    </w:p>
    <w:p w14:paraId="59F21873" w14:textId="2A9D7F33" w:rsidR="00567E65" w:rsidRPr="00936C31" w:rsidRDefault="007A37A1" w:rsidP="00C662F9">
      <w:pPr>
        <w:pStyle w:val="ParaLevel1"/>
        <w:numPr>
          <w:ilvl w:val="0"/>
          <w:numId w:val="11"/>
        </w:numPr>
        <w:ind w:left="454" w:hanging="454"/>
        <w:rPr>
          <w:szCs w:val="24"/>
        </w:rPr>
      </w:pPr>
      <w:r>
        <w:rPr>
          <w:szCs w:val="24"/>
        </w:rPr>
        <w:t xml:space="preserve">The </w:t>
      </w:r>
      <w:r w:rsidR="004C12E9">
        <w:rPr>
          <w:szCs w:val="24"/>
        </w:rPr>
        <w:t xml:space="preserve">Judge’s third </w:t>
      </w:r>
      <w:r w:rsidR="003138AA">
        <w:rPr>
          <w:szCs w:val="24"/>
        </w:rPr>
        <w:t xml:space="preserve">so called </w:t>
      </w:r>
      <w:r w:rsidR="00B862B4">
        <w:rPr>
          <w:szCs w:val="24"/>
        </w:rPr>
        <w:t>“</w:t>
      </w:r>
      <w:r w:rsidR="004C12E9">
        <w:rPr>
          <w:szCs w:val="24"/>
        </w:rPr>
        <w:t>factual matrix finding</w:t>
      </w:r>
      <w:r w:rsidR="00B862B4">
        <w:rPr>
          <w:szCs w:val="24"/>
        </w:rPr>
        <w:t>”</w:t>
      </w:r>
      <w:r w:rsidR="004C12E9">
        <w:rPr>
          <w:szCs w:val="24"/>
        </w:rPr>
        <w:t xml:space="preserve">’ </w:t>
      </w:r>
      <w:r>
        <w:rPr>
          <w:szCs w:val="24"/>
        </w:rPr>
        <w:t xml:space="preserve">was that </w:t>
      </w:r>
      <w:r w:rsidR="00703116">
        <w:rPr>
          <w:szCs w:val="24"/>
        </w:rPr>
        <w:t xml:space="preserve">“the intention </w:t>
      </w:r>
      <w:r w:rsidR="00B55FE8">
        <w:rPr>
          <w:szCs w:val="24"/>
        </w:rPr>
        <w:t xml:space="preserve">behind the Securities was that payments would only be made when </w:t>
      </w:r>
      <w:r w:rsidR="00B64FA0">
        <w:rPr>
          <w:szCs w:val="24"/>
        </w:rPr>
        <w:t xml:space="preserve">the Republic’s </w:t>
      </w:r>
      <w:r w:rsidR="00B55FE8">
        <w:rPr>
          <w:szCs w:val="24"/>
        </w:rPr>
        <w:t>economy</w:t>
      </w:r>
      <w:r w:rsidR="00994D1A">
        <w:rPr>
          <w:szCs w:val="24"/>
        </w:rPr>
        <w:t xml:space="preserve"> was growing at a sufficiently healthy rate and that they would not be made if the Republic’s economy was not growing”</w:t>
      </w:r>
      <w:r w:rsidR="00936C31">
        <w:rPr>
          <w:szCs w:val="24"/>
        </w:rPr>
        <w:t xml:space="preserve">.  </w:t>
      </w:r>
      <w:r w:rsidR="004F182B" w:rsidRPr="00936C31">
        <w:rPr>
          <w:szCs w:val="24"/>
        </w:rPr>
        <w:t xml:space="preserve">The Judge said he based this </w:t>
      </w:r>
      <w:r w:rsidR="00B41849" w:rsidRPr="00936C31">
        <w:rPr>
          <w:szCs w:val="24"/>
        </w:rPr>
        <w:t xml:space="preserve">on </w:t>
      </w:r>
      <w:r w:rsidR="00076576" w:rsidRPr="00936C31">
        <w:rPr>
          <w:szCs w:val="24"/>
        </w:rPr>
        <w:t xml:space="preserve">three presentations by Dr </w:t>
      </w:r>
      <w:r w:rsidR="0096219E" w:rsidRPr="00936C31">
        <w:rPr>
          <w:szCs w:val="24"/>
        </w:rPr>
        <w:t>Guillermo Nielsen</w:t>
      </w:r>
      <w:r w:rsidR="00473ED4" w:rsidRPr="00936C31">
        <w:rPr>
          <w:szCs w:val="24"/>
        </w:rPr>
        <w:t xml:space="preserve">, the Republic’s Secretary of </w:t>
      </w:r>
      <w:r w:rsidR="0017511D" w:rsidRPr="00936C31">
        <w:rPr>
          <w:szCs w:val="24"/>
        </w:rPr>
        <w:t>F</w:t>
      </w:r>
      <w:r w:rsidR="00473ED4" w:rsidRPr="00936C31">
        <w:rPr>
          <w:szCs w:val="24"/>
        </w:rPr>
        <w:t>inance between 2003 and 2005</w:t>
      </w:r>
      <w:r w:rsidR="0017511D" w:rsidRPr="00936C31">
        <w:rPr>
          <w:szCs w:val="24"/>
        </w:rPr>
        <w:t>,</w:t>
      </w:r>
      <w:r w:rsidR="00473ED4" w:rsidRPr="00936C31">
        <w:rPr>
          <w:szCs w:val="24"/>
        </w:rPr>
        <w:t xml:space="preserve"> who led </w:t>
      </w:r>
      <w:r w:rsidR="00B64FA0">
        <w:rPr>
          <w:szCs w:val="24"/>
        </w:rPr>
        <w:t>t</w:t>
      </w:r>
      <w:r w:rsidR="00473ED4" w:rsidRPr="00936C31">
        <w:rPr>
          <w:szCs w:val="24"/>
        </w:rPr>
        <w:t>he</w:t>
      </w:r>
      <w:r w:rsidR="00CD5467" w:rsidRPr="00936C31">
        <w:rPr>
          <w:szCs w:val="24"/>
        </w:rPr>
        <w:t xml:space="preserve"> restructuring of the sovereign debt which </w:t>
      </w:r>
      <w:r w:rsidR="00B64FA0">
        <w:rPr>
          <w:szCs w:val="24"/>
        </w:rPr>
        <w:t xml:space="preserve">included </w:t>
      </w:r>
      <w:r w:rsidR="00CD5467" w:rsidRPr="00936C31">
        <w:rPr>
          <w:szCs w:val="24"/>
        </w:rPr>
        <w:t>the Securities</w:t>
      </w:r>
      <w:r w:rsidR="0017511D" w:rsidRPr="00936C31">
        <w:rPr>
          <w:szCs w:val="24"/>
        </w:rPr>
        <w:t xml:space="preserve">. They were </w:t>
      </w:r>
      <w:r w:rsidR="002046C9" w:rsidRPr="00936C31">
        <w:rPr>
          <w:szCs w:val="24"/>
        </w:rPr>
        <w:t xml:space="preserve">given </w:t>
      </w:r>
      <w:r w:rsidR="00B41849" w:rsidRPr="00936C31">
        <w:rPr>
          <w:szCs w:val="24"/>
        </w:rPr>
        <w:t xml:space="preserve">respectively </w:t>
      </w:r>
      <w:r w:rsidR="002046C9" w:rsidRPr="00936C31">
        <w:rPr>
          <w:szCs w:val="24"/>
        </w:rPr>
        <w:t>on 22 September 2003</w:t>
      </w:r>
      <w:r w:rsidR="00314E82" w:rsidRPr="00936C31">
        <w:rPr>
          <w:szCs w:val="24"/>
        </w:rPr>
        <w:t xml:space="preserve"> to a meeting of the Board of Governors of the World Bank Group and the IMF</w:t>
      </w:r>
      <w:r w:rsidR="006C3A66" w:rsidRPr="00936C31">
        <w:rPr>
          <w:szCs w:val="24"/>
        </w:rPr>
        <w:t xml:space="preserve"> in Dubai; on 4 December 2003 to the Emerging </w:t>
      </w:r>
      <w:r w:rsidR="00B41849" w:rsidRPr="00936C31">
        <w:rPr>
          <w:szCs w:val="24"/>
        </w:rPr>
        <w:t>M</w:t>
      </w:r>
      <w:r w:rsidR="006C3A66" w:rsidRPr="00936C31">
        <w:rPr>
          <w:szCs w:val="24"/>
        </w:rPr>
        <w:t>arkets Trad</w:t>
      </w:r>
      <w:r w:rsidR="0043178C" w:rsidRPr="00936C31">
        <w:rPr>
          <w:szCs w:val="24"/>
        </w:rPr>
        <w:t xml:space="preserve">ers Association </w:t>
      </w:r>
      <w:r w:rsidR="00B41849" w:rsidRPr="00936C31">
        <w:rPr>
          <w:szCs w:val="24"/>
        </w:rPr>
        <w:t xml:space="preserve">at their annual meeting </w:t>
      </w:r>
      <w:r w:rsidR="0043178C" w:rsidRPr="00936C31">
        <w:rPr>
          <w:szCs w:val="24"/>
        </w:rPr>
        <w:t xml:space="preserve">in New York; and </w:t>
      </w:r>
      <w:r w:rsidR="009F00DC" w:rsidRPr="00936C31">
        <w:rPr>
          <w:szCs w:val="24"/>
        </w:rPr>
        <w:t xml:space="preserve">on 27 </w:t>
      </w:r>
      <w:r w:rsidR="00365C1A" w:rsidRPr="00936C31">
        <w:rPr>
          <w:szCs w:val="24"/>
        </w:rPr>
        <w:t>M</w:t>
      </w:r>
      <w:r w:rsidR="009F00DC" w:rsidRPr="00936C31">
        <w:rPr>
          <w:szCs w:val="24"/>
        </w:rPr>
        <w:t xml:space="preserve">arch 2004 </w:t>
      </w:r>
      <w:r w:rsidR="0043178C" w:rsidRPr="00936C31">
        <w:rPr>
          <w:szCs w:val="24"/>
        </w:rPr>
        <w:t xml:space="preserve">to a Merrill Lynch </w:t>
      </w:r>
      <w:r w:rsidR="006C40C5" w:rsidRPr="00936C31">
        <w:rPr>
          <w:szCs w:val="24"/>
        </w:rPr>
        <w:t>L</w:t>
      </w:r>
      <w:r w:rsidR="0043178C" w:rsidRPr="00936C31">
        <w:rPr>
          <w:szCs w:val="24"/>
        </w:rPr>
        <w:t>atin American Investor Conference</w:t>
      </w:r>
      <w:r w:rsidR="009F00DC" w:rsidRPr="00936C31">
        <w:rPr>
          <w:szCs w:val="24"/>
        </w:rPr>
        <w:t xml:space="preserve">.  </w:t>
      </w:r>
      <w:r w:rsidR="00146DEE">
        <w:rPr>
          <w:szCs w:val="24"/>
        </w:rPr>
        <w:t xml:space="preserve">Although </w:t>
      </w:r>
      <w:r w:rsidR="006C40C5" w:rsidRPr="00936C31">
        <w:rPr>
          <w:szCs w:val="24"/>
        </w:rPr>
        <w:t xml:space="preserve">Mr </w:t>
      </w:r>
      <w:r w:rsidR="00CD5467" w:rsidRPr="00936C31">
        <w:rPr>
          <w:szCs w:val="24"/>
        </w:rPr>
        <w:t>Barden</w:t>
      </w:r>
      <w:r w:rsidR="00146DEE">
        <w:rPr>
          <w:szCs w:val="24"/>
        </w:rPr>
        <w:t xml:space="preserve">’s challenge to the Judge’s finding was </w:t>
      </w:r>
      <w:r w:rsidR="00B615EC">
        <w:rPr>
          <w:szCs w:val="24"/>
        </w:rPr>
        <w:t>a little tentative,</w:t>
      </w:r>
      <w:r w:rsidR="00CD5467" w:rsidRPr="00936C31">
        <w:rPr>
          <w:szCs w:val="24"/>
        </w:rPr>
        <w:t xml:space="preserve"> </w:t>
      </w:r>
      <w:r w:rsidR="00327F03" w:rsidRPr="00936C31">
        <w:rPr>
          <w:szCs w:val="24"/>
        </w:rPr>
        <w:t>I would not regard those presentations</w:t>
      </w:r>
      <w:r w:rsidR="009F00DC" w:rsidRPr="00936C31">
        <w:rPr>
          <w:szCs w:val="24"/>
        </w:rPr>
        <w:t xml:space="preserve"> as properly</w:t>
      </w:r>
      <w:r w:rsidR="00157F0E" w:rsidRPr="00936C31">
        <w:rPr>
          <w:szCs w:val="24"/>
        </w:rPr>
        <w:t xml:space="preserve"> admissible as an aid to construction.  </w:t>
      </w:r>
      <w:r w:rsidR="004B34A7" w:rsidRPr="00936C31">
        <w:rPr>
          <w:szCs w:val="24"/>
        </w:rPr>
        <w:t>Only the first was addressed</w:t>
      </w:r>
      <w:r w:rsidR="00586212" w:rsidRPr="00936C31">
        <w:rPr>
          <w:szCs w:val="24"/>
        </w:rPr>
        <w:t xml:space="preserve"> specifically to existing cre</w:t>
      </w:r>
      <w:r w:rsidR="004F182B" w:rsidRPr="00936C31">
        <w:rPr>
          <w:szCs w:val="24"/>
        </w:rPr>
        <w:t>d</w:t>
      </w:r>
      <w:r w:rsidR="00586212" w:rsidRPr="00936C31">
        <w:rPr>
          <w:szCs w:val="24"/>
        </w:rPr>
        <w:t xml:space="preserve">itors, and that </w:t>
      </w:r>
      <w:r w:rsidR="0019153D">
        <w:rPr>
          <w:szCs w:val="24"/>
        </w:rPr>
        <w:t xml:space="preserve">only to one part and </w:t>
      </w:r>
      <w:r w:rsidR="00586212" w:rsidRPr="00936C31">
        <w:rPr>
          <w:szCs w:val="24"/>
        </w:rPr>
        <w:t>before</w:t>
      </w:r>
      <w:r w:rsidR="00597D8E" w:rsidRPr="00936C31">
        <w:rPr>
          <w:szCs w:val="24"/>
        </w:rPr>
        <w:t xml:space="preserve"> the detailed discussions with </w:t>
      </w:r>
      <w:r w:rsidR="00DB0AB5" w:rsidRPr="00936C31">
        <w:rPr>
          <w:szCs w:val="24"/>
        </w:rPr>
        <w:t>working gr</w:t>
      </w:r>
      <w:r w:rsidR="004F182B" w:rsidRPr="00936C31">
        <w:rPr>
          <w:szCs w:val="24"/>
        </w:rPr>
        <w:t>o</w:t>
      </w:r>
      <w:r w:rsidR="00DB0AB5" w:rsidRPr="00936C31">
        <w:rPr>
          <w:szCs w:val="24"/>
        </w:rPr>
        <w:t>ups of bond</w:t>
      </w:r>
      <w:r w:rsidR="004D3D81" w:rsidRPr="00936C31">
        <w:rPr>
          <w:szCs w:val="24"/>
        </w:rPr>
        <w:t>h</w:t>
      </w:r>
      <w:r w:rsidR="00DB0AB5" w:rsidRPr="00936C31">
        <w:rPr>
          <w:szCs w:val="24"/>
        </w:rPr>
        <w:t>older representatives.  T</w:t>
      </w:r>
      <w:r w:rsidR="00E528A8" w:rsidRPr="00936C31">
        <w:rPr>
          <w:szCs w:val="24"/>
        </w:rPr>
        <w:t xml:space="preserve">he fact </w:t>
      </w:r>
      <w:r w:rsidR="002B7638" w:rsidRPr="00936C31">
        <w:rPr>
          <w:szCs w:val="24"/>
        </w:rPr>
        <w:t xml:space="preserve">that </w:t>
      </w:r>
      <w:r w:rsidR="00E528A8" w:rsidRPr="00936C31">
        <w:rPr>
          <w:szCs w:val="24"/>
        </w:rPr>
        <w:t>th</w:t>
      </w:r>
      <w:r w:rsidR="00C8079D" w:rsidRPr="00936C31">
        <w:rPr>
          <w:szCs w:val="24"/>
        </w:rPr>
        <w:t xml:space="preserve">e three </w:t>
      </w:r>
      <w:r w:rsidR="005015F6" w:rsidRPr="00936C31">
        <w:rPr>
          <w:szCs w:val="24"/>
        </w:rPr>
        <w:t xml:space="preserve">presentations </w:t>
      </w:r>
      <w:r w:rsidR="00E528A8" w:rsidRPr="00936C31">
        <w:rPr>
          <w:szCs w:val="24"/>
        </w:rPr>
        <w:t xml:space="preserve">were published on the INDEC website would not in my </w:t>
      </w:r>
      <w:r w:rsidR="00497AB5" w:rsidRPr="00936C31">
        <w:rPr>
          <w:szCs w:val="24"/>
        </w:rPr>
        <w:t xml:space="preserve">view put them in the category of material </w:t>
      </w:r>
      <w:r w:rsidR="00BA6AC3" w:rsidRPr="00936C31">
        <w:rPr>
          <w:szCs w:val="24"/>
        </w:rPr>
        <w:t xml:space="preserve">of </w:t>
      </w:r>
      <w:r w:rsidR="00497AB5" w:rsidRPr="00936C31">
        <w:rPr>
          <w:szCs w:val="24"/>
        </w:rPr>
        <w:t>w</w:t>
      </w:r>
      <w:r w:rsidR="00387737" w:rsidRPr="00936C31">
        <w:rPr>
          <w:szCs w:val="24"/>
        </w:rPr>
        <w:t>h</w:t>
      </w:r>
      <w:r w:rsidR="00497AB5" w:rsidRPr="00936C31">
        <w:rPr>
          <w:szCs w:val="24"/>
        </w:rPr>
        <w:t>ich all then cr</w:t>
      </w:r>
      <w:r w:rsidR="00387737" w:rsidRPr="00936C31">
        <w:rPr>
          <w:szCs w:val="24"/>
        </w:rPr>
        <w:t>e</w:t>
      </w:r>
      <w:r w:rsidR="00497AB5" w:rsidRPr="00936C31">
        <w:rPr>
          <w:szCs w:val="24"/>
        </w:rPr>
        <w:t>ditors could</w:t>
      </w:r>
      <w:r w:rsidR="00387737" w:rsidRPr="00936C31">
        <w:rPr>
          <w:szCs w:val="24"/>
        </w:rPr>
        <w:t xml:space="preserve"> </w:t>
      </w:r>
      <w:r w:rsidR="00497AB5" w:rsidRPr="00936C31">
        <w:rPr>
          <w:szCs w:val="24"/>
        </w:rPr>
        <w:t>reasonably have been ex</w:t>
      </w:r>
      <w:r w:rsidR="00BA6AC3" w:rsidRPr="00936C31">
        <w:rPr>
          <w:szCs w:val="24"/>
        </w:rPr>
        <w:t>p</w:t>
      </w:r>
      <w:r w:rsidR="00497AB5" w:rsidRPr="00936C31">
        <w:rPr>
          <w:szCs w:val="24"/>
        </w:rPr>
        <w:t xml:space="preserve">ected to be aware.  Still less could that be said of </w:t>
      </w:r>
      <w:r w:rsidR="00387737" w:rsidRPr="00936C31">
        <w:rPr>
          <w:szCs w:val="24"/>
        </w:rPr>
        <w:t>later investors on the secondary market</w:t>
      </w:r>
      <w:r w:rsidR="00EE65A4" w:rsidRPr="00936C31">
        <w:rPr>
          <w:szCs w:val="24"/>
        </w:rPr>
        <w:t xml:space="preserve">.  </w:t>
      </w:r>
    </w:p>
    <w:p w14:paraId="18B2F335" w14:textId="73A45D90" w:rsidR="00681CD0" w:rsidRDefault="00C65394" w:rsidP="00C662F9">
      <w:pPr>
        <w:pStyle w:val="ParaLevel1"/>
        <w:numPr>
          <w:ilvl w:val="0"/>
          <w:numId w:val="11"/>
        </w:numPr>
        <w:ind w:left="454" w:hanging="454"/>
        <w:rPr>
          <w:szCs w:val="24"/>
        </w:rPr>
      </w:pPr>
      <w:r>
        <w:rPr>
          <w:szCs w:val="24"/>
        </w:rPr>
        <w:t xml:space="preserve">As Mr Barden submitted, growing “at a sufficiently healthy rate” begs the question of what is taken as the comparator, which is the very issue in dispute; and </w:t>
      </w:r>
      <w:r w:rsidRPr="006F6DB6">
        <w:rPr>
          <w:szCs w:val="24"/>
        </w:rPr>
        <w:t>both that expression</w:t>
      </w:r>
      <w:r w:rsidRPr="00D20BB2">
        <w:rPr>
          <w:szCs w:val="24"/>
        </w:rPr>
        <w:t>,</w:t>
      </w:r>
      <w:r>
        <w:rPr>
          <w:szCs w:val="24"/>
        </w:rPr>
        <w:t xml:space="preserve"> </w:t>
      </w:r>
      <w:r w:rsidRPr="00D20BB2">
        <w:rPr>
          <w:szCs w:val="24"/>
        </w:rPr>
        <w:t>and the expression “recession”</w:t>
      </w:r>
      <w:r>
        <w:rPr>
          <w:szCs w:val="24"/>
        </w:rPr>
        <w:t>,</w:t>
      </w:r>
      <w:r w:rsidRPr="00D20BB2">
        <w:rPr>
          <w:szCs w:val="24"/>
        </w:rPr>
        <w:t xml:space="preserve"> beg the question of which base year is to be used to measure growth for that purpose. </w:t>
      </w:r>
      <w:r w:rsidR="00ED2459">
        <w:rPr>
          <w:szCs w:val="24"/>
        </w:rPr>
        <w:t xml:space="preserve">Mr </w:t>
      </w:r>
      <w:r w:rsidR="005F1A9D">
        <w:rPr>
          <w:szCs w:val="24"/>
        </w:rPr>
        <w:t xml:space="preserve">Railton’s argument </w:t>
      </w:r>
      <w:r w:rsidR="00901F1A">
        <w:rPr>
          <w:szCs w:val="24"/>
        </w:rPr>
        <w:t>that the experts had agreed that</w:t>
      </w:r>
      <w:r w:rsidR="007F356F">
        <w:rPr>
          <w:szCs w:val="24"/>
        </w:rPr>
        <w:t>,</w:t>
      </w:r>
      <w:r w:rsidR="00901F1A">
        <w:rPr>
          <w:szCs w:val="24"/>
        </w:rPr>
        <w:t xml:space="preserve"> on the Claimants’ construction</w:t>
      </w:r>
      <w:r w:rsidR="007F356F">
        <w:rPr>
          <w:szCs w:val="24"/>
        </w:rPr>
        <w:t>,</w:t>
      </w:r>
      <w:r w:rsidR="00901F1A">
        <w:rPr>
          <w:szCs w:val="24"/>
        </w:rPr>
        <w:t xml:space="preserve"> the Securities would pay in a recession</w:t>
      </w:r>
      <w:r w:rsidR="00821386">
        <w:rPr>
          <w:szCs w:val="24"/>
        </w:rPr>
        <w:t>, and that that is inconsistent with their fundamental purpose</w:t>
      </w:r>
      <w:r w:rsidR="00ED2459">
        <w:rPr>
          <w:szCs w:val="24"/>
        </w:rPr>
        <w:t>,</w:t>
      </w:r>
      <w:r w:rsidR="00821386">
        <w:rPr>
          <w:szCs w:val="24"/>
        </w:rPr>
        <w:t xml:space="preserve"> must be seen in this light and </w:t>
      </w:r>
      <w:r w:rsidR="00C8096B">
        <w:rPr>
          <w:szCs w:val="24"/>
        </w:rPr>
        <w:t xml:space="preserve">a clear understanding of what the experts were agreeing. </w:t>
      </w:r>
      <w:r w:rsidR="00255C64" w:rsidRPr="00240544">
        <w:rPr>
          <w:szCs w:val="24"/>
        </w:rPr>
        <w:t>I would accept that</w:t>
      </w:r>
      <w:r w:rsidR="004F78CA" w:rsidRPr="00240544">
        <w:rPr>
          <w:szCs w:val="24"/>
        </w:rPr>
        <w:t xml:space="preserve"> </w:t>
      </w:r>
      <w:r w:rsidR="00AA01AF" w:rsidRPr="00240544">
        <w:rPr>
          <w:szCs w:val="24"/>
        </w:rPr>
        <w:t xml:space="preserve">parties </w:t>
      </w:r>
      <w:r w:rsidR="00522F8F" w:rsidRPr="00240544">
        <w:rPr>
          <w:szCs w:val="24"/>
        </w:rPr>
        <w:t xml:space="preserve">would </w:t>
      </w:r>
      <w:r w:rsidR="00E047DE" w:rsidRPr="00240544">
        <w:rPr>
          <w:szCs w:val="24"/>
        </w:rPr>
        <w:t xml:space="preserve">not have </w:t>
      </w:r>
      <w:r w:rsidR="00AA01AF" w:rsidRPr="00240544">
        <w:rPr>
          <w:szCs w:val="24"/>
        </w:rPr>
        <w:t xml:space="preserve">expected the </w:t>
      </w:r>
      <w:r w:rsidR="00E047DE" w:rsidRPr="00240544">
        <w:rPr>
          <w:szCs w:val="24"/>
        </w:rPr>
        <w:t>Securities</w:t>
      </w:r>
      <w:r w:rsidR="004D3D81" w:rsidRPr="00240544">
        <w:rPr>
          <w:szCs w:val="24"/>
        </w:rPr>
        <w:t xml:space="preserve"> </w:t>
      </w:r>
      <w:r w:rsidR="00AA01AF" w:rsidRPr="00240544">
        <w:rPr>
          <w:szCs w:val="24"/>
        </w:rPr>
        <w:t xml:space="preserve">to pay in a </w:t>
      </w:r>
      <w:r w:rsidR="00D218F8" w:rsidRPr="00240544">
        <w:rPr>
          <w:szCs w:val="24"/>
        </w:rPr>
        <w:t>“</w:t>
      </w:r>
      <w:r w:rsidR="00AA01AF" w:rsidRPr="00240544">
        <w:rPr>
          <w:szCs w:val="24"/>
        </w:rPr>
        <w:t>recession</w:t>
      </w:r>
      <w:r w:rsidR="00D218F8" w:rsidRPr="00240544">
        <w:rPr>
          <w:szCs w:val="24"/>
        </w:rPr>
        <w:t xml:space="preserve">” provided that what is meant by recession is negative growth in </w:t>
      </w:r>
      <w:r w:rsidR="00B11111" w:rsidRPr="00240544">
        <w:rPr>
          <w:szCs w:val="24"/>
        </w:rPr>
        <w:t>GDP</w:t>
      </w:r>
      <w:r w:rsidR="0040512D" w:rsidRPr="00240544">
        <w:rPr>
          <w:szCs w:val="24"/>
        </w:rPr>
        <w:t xml:space="preserve"> in </w:t>
      </w:r>
      <w:r w:rsidR="00D218F8" w:rsidRPr="00240544">
        <w:rPr>
          <w:szCs w:val="24"/>
        </w:rPr>
        <w:t xml:space="preserve">the base year </w:t>
      </w:r>
      <w:r w:rsidR="006A1CF7" w:rsidRPr="00240544">
        <w:rPr>
          <w:szCs w:val="24"/>
        </w:rPr>
        <w:t>m</w:t>
      </w:r>
      <w:r w:rsidR="00D218F8" w:rsidRPr="00240544">
        <w:rPr>
          <w:szCs w:val="24"/>
        </w:rPr>
        <w:t xml:space="preserve">easurement which </w:t>
      </w:r>
      <w:r w:rsidR="006A1CF7" w:rsidRPr="00240544">
        <w:rPr>
          <w:szCs w:val="24"/>
        </w:rPr>
        <w:t>they have agreed should be used for the purpose.</w:t>
      </w:r>
      <w:r w:rsidR="00905854" w:rsidRPr="00240544">
        <w:rPr>
          <w:szCs w:val="24"/>
        </w:rPr>
        <w:t xml:space="preserve"> </w:t>
      </w:r>
      <w:r w:rsidR="00F7022A" w:rsidRPr="00240544">
        <w:rPr>
          <w:szCs w:val="24"/>
        </w:rPr>
        <w:t>When Dr Bo</w:t>
      </w:r>
      <w:r w:rsidR="00AC5AA4" w:rsidRPr="00240544">
        <w:rPr>
          <w:szCs w:val="24"/>
        </w:rPr>
        <w:t>r</w:t>
      </w:r>
      <w:r w:rsidR="00F7022A" w:rsidRPr="00240544">
        <w:rPr>
          <w:szCs w:val="24"/>
        </w:rPr>
        <w:t>ensztein said that on the Claimant</w:t>
      </w:r>
      <w:r w:rsidR="007F0320">
        <w:rPr>
          <w:szCs w:val="24"/>
        </w:rPr>
        <w:t>s’</w:t>
      </w:r>
      <w:r w:rsidR="00F7022A" w:rsidRPr="00240544">
        <w:rPr>
          <w:szCs w:val="24"/>
        </w:rPr>
        <w:t xml:space="preserve"> construction </w:t>
      </w:r>
      <w:r w:rsidR="000D0CB6" w:rsidRPr="00240544">
        <w:rPr>
          <w:szCs w:val="24"/>
        </w:rPr>
        <w:t>the Securit</w:t>
      </w:r>
      <w:r w:rsidR="00905854" w:rsidRPr="00240544">
        <w:rPr>
          <w:szCs w:val="24"/>
        </w:rPr>
        <w:t>i</w:t>
      </w:r>
      <w:r w:rsidR="000D0CB6" w:rsidRPr="00240544">
        <w:rPr>
          <w:szCs w:val="24"/>
        </w:rPr>
        <w:t xml:space="preserve">es could require payment in a recession, </w:t>
      </w:r>
      <w:r w:rsidR="003864B2" w:rsidRPr="00240544">
        <w:rPr>
          <w:szCs w:val="24"/>
        </w:rPr>
        <w:t>that wa</w:t>
      </w:r>
      <w:r w:rsidR="00CB0254" w:rsidRPr="00240544">
        <w:rPr>
          <w:szCs w:val="24"/>
        </w:rPr>
        <w:t>s</w:t>
      </w:r>
      <w:r w:rsidR="003864B2" w:rsidRPr="00240544">
        <w:rPr>
          <w:szCs w:val="24"/>
        </w:rPr>
        <w:t xml:space="preserve"> on the basis </w:t>
      </w:r>
      <w:r w:rsidR="00CB0254" w:rsidRPr="00240544">
        <w:rPr>
          <w:szCs w:val="24"/>
        </w:rPr>
        <w:t xml:space="preserve">of </w:t>
      </w:r>
      <w:r w:rsidR="00135BFF" w:rsidRPr="00240544">
        <w:rPr>
          <w:szCs w:val="24"/>
        </w:rPr>
        <w:t xml:space="preserve">figures positing </w:t>
      </w:r>
      <w:r w:rsidR="00CB0254" w:rsidRPr="00240544">
        <w:rPr>
          <w:szCs w:val="24"/>
        </w:rPr>
        <w:t>a 10%</w:t>
      </w:r>
      <w:r w:rsidR="00135BFF" w:rsidRPr="00240544">
        <w:rPr>
          <w:szCs w:val="24"/>
        </w:rPr>
        <w:t xml:space="preserve"> drop in GDP in 2004 YOBP but </w:t>
      </w:r>
      <w:r w:rsidR="005B4D0C" w:rsidRPr="00240544">
        <w:rPr>
          <w:szCs w:val="24"/>
        </w:rPr>
        <w:t xml:space="preserve">positing </w:t>
      </w:r>
      <w:r w:rsidR="00135BFF" w:rsidRPr="00240544">
        <w:rPr>
          <w:i/>
          <w:iCs/>
          <w:szCs w:val="24"/>
        </w:rPr>
        <w:t xml:space="preserve">growth </w:t>
      </w:r>
      <w:r w:rsidR="00135BFF" w:rsidRPr="00240544">
        <w:rPr>
          <w:szCs w:val="24"/>
        </w:rPr>
        <w:t xml:space="preserve">of 3.3% in 1993 YOBP.  </w:t>
      </w:r>
      <w:r w:rsidR="007A1721" w:rsidRPr="00240544">
        <w:rPr>
          <w:szCs w:val="24"/>
        </w:rPr>
        <w:t xml:space="preserve">Dr Buiter agreed with his proposition illustrated on this basis.  That begs the question of construction whether the </w:t>
      </w:r>
      <w:r w:rsidR="00356A7F" w:rsidRPr="00240544">
        <w:rPr>
          <w:szCs w:val="24"/>
        </w:rPr>
        <w:t>measurement of GDP is to be tied to 1993 prices</w:t>
      </w:r>
      <w:r w:rsidR="00D23241" w:rsidRPr="00240544">
        <w:rPr>
          <w:szCs w:val="24"/>
        </w:rPr>
        <w:t>: i</w:t>
      </w:r>
      <w:r w:rsidR="0006557B" w:rsidRPr="00240544">
        <w:rPr>
          <w:szCs w:val="24"/>
        </w:rPr>
        <w:t xml:space="preserve">t was </w:t>
      </w:r>
      <w:r w:rsidR="005B4D0C" w:rsidRPr="00240544">
        <w:rPr>
          <w:szCs w:val="24"/>
        </w:rPr>
        <w:t xml:space="preserve">also agreed between the experts </w:t>
      </w:r>
      <w:r w:rsidR="0006557B" w:rsidRPr="00240544">
        <w:rPr>
          <w:szCs w:val="24"/>
        </w:rPr>
        <w:t>that</w:t>
      </w:r>
      <w:r w:rsidR="00F60276">
        <w:rPr>
          <w:szCs w:val="24"/>
        </w:rPr>
        <w:t xml:space="preserve">, on the Claimants’ construction, </w:t>
      </w:r>
      <w:r w:rsidR="0006557B" w:rsidRPr="00240544">
        <w:rPr>
          <w:szCs w:val="24"/>
        </w:rPr>
        <w:t>the Securities would</w:t>
      </w:r>
      <w:r w:rsidR="001D7D73" w:rsidRPr="00240544">
        <w:rPr>
          <w:szCs w:val="24"/>
        </w:rPr>
        <w:t xml:space="preserve"> </w:t>
      </w:r>
      <w:r w:rsidR="001D7D73" w:rsidRPr="00240544">
        <w:rPr>
          <w:i/>
          <w:iCs/>
          <w:szCs w:val="24"/>
        </w:rPr>
        <w:t>not</w:t>
      </w:r>
      <w:r w:rsidR="001D7D73" w:rsidRPr="00240544">
        <w:rPr>
          <w:szCs w:val="24"/>
        </w:rPr>
        <w:t xml:space="preserve"> require payment unless, and save to the extent that, payment would be required by </w:t>
      </w:r>
      <w:r w:rsidR="00D23241" w:rsidRPr="00240544">
        <w:rPr>
          <w:szCs w:val="24"/>
        </w:rPr>
        <w:t xml:space="preserve">growth </w:t>
      </w:r>
      <w:r w:rsidR="00E940A4">
        <w:rPr>
          <w:szCs w:val="24"/>
        </w:rPr>
        <w:t xml:space="preserve">of </w:t>
      </w:r>
      <w:r w:rsidR="001D7D73" w:rsidRPr="00240544">
        <w:rPr>
          <w:szCs w:val="24"/>
        </w:rPr>
        <w:t xml:space="preserve">GDP measured in 1993 YOBP.  The objection by the Republic that this is </w:t>
      </w:r>
      <w:r w:rsidR="001D7D73" w:rsidRPr="00240544">
        <w:rPr>
          <w:szCs w:val="24"/>
        </w:rPr>
        <w:lastRenderedPageBreak/>
        <w:t>not measuring recession in the ‘real</w:t>
      </w:r>
      <w:r w:rsidR="00302DD5" w:rsidRPr="00240544">
        <w:rPr>
          <w:szCs w:val="24"/>
        </w:rPr>
        <w:t>’</w:t>
      </w:r>
      <w:r w:rsidR="001D7D73" w:rsidRPr="00240544">
        <w:rPr>
          <w:szCs w:val="24"/>
        </w:rPr>
        <w:t xml:space="preserve"> economy is </w:t>
      </w:r>
      <w:r w:rsidR="002A71E3" w:rsidRPr="00240544">
        <w:rPr>
          <w:szCs w:val="24"/>
        </w:rPr>
        <w:t xml:space="preserve">to an extent </w:t>
      </w:r>
      <w:r w:rsidR="001D7D73" w:rsidRPr="00240544">
        <w:rPr>
          <w:szCs w:val="24"/>
        </w:rPr>
        <w:t>met by the answer that nor i</w:t>
      </w:r>
      <w:r w:rsidR="00FF07F6" w:rsidRPr="00240544">
        <w:rPr>
          <w:szCs w:val="24"/>
        </w:rPr>
        <w:t xml:space="preserve">s measurement in 2004 YOBP, which is already </w:t>
      </w:r>
      <w:r w:rsidR="007866BB" w:rsidRPr="00240544">
        <w:rPr>
          <w:szCs w:val="24"/>
        </w:rPr>
        <w:t xml:space="preserve">9 years old by 2013. </w:t>
      </w:r>
    </w:p>
    <w:p w14:paraId="7274BCA7" w14:textId="6D53933C" w:rsidR="00994D1A" w:rsidRPr="00240544" w:rsidRDefault="00356A7F" w:rsidP="00C662F9">
      <w:pPr>
        <w:pStyle w:val="ParaLevel1"/>
        <w:numPr>
          <w:ilvl w:val="0"/>
          <w:numId w:val="11"/>
        </w:numPr>
        <w:ind w:left="454" w:hanging="454"/>
        <w:rPr>
          <w:szCs w:val="24"/>
        </w:rPr>
      </w:pPr>
      <w:r w:rsidRPr="00240544">
        <w:rPr>
          <w:szCs w:val="24"/>
        </w:rPr>
        <w:t xml:space="preserve">Moreover Dr Buiter described </w:t>
      </w:r>
      <w:r w:rsidR="00302DD5" w:rsidRPr="00240544">
        <w:rPr>
          <w:szCs w:val="24"/>
        </w:rPr>
        <w:t xml:space="preserve">the </w:t>
      </w:r>
      <w:r w:rsidR="001B3B68" w:rsidRPr="00240544">
        <w:rPr>
          <w:szCs w:val="24"/>
        </w:rPr>
        <w:t xml:space="preserve">figures used by </w:t>
      </w:r>
      <w:r w:rsidRPr="00240544">
        <w:rPr>
          <w:szCs w:val="24"/>
        </w:rPr>
        <w:t>Dr Boren</w:t>
      </w:r>
      <w:r w:rsidR="001B3B68" w:rsidRPr="00240544">
        <w:rPr>
          <w:szCs w:val="24"/>
        </w:rPr>
        <w:t xml:space="preserve">sztein </w:t>
      </w:r>
      <w:r w:rsidR="00450ADE" w:rsidRPr="00240544">
        <w:rPr>
          <w:szCs w:val="24"/>
        </w:rPr>
        <w:t>to illustrate the possibility as “extreme hypotheticals”</w:t>
      </w:r>
      <w:r w:rsidR="00BC1270" w:rsidRPr="00240544">
        <w:rPr>
          <w:szCs w:val="24"/>
        </w:rPr>
        <w:t xml:space="preserve"> and it is easy to see why.  Dr B</w:t>
      </w:r>
      <w:r w:rsidR="001A1602" w:rsidRPr="00240544">
        <w:rPr>
          <w:szCs w:val="24"/>
        </w:rPr>
        <w:t>orens</w:t>
      </w:r>
      <w:r w:rsidR="001E0419">
        <w:rPr>
          <w:szCs w:val="24"/>
        </w:rPr>
        <w:t>zt</w:t>
      </w:r>
      <w:r w:rsidR="001A1602" w:rsidRPr="00240544">
        <w:rPr>
          <w:szCs w:val="24"/>
        </w:rPr>
        <w:t xml:space="preserve">ein </w:t>
      </w:r>
      <w:r w:rsidR="00AA069C" w:rsidRPr="00240544">
        <w:rPr>
          <w:szCs w:val="24"/>
        </w:rPr>
        <w:t xml:space="preserve">posits a 10% fall in growth </w:t>
      </w:r>
      <w:r w:rsidR="00863682" w:rsidRPr="00240544">
        <w:rPr>
          <w:szCs w:val="24"/>
        </w:rPr>
        <w:t xml:space="preserve">in </w:t>
      </w:r>
      <w:r w:rsidR="007266C7" w:rsidRPr="00240544">
        <w:rPr>
          <w:szCs w:val="24"/>
        </w:rPr>
        <w:t>2004 YOBP</w:t>
      </w:r>
      <w:r w:rsidR="00003701" w:rsidRPr="00240544">
        <w:rPr>
          <w:szCs w:val="24"/>
        </w:rPr>
        <w:t>, and calculates that it results in a b</w:t>
      </w:r>
      <w:r w:rsidR="00DC5A8C" w:rsidRPr="00240544">
        <w:rPr>
          <w:szCs w:val="24"/>
        </w:rPr>
        <w:t>ase case adjustment, on the Claimant</w:t>
      </w:r>
      <w:r w:rsidR="000306A9" w:rsidRPr="00240544">
        <w:rPr>
          <w:szCs w:val="24"/>
        </w:rPr>
        <w:t>s’</w:t>
      </w:r>
      <w:r w:rsidR="00DC5A8C" w:rsidRPr="00240544">
        <w:rPr>
          <w:szCs w:val="24"/>
        </w:rPr>
        <w:t xml:space="preserve"> construction</w:t>
      </w:r>
      <w:r w:rsidR="00373786" w:rsidRPr="00240544">
        <w:rPr>
          <w:szCs w:val="24"/>
        </w:rPr>
        <w:t xml:space="preserve">, </w:t>
      </w:r>
      <w:r w:rsidR="00DC5A8C" w:rsidRPr="00240544">
        <w:rPr>
          <w:szCs w:val="24"/>
        </w:rPr>
        <w:t>of</w:t>
      </w:r>
      <w:r w:rsidR="002F3213" w:rsidRPr="00240544">
        <w:rPr>
          <w:szCs w:val="24"/>
        </w:rPr>
        <w:t xml:space="preserve"> minus</w:t>
      </w:r>
      <w:r w:rsidR="00373786" w:rsidRPr="00240544">
        <w:rPr>
          <w:szCs w:val="24"/>
        </w:rPr>
        <w:t xml:space="preserve"> </w:t>
      </w:r>
      <w:r w:rsidR="002F3213" w:rsidRPr="00240544">
        <w:rPr>
          <w:szCs w:val="24"/>
        </w:rPr>
        <w:t>10.1%</w:t>
      </w:r>
      <w:r w:rsidR="00373786" w:rsidRPr="00240544">
        <w:rPr>
          <w:szCs w:val="24"/>
        </w:rPr>
        <w:t xml:space="preserve">, just exceeded by the </w:t>
      </w:r>
      <w:r w:rsidR="00035907" w:rsidRPr="00240544">
        <w:rPr>
          <w:szCs w:val="24"/>
        </w:rPr>
        <w:t>Actual R</w:t>
      </w:r>
      <w:r w:rsidR="007266C7" w:rsidRPr="00240544">
        <w:rPr>
          <w:szCs w:val="24"/>
        </w:rPr>
        <w:t xml:space="preserve">eal </w:t>
      </w:r>
      <w:r w:rsidR="00035907" w:rsidRPr="00240544">
        <w:rPr>
          <w:szCs w:val="24"/>
        </w:rPr>
        <w:t>GDP Growth of minus 10%</w:t>
      </w:r>
      <w:r w:rsidR="00BD22C4" w:rsidRPr="00240544">
        <w:rPr>
          <w:szCs w:val="24"/>
        </w:rPr>
        <w:t>,</w:t>
      </w:r>
      <w:r w:rsidR="00C162BB" w:rsidRPr="00240544">
        <w:rPr>
          <w:szCs w:val="24"/>
        </w:rPr>
        <w:t xml:space="preserve"> so that the Growth Condition is met</w:t>
      </w:r>
      <w:r w:rsidR="00035907" w:rsidRPr="00240544">
        <w:rPr>
          <w:szCs w:val="24"/>
        </w:rPr>
        <w:t xml:space="preserve">. </w:t>
      </w:r>
      <w:r w:rsidR="00003701" w:rsidRPr="00240544">
        <w:rPr>
          <w:szCs w:val="24"/>
        </w:rPr>
        <w:t xml:space="preserve"> </w:t>
      </w:r>
      <w:r w:rsidR="002F3213" w:rsidRPr="00240544">
        <w:rPr>
          <w:szCs w:val="24"/>
        </w:rPr>
        <w:t>However in order to do so he has to posit</w:t>
      </w:r>
      <w:r w:rsidR="00BD22C4" w:rsidRPr="00240544">
        <w:rPr>
          <w:szCs w:val="24"/>
        </w:rPr>
        <w:t xml:space="preserve">, as I have said, </w:t>
      </w:r>
      <w:r w:rsidR="00867493" w:rsidRPr="00240544">
        <w:rPr>
          <w:szCs w:val="24"/>
        </w:rPr>
        <w:t xml:space="preserve">a growth in </w:t>
      </w:r>
      <w:r w:rsidR="00035907" w:rsidRPr="00240544">
        <w:rPr>
          <w:szCs w:val="24"/>
        </w:rPr>
        <w:t xml:space="preserve">GDP </w:t>
      </w:r>
      <w:r w:rsidR="00867493" w:rsidRPr="00240544">
        <w:rPr>
          <w:szCs w:val="24"/>
        </w:rPr>
        <w:t>for the same year in 1993 YOBP of 3</w:t>
      </w:r>
      <w:r w:rsidR="00B87DE7" w:rsidRPr="00240544">
        <w:rPr>
          <w:szCs w:val="24"/>
        </w:rPr>
        <w:t>.3</w:t>
      </w:r>
      <w:r w:rsidR="00867493" w:rsidRPr="00240544">
        <w:rPr>
          <w:szCs w:val="24"/>
        </w:rPr>
        <w:t>%, which he then uses in the calculation</w:t>
      </w:r>
      <w:r w:rsidR="008525B3" w:rsidRPr="00240544">
        <w:rPr>
          <w:szCs w:val="24"/>
        </w:rPr>
        <w:t xml:space="preserve"> for the adjustment of the base case GDP</w:t>
      </w:r>
      <w:r w:rsidR="00765CFC" w:rsidRPr="00240544">
        <w:rPr>
          <w:szCs w:val="24"/>
        </w:rPr>
        <w:t xml:space="preserve"> on the Claimant</w:t>
      </w:r>
      <w:r w:rsidR="000306A9" w:rsidRPr="00240544">
        <w:rPr>
          <w:szCs w:val="24"/>
        </w:rPr>
        <w:t>s’</w:t>
      </w:r>
      <w:r w:rsidR="00765CFC" w:rsidRPr="00240544">
        <w:rPr>
          <w:szCs w:val="24"/>
        </w:rPr>
        <w:t xml:space="preserve"> construction</w:t>
      </w:r>
      <w:r w:rsidR="00867493" w:rsidRPr="00240544">
        <w:rPr>
          <w:szCs w:val="24"/>
        </w:rPr>
        <w:t xml:space="preserve">.  </w:t>
      </w:r>
      <w:r w:rsidR="008525B3" w:rsidRPr="00240544">
        <w:rPr>
          <w:szCs w:val="24"/>
        </w:rPr>
        <w:t xml:space="preserve">That assumes a difference </w:t>
      </w:r>
      <w:r w:rsidR="00867493" w:rsidRPr="00240544">
        <w:rPr>
          <w:szCs w:val="24"/>
        </w:rPr>
        <w:t>of 13</w:t>
      </w:r>
      <w:r w:rsidR="0038091D" w:rsidRPr="00240544">
        <w:rPr>
          <w:szCs w:val="24"/>
        </w:rPr>
        <w:t>.3</w:t>
      </w:r>
      <w:r w:rsidR="00867493" w:rsidRPr="00240544">
        <w:rPr>
          <w:szCs w:val="24"/>
        </w:rPr>
        <w:t xml:space="preserve">% in the growth </w:t>
      </w:r>
      <w:r w:rsidR="000306A9" w:rsidRPr="00240544">
        <w:rPr>
          <w:szCs w:val="24"/>
        </w:rPr>
        <w:t xml:space="preserve">for the same year </w:t>
      </w:r>
      <w:r w:rsidR="00867493" w:rsidRPr="00240544">
        <w:rPr>
          <w:szCs w:val="24"/>
        </w:rPr>
        <w:t>measured in the two different series</w:t>
      </w:r>
      <w:r w:rsidR="00B87DE7" w:rsidRPr="00240544">
        <w:rPr>
          <w:szCs w:val="24"/>
        </w:rPr>
        <w:t xml:space="preserve">, which </w:t>
      </w:r>
      <w:r w:rsidR="00492142" w:rsidRPr="00240544">
        <w:rPr>
          <w:szCs w:val="24"/>
        </w:rPr>
        <w:t xml:space="preserve">according to the tables provided by Mr Davies for all years going back to 1950 </w:t>
      </w:r>
      <w:r w:rsidR="00B87DE7" w:rsidRPr="00240544">
        <w:rPr>
          <w:szCs w:val="24"/>
        </w:rPr>
        <w:t xml:space="preserve">is </w:t>
      </w:r>
      <w:r w:rsidR="0022087A" w:rsidRPr="00240544">
        <w:rPr>
          <w:szCs w:val="24"/>
        </w:rPr>
        <w:t xml:space="preserve">greater than any divergence </w:t>
      </w:r>
      <w:r w:rsidR="001A5F4D" w:rsidRPr="00240544">
        <w:rPr>
          <w:szCs w:val="24"/>
        </w:rPr>
        <w:t xml:space="preserve">for measurement in different series for any of those years </w:t>
      </w:r>
      <w:r w:rsidR="0022087A" w:rsidRPr="00240544">
        <w:rPr>
          <w:szCs w:val="24"/>
        </w:rPr>
        <w:t xml:space="preserve">by a factor of </w:t>
      </w:r>
      <w:r w:rsidR="00B40816" w:rsidRPr="00240544">
        <w:rPr>
          <w:szCs w:val="24"/>
        </w:rPr>
        <w:t>al</w:t>
      </w:r>
      <w:r w:rsidR="005A51EC" w:rsidRPr="00240544">
        <w:rPr>
          <w:szCs w:val="24"/>
        </w:rPr>
        <w:t>m</w:t>
      </w:r>
      <w:r w:rsidR="00B40816" w:rsidRPr="00240544">
        <w:rPr>
          <w:szCs w:val="24"/>
        </w:rPr>
        <w:t xml:space="preserve">ost </w:t>
      </w:r>
      <w:r w:rsidR="005A51EC" w:rsidRPr="00240544">
        <w:rPr>
          <w:szCs w:val="24"/>
        </w:rPr>
        <w:t xml:space="preserve">four, </w:t>
      </w:r>
      <w:r w:rsidR="009B0D97" w:rsidRPr="00240544">
        <w:rPr>
          <w:szCs w:val="24"/>
        </w:rPr>
        <w:t xml:space="preserve">none involving a divergence of more than </w:t>
      </w:r>
      <w:r w:rsidR="005840FD" w:rsidRPr="00240544">
        <w:rPr>
          <w:szCs w:val="24"/>
        </w:rPr>
        <w:t xml:space="preserve">about </w:t>
      </w:r>
      <w:r w:rsidR="00AC5AA4" w:rsidRPr="00240544">
        <w:rPr>
          <w:szCs w:val="24"/>
        </w:rPr>
        <w:t>3</w:t>
      </w:r>
      <w:r w:rsidR="005A51EC" w:rsidRPr="00240544">
        <w:rPr>
          <w:szCs w:val="24"/>
        </w:rPr>
        <w:t>½</w:t>
      </w:r>
      <w:r w:rsidR="00AC5AA4" w:rsidRPr="00240544">
        <w:rPr>
          <w:szCs w:val="24"/>
        </w:rPr>
        <w:t>%.</w:t>
      </w:r>
      <w:r w:rsidR="0022087A" w:rsidRPr="00240544">
        <w:rPr>
          <w:szCs w:val="24"/>
        </w:rPr>
        <w:t xml:space="preserve">  </w:t>
      </w:r>
      <w:r w:rsidR="00BA6AC3" w:rsidRPr="00240544">
        <w:rPr>
          <w:szCs w:val="24"/>
        </w:rPr>
        <w:t xml:space="preserve"> </w:t>
      </w:r>
    </w:p>
    <w:p w14:paraId="1F03A896" w14:textId="2AD1608F" w:rsidR="00446158" w:rsidRDefault="003D667A" w:rsidP="004B4573">
      <w:pPr>
        <w:pStyle w:val="ParaLevel1"/>
        <w:numPr>
          <w:ilvl w:val="0"/>
          <w:numId w:val="11"/>
        </w:numPr>
        <w:ind w:left="454" w:hanging="454"/>
        <w:rPr>
          <w:szCs w:val="24"/>
        </w:rPr>
      </w:pPr>
      <w:r>
        <w:rPr>
          <w:szCs w:val="24"/>
        </w:rPr>
        <w:t xml:space="preserve">There is a further category of extraneous material relied upon by </w:t>
      </w:r>
      <w:r w:rsidR="00AF5DE8">
        <w:rPr>
          <w:szCs w:val="24"/>
        </w:rPr>
        <w:t>the Claimants</w:t>
      </w:r>
      <w:r w:rsidR="0020450D">
        <w:rPr>
          <w:szCs w:val="24"/>
        </w:rPr>
        <w:t>,</w:t>
      </w:r>
      <w:r w:rsidR="00AF5DE8">
        <w:rPr>
          <w:szCs w:val="24"/>
        </w:rPr>
        <w:t xml:space="preserve"> which is not factual matrix evidence</w:t>
      </w:r>
      <w:r w:rsidR="007E343C">
        <w:rPr>
          <w:szCs w:val="24"/>
        </w:rPr>
        <w:t>,</w:t>
      </w:r>
      <w:r w:rsidR="00AF5DE8">
        <w:rPr>
          <w:szCs w:val="24"/>
        </w:rPr>
        <w:t xml:space="preserve"> and not suggested to have been reasonably available to the parties at the time</w:t>
      </w:r>
      <w:r w:rsidR="0020450D">
        <w:rPr>
          <w:szCs w:val="24"/>
        </w:rPr>
        <w:t xml:space="preserve"> the Securities were issued or bought by investors in the market</w:t>
      </w:r>
      <w:r w:rsidR="00460BF2">
        <w:rPr>
          <w:szCs w:val="24"/>
        </w:rPr>
        <w:t xml:space="preserve">. It is </w:t>
      </w:r>
      <w:r w:rsidR="00BF7150">
        <w:rPr>
          <w:szCs w:val="24"/>
        </w:rPr>
        <w:t xml:space="preserve">relied on as showing that </w:t>
      </w:r>
      <w:r w:rsidR="008E76CE">
        <w:rPr>
          <w:szCs w:val="24"/>
        </w:rPr>
        <w:t>qualified and respect</w:t>
      </w:r>
      <w:r w:rsidR="00AA234E">
        <w:rPr>
          <w:szCs w:val="24"/>
        </w:rPr>
        <w:t xml:space="preserve">ed </w:t>
      </w:r>
      <w:r w:rsidR="008E76CE">
        <w:rPr>
          <w:szCs w:val="24"/>
        </w:rPr>
        <w:t>com</w:t>
      </w:r>
      <w:r w:rsidR="001B024B">
        <w:rPr>
          <w:szCs w:val="24"/>
        </w:rPr>
        <w:t>m</w:t>
      </w:r>
      <w:r w:rsidR="008E76CE">
        <w:rPr>
          <w:szCs w:val="24"/>
        </w:rPr>
        <w:t xml:space="preserve">entators contemplated </w:t>
      </w:r>
      <w:r w:rsidR="00381EE2">
        <w:rPr>
          <w:szCs w:val="24"/>
        </w:rPr>
        <w:t>that GDP</w:t>
      </w:r>
      <w:r w:rsidR="001812F4">
        <w:rPr>
          <w:szCs w:val="24"/>
        </w:rPr>
        <w:t>-</w:t>
      </w:r>
      <w:r w:rsidR="008E76CE">
        <w:rPr>
          <w:szCs w:val="24"/>
        </w:rPr>
        <w:t xml:space="preserve">linked bonds </w:t>
      </w:r>
      <w:r w:rsidR="005A70F9">
        <w:rPr>
          <w:szCs w:val="24"/>
        </w:rPr>
        <w:t xml:space="preserve">would have </w:t>
      </w:r>
      <w:r w:rsidR="008E5F32">
        <w:rPr>
          <w:szCs w:val="24"/>
        </w:rPr>
        <w:t xml:space="preserve">some </w:t>
      </w:r>
      <w:r w:rsidR="00AA234E">
        <w:rPr>
          <w:szCs w:val="24"/>
        </w:rPr>
        <w:t>or all</w:t>
      </w:r>
      <w:r w:rsidR="00894022">
        <w:rPr>
          <w:szCs w:val="24"/>
        </w:rPr>
        <w:t xml:space="preserve"> </w:t>
      </w:r>
      <w:r w:rsidR="008E5F32">
        <w:rPr>
          <w:szCs w:val="24"/>
        </w:rPr>
        <w:t xml:space="preserve">of the </w:t>
      </w:r>
      <w:r w:rsidR="005A70F9">
        <w:rPr>
          <w:szCs w:val="24"/>
        </w:rPr>
        <w:t xml:space="preserve">features which </w:t>
      </w:r>
      <w:r w:rsidR="00001C31">
        <w:rPr>
          <w:szCs w:val="24"/>
        </w:rPr>
        <w:t>arise on the Clai</w:t>
      </w:r>
      <w:r w:rsidR="001B024B">
        <w:rPr>
          <w:szCs w:val="24"/>
        </w:rPr>
        <w:t>mant</w:t>
      </w:r>
      <w:r w:rsidR="008E4EB2">
        <w:rPr>
          <w:szCs w:val="24"/>
        </w:rPr>
        <w:t>s’ construction</w:t>
      </w:r>
      <w:r w:rsidR="005A70F9">
        <w:rPr>
          <w:szCs w:val="24"/>
        </w:rPr>
        <w:t>, which the Republic seek</w:t>
      </w:r>
      <w:r w:rsidR="008E5F32">
        <w:rPr>
          <w:szCs w:val="24"/>
        </w:rPr>
        <w:t>s</w:t>
      </w:r>
      <w:r w:rsidR="005A70F9">
        <w:rPr>
          <w:szCs w:val="24"/>
        </w:rPr>
        <w:t xml:space="preserve"> to characterise as</w:t>
      </w:r>
      <w:r w:rsidR="008E4EB2">
        <w:rPr>
          <w:szCs w:val="24"/>
        </w:rPr>
        <w:t xml:space="preserve"> having no commercial sense or as irrational.</w:t>
      </w:r>
      <w:r w:rsidR="001B024B">
        <w:rPr>
          <w:szCs w:val="24"/>
        </w:rPr>
        <w:t xml:space="preserve">  </w:t>
      </w:r>
      <w:r w:rsidR="001E552E">
        <w:rPr>
          <w:szCs w:val="24"/>
        </w:rPr>
        <w:t>In particular:</w:t>
      </w:r>
    </w:p>
    <w:p w14:paraId="4A222862" w14:textId="3F48B99A" w:rsidR="001E552E" w:rsidRDefault="003855FA" w:rsidP="00C7371D">
      <w:pPr>
        <w:pStyle w:val="ParaLevel1"/>
        <w:numPr>
          <w:ilvl w:val="1"/>
          <w:numId w:val="11"/>
        </w:numPr>
        <w:rPr>
          <w:szCs w:val="24"/>
        </w:rPr>
      </w:pPr>
      <w:r>
        <w:rPr>
          <w:szCs w:val="24"/>
        </w:rPr>
        <w:t xml:space="preserve">A </w:t>
      </w:r>
      <w:r w:rsidR="00956BD1">
        <w:rPr>
          <w:szCs w:val="24"/>
        </w:rPr>
        <w:t>p</w:t>
      </w:r>
      <w:r w:rsidR="00D842DC">
        <w:rPr>
          <w:szCs w:val="24"/>
        </w:rPr>
        <w:t xml:space="preserve">aper </w:t>
      </w:r>
      <w:r w:rsidR="008E5F32">
        <w:rPr>
          <w:szCs w:val="24"/>
        </w:rPr>
        <w:t xml:space="preserve">was </w:t>
      </w:r>
      <w:r w:rsidR="00D842DC">
        <w:rPr>
          <w:szCs w:val="24"/>
        </w:rPr>
        <w:t xml:space="preserve">issued by Dr Borensztein and Dr Mauro in 2004 seeking to </w:t>
      </w:r>
      <w:r w:rsidR="00A52C14">
        <w:rPr>
          <w:szCs w:val="24"/>
        </w:rPr>
        <w:t xml:space="preserve">“revive the case for countries to insure against economic growth slowdowns by issuing bonds </w:t>
      </w:r>
      <w:r w:rsidR="00EF7842">
        <w:rPr>
          <w:szCs w:val="24"/>
        </w:rPr>
        <w:t>indexed to the rate of growth of GDP”.</w:t>
      </w:r>
      <w:r w:rsidR="00663C15">
        <w:rPr>
          <w:szCs w:val="24"/>
        </w:rPr>
        <w:t xml:space="preserve">  Addressing</w:t>
      </w:r>
      <w:r w:rsidR="001E08FA">
        <w:rPr>
          <w:szCs w:val="24"/>
        </w:rPr>
        <w:t xml:space="preserve"> potential concerns which investors might have about data revisions, the authors suggested that their recommendation would be </w:t>
      </w:r>
      <w:r w:rsidR="00D848C4">
        <w:rPr>
          <w:szCs w:val="24"/>
        </w:rPr>
        <w:t>“to ignore data revisions after a certain point: establish that coup</w:t>
      </w:r>
      <w:r w:rsidR="001E552E">
        <w:rPr>
          <w:szCs w:val="24"/>
        </w:rPr>
        <w:t>o</w:t>
      </w:r>
      <w:r w:rsidR="00D848C4">
        <w:rPr>
          <w:szCs w:val="24"/>
        </w:rPr>
        <w:t xml:space="preserve">n payments for each date </w:t>
      </w:r>
      <w:r w:rsidR="00D848C4" w:rsidRPr="008E5F32">
        <w:rPr>
          <w:i/>
          <w:iCs/>
          <w:szCs w:val="24"/>
        </w:rPr>
        <w:t>x</w:t>
      </w:r>
      <w:r w:rsidR="00D848C4">
        <w:rPr>
          <w:szCs w:val="24"/>
        </w:rPr>
        <w:t xml:space="preserve"> are based on GDP as estimated on date</w:t>
      </w:r>
      <w:r w:rsidR="00E058AB">
        <w:rPr>
          <w:szCs w:val="24"/>
        </w:rPr>
        <w:t xml:space="preserve"> </w:t>
      </w:r>
      <w:r w:rsidR="00E058AB" w:rsidRPr="008E5F32">
        <w:rPr>
          <w:i/>
          <w:iCs/>
          <w:szCs w:val="24"/>
        </w:rPr>
        <w:t>y</w:t>
      </w:r>
      <w:r w:rsidR="00E058AB">
        <w:rPr>
          <w:szCs w:val="24"/>
        </w:rPr>
        <w:t>”.  This recognised that one solution</w:t>
      </w:r>
      <w:r w:rsidR="000928A1">
        <w:rPr>
          <w:szCs w:val="24"/>
        </w:rPr>
        <w:t xml:space="preserve"> to concerns about data revision, indeed the preferred solution, </w:t>
      </w:r>
      <w:r w:rsidR="00E058AB">
        <w:rPr>
          <w:szCs w:val="24"/>
        </w:rPr>
        <w:t xml:space="preserve">would be to </w:t>
      </w:r>
      <w:bookmarkStart w:id="7" w:name="_Hlk167463321"/>
      <w:r w:rsidR="00870D43">
        <w:rPr>
          <w:szCs w:val="24"/>
        </w:rPr>
        <w:t>m</w:t>
      </w:r>
      <w:r w:rsidR="00E058AB">
        <w:rPr>
          <w:szCs w:val="24"/>
        </w:rPr>
        <w:t xml:space="preserve">easure growth by reference to GDP in an outdated </w:t>
      </w:r>
      <w:r w:rsidR="00870D43">
        <w:rPr>
          <w:szCs w:val="24"/>
        </w:rPr>
        <w:t>base price</w:t>
      </w:r>
      <w:r w:rsidR="009123DF">
        <w:rPr>
          <w:szCs w:val="24"/>
        </w:rPr>
        <w:t>.</w:t>
      </w:r>
    </w:p>
    <w:bookmarkEnd w:id="7"/>
    <w:p w14:paraId="47885773" w14:textId="13691AA5" w:rsidR="00DF79A5" w:rsidRPr="00F564AC" w:rsidRDefault="00A02276" w:rsidP="00C7371D">
      <w:pPr>
        <w:pStyle w:val="ParaLevel1"/>
        <w:numPr>
          <w:ilvl w:val="1"/>
          <w:numId w:val="11"/>
        </w:numPr>
        <w:rPr>
          <w:szCs w:val="24"/>
        </w:rPr>
      </w:pPr>
      <w:r>
        <w:rPr>
          <w:szCs w:val="24"/>
        </w:rPr>
        <w:t>A</w:t>
      </w:r>
      <w:r w:rsidR="001E552E">
        <w:rPr>
          <w:szCs w:val="24"/>
        </w:rPr>
        <w:t xml:space="preserve"> </w:t>
      </w:r>
      <w:r>
        <w:rPr>
          <w:szCs w:val="24"/>
        </w:rPr>
        <w:t>paper of 8 July 20</w:t>
      </w:r>
      <w:r w:rsidR="00F564AC">
        <w:rPr>
          <w:szCs w:val="24"/>
        </w:rPr>
        <w:t>0</w:t>
      </w:r>
      <w:r>
        <w:rPr>
          <w:szCs w:val="24"/>
        </w:rPr>
        <w:t xml:space="preserve">4 by the </w:t>
      </w:r>
      <w:r w:rsidR="000F6A69">
        <w:rPr>
          <w:szCs w:val="24"/>
        </w:rPr>
        <w:t xml:space="preserve">White House Council of Economic Advisers to the </w:t>
      </w:r>
      <w:r w:rsidR="00846433">
        <w:rPr>
          <w:szCs w:val="24"/>
        </w:rPr>
        <w:t xml:space="preserve">US </w:t>
      </w:r>
      <w:r w:rsidR="000F6A69">
        <w:rPr>
          <w:szCs w:val="24"/>
        </w:rPr>
        <w:t xml:space="preserve">President </w:t>
      </w:r>
      <w:r w:rsidR="00846433">
        <w:rPr>
          <w:szCs w:val="24"/>
        </w:rPr>
        <w:t>p</w:t>
      </w:r>
      <w:r w:rsidR="00D74038">
        <w:rPr>
          <w:szCs w:val="24"/>
        </w:rPr>
        <w:t xml:space="preserve">roposed a similar model </w:t>
      </w:r>
      <w:r w:rsidR="00404F9F">
        <w:rPr>
          <w:szCs w:val="24"/>
        </w:rPr>
        <w:t>of measur</w:t>
      </w:r>
      <w:r w:rsidR="002202C0">
        <w:rPr>
          <w:szCs w:val="24"/>
        </w:rPr>
        <w:t xml:space="preserve">ing </w:t>
      </w:r>
      <w:r w:rsidR="00404F9F">
        <w:rPr>
          <w:szCs w:val="24"/>
        </w:rPr>
        <w:t>growth by reference to GDP in an outdated base price</w:t>
      </w:r>
      <w:r w:rsidR="00F564AC">
        <w:rPr>
          <w:szCs w:val="24"/>
        </w:rPr>
        <w:t xml:space="preserve"> </w:t>
      </w:r>
      <w:r w:rsidR="00D74038" w:rsidRPr="00F564AC">
        <w:rPr>
          <w:szCs w:val="24"/>
        </w:rPr>
        <w:t>as one of a number of possib</w:t>
      </w:r>
      <w:r w:rsidR="00120A0B" w:rsidRPr="00F564AC">
        <w:rPr>
          <w:szCs w:val="24"/>
        </w:rPr>
        <w:t>ilities</w:t>
      </w:r>
      <w:r w:rsidR="00B167F0">
        <w:rPr>
          <w:szCs w:val="24"/>
        </w:rPr>
        <w:t>.</w:t>
      </w:r>
      <w:r w:rsidR="00160C9D" w:rsidRPr="00F564AC">
        <w:rPr>
          <w:szCs w:val="24"/>
        </w:rPr>
        <w:t xml:space="preserve">  It went on</w:t>
      </w:r>
      <w:r w:rsidR="00F564AC">
        <w:rPr>
          <w:szCs w:val="24"/>
        </w:rPr>
        <w:t>:</w:t>
      </w:r>
      <w:r w:rsidR="00160C9D" w:rsidRPr="00F564AC">
        <w:rPr>
          <w:szCs w:val="24"/>
        </w:rPr>
        <w:t xml:space="preserve"> “Cha</w:t>
      </w:r>
      <w:r w:rsidR="000449A7" w:rsidRPr="00F564AC">
        <w:rPr>
          <w:szCs w:val="24"/>
        </w:rPr>
        <w:t>n</w:t>
      </w:r>
      <w:r w:rsidR="00160C9D" w:rsidRPr="00F564AC">
        <w:rPr>
          <w:szCs w:val="24"/>
        </w:rPr>
        <w:t>ges to statistical methodologies</w:t>
      </w:r>
      <w:r w:rsidR="007773DB" w:rsidRPr="00F564AC">
        <w:rPr>
          <w:szCs w:val="24"/>
        </w:rPr>
        <w:t xml:space="preserve"> could be handled by requiring governments to keep separate GDP series calculated with old </w:t>
      </w:r>
      <w:r w:rsidR="000449A7" w:rsidRPr="00F564AC">
        <w:rPr>
          <w:szCs w:val="24"/>
        </w:rPr>
        <w:t>m</w:t>
      </w:r>
      <w:r w:rsidR="007773DB" w:rsidRPr="00F564AC">
        <w:rPr>
          <w:szCs w:val="24"/>
        </w:rPr>
        <w:t>ethodology</w:t>
      </w:r>
      <w:r w:rsidR="00E01D2B" w:rsidRPr="00F564AC">
        <w:rPr>
          <w:szCs w:val="24"/>
        </w:rPr>
        <w:t>, even after adopting a new technique for other purposes, until outstanding contracts reach maturity.”</w:t>
      </w:r>
      <w:r w:rsidR="00665AF9" w:rsidRPr="00F564AC">
        <w:rPr>
          <w:szCs w:val="24"/>
        </w:rPr>
        <w:t xml:space="preserve">  This s</w:t>
      </w:r>
      <w:r w:rsidR="00193537">
        <w:rPr>
          <w:szCs w:val="24"/>
        </w:rPr>
        <w:t xml:space="preserve">uggests </w:t>
      </w:r>
      <w:r w:rsidR="00665AF9" w:rsidRPr="00F564AC">
        <w:rPr>
          <w:szCs w:val="24"/>
        </w:rPr>
        <w:t>that there is nothing very surprising or uncommercial in a construction of the Adjustment Provision which would require the Republic to publish figures in 199</w:t>
      </w:r>
      <w:r w:rsidR="00F17EDB" w:rsidRPr="00F564AC">
        <w:rPr>
          <w:szCs w:val="24"/>
        </w:rPr>
        <w:t>3 YOBP for the</w:t>
      </w:r>
      <w:r w:rsidR="000449A7" w:rsidRPr="00F564AC">
        <w:rPr>
          <w:szCs w:val="24"/>
        </w:rPr>
        <w:t xml:space="preserve"> </w:t>
      </w:r>
      <w:r w:rsidR="00F17EDB" w:rsidRPr="00F564AC">
        <w:rPr>
          <w:szCs w:val="24"/>
        </w:rPr>
        <w:t>lifetime of the Securities</w:t>
      </w:r>
      <w:r w:rsidR="00B01110">
        <w:rPr>
          <w:szCs w:val="24"/>
        </w:rPr>
        <w:t>.</w:t>
      </w:r>
    </w:p>
    <w:p w14:paraId="7B4FA0CC" w14:textId="74BF1ADA" w:rsidR="00CD037E" w:rsidRDefault="00193537" w:rsidP="00C7371D">
      <w:pPr>
        <w:pStyle w:val="ParaLevel1"/>
        <w:numPr>
          <w:ilvl w:val="1"/>
          <w:numId w:val="11"/>
        </w:numPr>
        <w:rPr>
          <w:szCs w:val="24"/>
        </w:rPr>
      </w:pPr>
      <w:r>
        <w:rPr>
          <w:szCs w:val="24"/>
        </w:rPr>
        <w:t xml:space="preserve">Both these points were also </w:t>
      </w:r>
      <w:r w:rsidR="00DF79A5">
        <w:rPr>
          <w:szCs w:val="24"/>
        </w:rPr>
        <w:t xml:space="preserve">made in a </w:t>
      </w:r>
      <w:r w:rsidR="00B167F0">
        <w:rPr>
          <w:szCs w:val="24"/>
        </w:rPr>
        <w:t>2006</w:t>
      </w:r>
      <w:r w:rsidR="0017026A">
        <w:rPr>
          <w:szCs w:val="24"/>
        </w:rPr>
        <w:t xml:space="preserve"> </w:t>
      </w:r>
      <w:r w:rsidR="00DF79A5">
        <w:rPr>
          <w:szCs w:val="24"/>
        </w:rPr>
        <w:t>paper by Ms Griffith</w:t>
      </w:r>
      <w:r>
        <w:rPr>
          <w:szCs w:val="24"/>
        </w:rPr>
        <w:t>-</w:t>
      </w:r>
      <w:r w:rsidR="00DF79A5">
        <w:rPr>
          <w:szCs w:val="24"/>
        </w:rPr>
        <w:t>Jones</w:t>
      </w:r>
      <w:r>
        <w:rPr>
          <w:szCs w:val="24"/>
        </w:rPr>
        <w:t>, the expert appointed by the Republic in the earlier stages of the proceedings before being replaced</w:t>
      </w:r>
      <w:r w:rsidR="00E62EFF">
        <w:rPr>
          <w:szCs w:val="24"/>
        </w:rPr>
        <w:t xml:space="preserve">; and </w:t>
      </w:r>
      <w:r w:rsidR="009C703B">
        <w:rPr>
          <w:szCs w:val="24"/>
        </w:rPr>
        <w:t>in a 2010 paper</w:t>
      </w:r>
      <w:r w:rsidR="00FA1397">
        <w:rPr>
          <w:szCs w:val="24"/>
        </w:rPr>
        <w:t xml:space="preserve"> </w:t>
      </w:r>
      <w:r w:rsidR="00B167F0">
        <w:rPr>
          <w:szCs w:val="24"/>
        </w:rPr>
        <w:t xml:space="preserve">prepared by a debt management consultant, Michele Robinson, </w:t>
      </w:r>
      <w:r w:rsidR="00FA1397">
        <w:rPr>
          <w:szCs w:val="24"/>
        </w:rPr>
        <w:t>for the Commonwealth Secretariat</w:t>
      </w:r>
      <w:r w:rsidR="00B167F0">
        <w:rPr>
          <w:szCs w:val="24"/>
        </w:rPr>
        <w:t>.</w:t>
      </w:r>
      <w:r w:rsidR="00FA1397">
        <w:rPr>
          <w:szCs w:val="24"/>
        </w:rPr>
        <w:t xml:space="preserve"> </w:t>
      </w:r>
      <w:r w:rsidR="006E1A2A">
        <w:rPr>
          <w:szCs w:val="24"/>
        </w:rPr>
        <w:t xml:space="preserve"> </w:t>
      </w:r>
    </w:p>
    <w:p w14:paraId="72E6F53D" w14:textId="1114DC5B" w:rsidR="002E5880" w:rsidRPr="00A81F24" w:rsidRDefault="008D5CF2" w:rsidP="00C662F9">
      <w:pPr>
        <w:pStyle w:val="ParaLevel1"/>
        <w:numPr>
          <w:ilvl w:val="0"/>
          <w:numId w:val="11"/>
        </w:numPr>
        <w:ind w:left="454" w:hanging="454"/>
        <w:rPr>
          <w:szCs w:val="24"/>
        </w:rPr>
      </w:pPr>
      <w:r w:rsidRPr="00CD037E">
        <w:rPr>
          <w:szCs w:val="24"/>
        </w:rPr>
        <w:t>When the dispute about the stance taken to the Securities by the Republic</w:t>
      </w:r>
      <w:r w:rsidR="00CE5904" w:rsidRPr="00CE5904">
        <w:rPr>
          <w:szCs w:val="24"/>
        </w:rPr>
        <w:t xml:space="preserve"> </w:t>
      </w:r>
      <w:r w:rsidR="00CE5904" w:rsidRPr="00CD037E">
        <w:rPr>
          <w:szCs w:val="24"/>
        </w:rPr>
        <w:t>arose in 2014</w:t>
      </w:r>
      <w:r w:rsidR="005965DF" w:rsidRPr="00CD037E">
        <w:rPr>
          <w:szCs w:val="24"/>
        </w:rPr>
        <w:t>, Dr N</w:t>
      </w:r>
      <w:r w:rsidR="008E40D3">
        <w:rPr>
          <w:szCs w:val="24"/>
        </w:rPr>
        <w:t>ie</w:t>
      </w:r>
      <w:r w:rsidR="005965DF" w:rsidRPr="00CD037E">
        <w:rPr>
          <w:szCs w:val="24"/>
        </w:rPr>
        <w:t>lsen said in a series of tweets that he thought the Securities should pay</w:t>
      </w:r>
      <w:r w:rsidR="00227A8B" w:rsidRPr="00CD037E">
        <w:rPr>
          <w:szCs w:val="24"/>
        </w:rPr>
        <w:t xml:space="preserve"> </w:t>
      </w:r>
      <w:r w:rsidR="00CE5904" w:rsidRPr="00CD037E">
        <w:rPr>
          <w:szCs w:val="24"/>
        </w:rPr>
        <w:t>because</w:t>
      </w:r>
      <w:r w:rsidR="00227A8B" w:rsidRPr="00CD037E">
        <w:rPr>
          <w:szCs w:val="24"/>
        </w:rPr>
        <w:t xml:space="preserve"> the </w:t>
      </w:r>
      <w:r w:rsidR="00F030E3" w:rsidRPr="00CD037E">
        <w:rPr>
          <w:szCs w:val="24"/>
        </w:rPr>
        <w:t>adjusted B</w:t>
      </w:r>
      <w:r w:rsidR="00227A8B" w:rsidRPr="00CD037E">
        <w:rPr>
          <w:szCs w:val="24"/>
        </w:rPr>
        <w:t xml:space="preserve">ase Case GDP </w:t>
      </w:r>
      <w:r w:rsidR="00843548">
        <w:rPr>
          <w:szCs w:val="24"/>
        </w:rPr>
        <w:t xml:space="preserve">growth </w:t>
      </w:r>
      <w:r w:rsidR="00497F20">
        <w:rPr>
          <w:szCs w:val="24"/>
        </w:rPr>
        <w:t xml:space="preserve">for 2013 </w:t>
      </w:r>
      <w:r w:rsidR="00227A8B" w:rsidRPr="00CD037E">
        <w:rPr>
          <w:szCs w:val="24"/>
        </w:rPr>
        <w:t xml:space="preserve">was </w:t>
      </w:r>
      <w:r w:rsidR="00AB0A12" w:rsidRPr="00CD037E">
        <w:rPr>
          <w:szCs w:val="24"/>
        </w:rPr>
        <w:t>a</w:t>
      </w:r>
      <w:r w:rsidR="00F030E3" w:rsidRPr="00CD037E">
        <w:rPr>
          <w:szCs w:val="24"/>
        </w:rPr>
        <w:t>bout 1.38%</w:t>
      </w:r>
      <w:r w:rsidR="00843548">
        <w:rPr>
          <w:szCs w:val="24"/>
        </w:rPr>
        <w:t xml:space="preserve">, rather than the 3.22% </w:t>
      </w:r>
      <w:r w:rsidR="00314378">
        <w:rPr>
          <w:szCs w:val="24"/>
        </w:rPr>
        <w:t xml:space="preserve">implicit </w:t>
      </w:r>
      <w:r w:rsidR="00314378">
        <w:rPr>
          <w:szCs w:val="24"/>
        </w:rPr>
        <w:lastRenderedPageBreak/>
        <w:t>in the unadjusted table</w:t>
      </w:r>
      <w:r w:rsidR="00F030E3" w:rsidRPr="00CD037E">
        <w:rPr>
          <w:szCs w:val="24"/>
        </w:rPr>
        <w:t xml:space="preserve">.  He repeated this in an article in La </w:t>
      </w:r>
      <w:r w:rsidR="00E537BE" w:rsidRPr="00E537BE">
        <w:rPr>
          <w:szCs w:val="24"/>
        </w:rPr>
        <w:t>Nación</w:t>
      </w:r>
      <w:r w:rsidR="00F030E3" w:rsidRPr="00CD037E">
        <w:rPr>
          <w:szCs w:val="24"/>
        </w:rPr>
        <w:t xml:space="preserve">. This was explicitly on the basis that the Adjustment Provision operated in the way </w:t>
      </w:r>
      <w:r w:rsidR="000F5D1F">
        <w:rPr>
          <w:szCs w:val="24"/>
        </w:rPr>
        <w:t xml:space="preserve">for which </w:t>
      </w:r>
      <w:r w:rsidR="00F030E3" w:rsidRPr="00CD037E">
        <w:rPr>
          <w:szCs w:val="24"/>
        </w:rPr>
        <w:t xml:space="preserve">the Claimants contend, as he agreed in cross-examination at the trial.  </w:t>
      </w:r>
      <w:r w:rsidR="00D72963" w:rsidRPr="00CD037E">
        <w:rPr>
          <w:szCs w:val="24"/>
        </w:rPr>
        <w:t xml:space="preserve">The Republic pointed out that he was by this stage </w:t>
      </w:r>
      <w:r w:rsidR="004E05F7">
        <w:rPr>
          <w:szCs w:val="24"/>
        </w:rPr>
        <w:t>no longer a member of the government</w:t>
      </w:r>
      <w:r w:rsidR="00D72963" w:rsidRPr="00CD037E">
        <w:rPr>
          <w:szCs w:val="24"/>
        </w:rPr>
        <w:t>, but that is no reason to doubt that th</w:t>
      </w:r>
      <w:r w:rsidR="003105ED" w:rsidRPr="00CD037E">
        <w:rPr>
          <w:szCs w:val="24"/>
        </w:rPr>
        <w:t>i</w:t>
      </w:r>
      <w:r w:rsidR="001D578F" w:rsidRPr="00CD037E">
        <w:rPr>
          <w:szCs w:val="24"/>
        </w:rPr>
        <w:t>s</w:t>
      </w:r>
      <w:r w:rsidR="003105ED" w:rsidRPr="00CD037E">
        <w:rPr>
          <w:szCs w:val="24"/>
        </w:rPr>
        <w:t xml:space="preserve"> represented his genuine view as to how the provision operated</w:t>
      </w:r>
      <w:r w:rsidR="009914A6">
        <w:rPr>
          <w:szCs w:val="24"/>
        </w:rPr>
        <w:t xml:space="preserve">, and there was no suggestion </w:t>
      </w:r>
      <w:r w:rsidR="00497F20">
        <w:rPr>
          <w:szCs w:val="24"/>
        </w:rPr>
        <w:t xml:space="preserve">to the contrary </w:t>
      </w:r>
      <w:r w:rsidR="009914A6">
        <w:rPr>
          <w:szCs w:val="24"/>
        </w:rPr>
        <w:t>in his evidence at tr</w:t>
      </w:r>
      <w:r w:rsidR="00497F20">
        <w:rPr>
          <w:szCs w:val="24"/>
        </w:rPr>
        <w:t xml:space="preserve">ial.  </w:t>
      </w:r>
      <w:r w:rsidR="004E1A07">
        <w:rPr>
          <w:szCs w:val="24"/>
        </w:rPr>
        <w:t>M</w:t>
      </w:r>
      <w:r w:rsidR="001D578F" w:rsidRPr="00CD037E">
        <w:rPr>
          <w:szCs w:val="24"/>
        </w:rPr>
        <w:t xml:space="preserve">r Railton accepted that this was a relevant </w:t>
      </w:r>
      <w:r w:rsidR="0057034C" w:rsidRPr="00CD037E">
        <w:rPr>
          <w:szCs w:val="24"/>
        </w:rPr>
        <w:t>piece of evidence in relation to his argument that the Claimant</w:t>
      </w:r>
      <w:r w:rsidR="007F0320">
        <w:rPr>
          <w:szCs w:val="24"/>
        </w:rPr>
        <w:t>s’</w:t>
      </w:r>
      <w:r w:rsidR="0057034C" w:rsidRPr="00CD037E">
        <w:rPr>
          <w:szCs w:val="24"/>
        </w:rPr>
        <w:t xml:space="preserve"> construction is not one which anyone would sensibly have wanted to adopt</w:t>
      </w:r>
      <w:r w:rsidR="006434B8" w:rsidRPr="00CD037E">
        <w:rPr>
          <w:szCs w:val="24"/>
        </w:rPr>
        <w:t xml:space="preserve">.  </w:t>
      </w:r>
      <w:r w:rsidR="005F7D67" w:rsidRPr="00CD037E">
        <w:rPr>
          <w:szCs w:val="24"/>
        </w:rPr>
        <w:t>T</w:t>
      </w:r>
      <w:r w:rsidR="007D49D3" w:rsidRPr="00CD037E">
        <w:rPr>
          <w:szCs w:val="24"/>
        </w:rPr>
        <w:t>o</w:t>
      </w:r>
      <w:r w:rsidR="005F7D67" w:rsidRPr="00CD037E">
        <w:rPr>
          <w:szCs w:val="24"/>
        </w:rPr>
        <w:t xml:space="preserve"> my mind it is a powerful piece of evidence undermining</w:t>
      </w:r>
      <w:r w:rsidR="00DF5BC3" w:rsidRPr="00CD037E">
        <w:rPr>
          <w:szCs w:val="24"/>
        </w:rPr>
        <w:t xml:space="preserve"> this aspect of his argument</w:t>
      </w:r>
      <w:r w:rsidR="008055BC">
        <w:rPr>
          <w:szCs w:val="24"/>
        </w:rPr>
        <w:t>,</w:t>
      </w:r>
      <w:r w:rsidR="00DF5BC3" w:rsidRPr="00CD037E">
        <w:rPr>
          <w:szCs w:val="24"/>
        </w:rPr>
        <w:t xml:space="preserve"> </w:t>
      </w:r>
      <w:r w:rsidR="00E535AB">
        <w:rPr>
          <w:szCs w:val="24"/>
        </w:rPr>
        <w:t xml:space="preserve">addressed to </w:t>
      </w:r>
      <w:r w:rsidR="00DF5BC3" w:rsidRPr="00CD037E">
        <w:rPr>
          <w:szCs w:val="24"/>
        </w:rPr>
        <w:t xml:space="preserve">the commercial and economic consequences of the construction advocated by the Claimants.  </w:t>
      </w:r>
      <w:r w:rsidR="006434B8" w:rsidRPr="00CD037E">
        <w:rPr>
          <w:szCs w:val="24"/>
        </w:rPr>
        <w:t xml:space="preserve">It </w:t>
      </w:r>
      <w:r w:rsidR="00297B10" w:rsidRPr="00CD037E">
        <w:rPr>
          <w:szCs w:val="24"/>
        </w:rPr>
        <w:t xml:space="preserve">is difficult to describe </w:t>
      </w:r>
      <w:r w:rsidR="006D0B5D" w:rsidRPr="00CD037E">
        <w:rPr>
          <w:szCs w:val="24"/>
        </w:rPr>
        <w:t xml:space="preserve">the </w:t>
      </w:r>
      <w:r w:rsidR="00297B10" w:rsidRPr="00CD037E">
        <w:rPr>
          <w:szCs w:val="24"/>
        </w:rPr>
        <w:t xml:space="preserve">construction as </w:t>
      </w:r>
      <w:r w:rsidR="00303C73" w:rsidRPr="00CD037E">
        <w:rPr>
          <w:szCs w:val="24"/>
        </w:rPr>
        <w:t xml:space="preserve">uncommercial, still less irrational or absurd, when it is </w:t>
      </w:r>
      <w:r w:rsidR="006434B8" w:rsidRPr="00CD037E">
        <w:rPr>
          <w:szCs w:val="24"/>
        </w:rPr>
        <w:t xml:space="preserve">the interpretation </w:t>
      </w:r>
      <w:r w:rsidR="0068454D" w:rsidRPr="00CD037E">
        <w:rPr>
          <w:szCs w:val="24"/>
        </w:rPr>
        <w:t xml:space="preserve">by </w:t>
      </w:r>
      <w:r w:rsidR="00527F7B" w:rsidRPr="00CD037E">
        <w:rPr>
          <w:szCs w:val="24"/>
        </w:rPr>
        <w:t>Dr Nielsen</w:t>
      </w:r>
      <w:r w:rsidR="00CC0FCC">
        <w:rPr>
          <w:szCs w:val="24"/>
        </w:rPr>
        <w:t xml:space="preserve">, </w:t>
      </w:r>
      <w:r w:rsidR="001738F6" w:rsidRPr="00CD037E">
        <w:rPr>
          <w:szCs w:val="24"/>
        </w:rPr>
        <w:t xml:space="preserve">someone </w:t>
      </w:r>
      <w:r w:rsidR="005D1863" w:rsidRPr="00CD037E">
        <w:rPr>
          <w:szCs w:val="24"/>
        </w:rPr>
        <w:t xml:space="preserve">with </w:t>
      </w:r>
      <w:r w:rsidR="00E04948" w:rsidRPr="00CD037E">
        <w:rPr>
          <w:szCs w:val="24"/>
        </w:rPr>
        <w:t xml:space="preserve">unquestioned </w:t>
      </w:r>
      <w:r w:rsidR="00CC0FCC">
        <w:rPr>
          <w:szCs w:val="24"/>
        </w:rPr>
        <w:t xml:space="preserve">relevant </w:t>
      </w:r>
      <w:r w:rsidR="00035365" w:rsidRPr="00CD037E">
        <w:rPr>
          <w:szCs w:val="24"/>
        </w:rPr>
        <w:t xml:space="preserve">economic </w:t>
      </w:r>
      <w:r w:rsidR="005D1863" w:rsidRPr="00CD037E">
        <w:rPr>
          <w:szCs w:val="24"/>
        </w:rPr>
        <w:t>expertise</w:t>
      </w:r>
      <w:r w:rsidR="00527F7B" w:rsidRPr="00CD037E">
        <w:rPr>
          <w:szCs w:val="24"/>
        </w:rPr>
        <w:t>,</w:t>
      </w:r>
      <w:r w:rsidR="005D1863" w:rsidRPr="00CD037E">
        <w:rPr>
          <w:szCs w:val="24"/>
        </w:rPr>
        <w:t xml:space="preserve"> and </w:t>
      </w:r>
      <w:r w:rsidR="00C56AB1">
        <w:rPr>
          <w:szCs w:val="24"/>
        </w:rPr>
        <w:t>a full, indeed p</w:t>
      </w:r>
      <w:r w:rsidR="002F0355">
        <w:rPr>
          <w:szCs w:val="24"/>
        </w:rPr>
        <w:t xml:space="preserve">erhaps </w:t>
      </w:r>
      <w:r w:rsidR="00C56AB1">
        <w:rPr>
          <w:szCs w:val="24"/>
        </w:rPr>
        <w:t xml:space="preserve">unrivalled, </w:t>
      </w:r>
      <w:r w:rsidR="00936E15" w:rsidRPr="00CD037E">
        <w:rPr>
          <w:szCs w:val="24"/>
        </w:rPr>
        <w:t xml:space="preserve">understanding of the </w:t>
      </w:r>
      <w:r w:rsidR="00B61937" w:rsidRPr="00CD037E">
        <w:rPr>
          <w:szCs w:val="24"/>
        </w:rPr>
        <w:t>background</w:t>
      </w:r>
      <w:r w:rsidR="00724616">
        <w:rPr>
          <w:szCs w:val="24"/>
        </w:rPr>
        <w:t xml:space="preserve"> to the instrument </w:t>
      </w:r>
      <w:r w:rsidR="00A81F24">
        <w:rPr>
          <w:szCs w:val="24"/>
        </w:rPr>
        <w:t xml:space="preserve">and its </w:t>
      </w:r>
      <w:r w:rsidR="00B61937" w:rsidRPr="00CD037E">
        <w:rPr>
          <w:szCs w:val="24"/>
        </w:rPr>
        <w:t>genesis</w:t>
      </w:r>
      <w:r w:rsidR="00A81F24">
        <w:rPr>
          <w:szCs w:val="24"/>
        </w:rPr>
        <w:t xml:space="preserve"> </w:t>
      </w:r>
      <w:r w:rsidR="00C56AB1">
        <w:rPr>
          <w:szCs w:val="24"/>
        </w:rPr>
        <w:t>and purpose</w:t>
      </w:r>
      <w:r w:rsidR="00A81F24">
        <w:rPr>
          <w:szCs w:val="24"/>
        </w:rPr>
        <w:t>.</w:t>
      </w:r>
      <w:r w:rsidR="00C56AB1">
        <w:rPr>
          <w:szCs w:val="24"/>
        </w:rPr>
        <w:t xml:space="preserve">  </w:t>
      </w:r>
    </w:p>
    <w:p w14:paraId="2F8ECA9D" w14:textId="0A3C50A4" w:rsidR="00B772AB" w:rsidRPr="00486945" w:rsidRDefault="003D4F77" w:rsidP="00C7371D">
      <w:pPr>
        <w:pStyle w:val="ParaLevel1"/>
        <w:numPr>
          <w:ilvl w:val="0"/>
          <w:numId w:val="0"/>
        </w:numPr>
        <w:rPr>
          <w:b/>
          <w:bCs/>
          <w:szCs w:val="24"/>
        </w:rPr>
      </w:pPr>
      <w:r>
        <w:rPr>
          <w:b/>
          <w:bCs/>
          <w:szCs w:val="24"/>
        </w:rPr>
        <w:t xml:space="preserve">Continued availability of data in 1993 YOBP </w:t>
      </w:r>
    </w:p>
    <w:p w14:paraId="151982E0" w14:textId="1F78ED03" w:rsidR="00102552" w:rsidRDefault="007B78DE" w:rsidP="00C662F9">
      <w:pPr>
        <w:pStyle w:val="ParaLevel1"/>
        <w:numPr>
          <w:ilvl w:val="0"/>
          <w:numId w:val="11"/>
        </w:numPr>
        <w:ind w:left="454" w:hanging="454"/>
        <w:rPr>
          <w:szCs w:val="24"/>
        </w:rPr>
      </w:pPr>
      <w:r>
        <w:rPr>
          <w:szCs w:val="24"/>
        </w:rPr>
        <w:t xml:space="preserve">I find it convenient </w:t>
      </w:r>
      <w:r w:rsidR="00156046">
        <w:rPr>
          <w:szCs w:val="24"/>
        </w:rPr>
        <w:t xml:space="preserve">here to address </w:t>
      </w:r>
      <w:r w:rsidR="00E76D6E">
        <w:rPr>
          <w:szCs w:val="24"/>
        </w:rPr>
        <w:t xml:space="preserve">the question of </w:t>
      </w:r>
      <w:r w:rsidR="008C19C5">
        <w:rPr>
          <w:szCs w:val="24"/>
        </w:rPr>
        <w:t xml:space="preserve">the </w:t>
      </w:r>
      <w:r w:rsidR="00156046">
        <w:rPr>
          <w:szCs w:val="24"/>
        </w:rPr>
        <w:t>availab</w:t>
      </w:r>
      <w:r w:rsidR="008C19C5">
        <w:rPr>
          <w:szCs w:val="24"/>
        </w:rPr>
        <w:t>il</w:t>
      </w:r>
      <w:r w:rsidR="00156046">
        <w:rPr>
          <w:szCs w:val="24"/>
        </w:rPr>
        <w:t xml:space="preserve">ity </w:t>
      </w:r>
      <w:r w:rsidR="008C19C5">
        <w:rPr>
          <w:szCs w:val="24"/>
        </w:rPr>
        <w:t xml:space="preserve">of </w:t>
      </w:r>
      <w:r w:rsidR="009365B1">
        <w:rPr>
          <w:szCs w:val="24"/>
        </w:rPr>
        <w:t>GDP in 1993 YOBP for the duration of the Securities</w:t>
      </w:r>
      <w:r w:rsidR="008055BC">
        <w:rPr>
          <w:szCs w:val="24"/>
        </w:rPr>
        <w:t>,</w:t>
      </w:r>
      <w:r w:rsidR="00354EF1">
        <w:rPr>
          <w:szCs w:val="24"/>
        </w:rPr>
        <w:t xml:space="preserve"> because it </w:t>
      </w:r>
      <w:r w:rsidR="008055BC">
        <w:rPr>
          <w:szCs w:val="24"/>
        </w:rPr>
        <w:t xml:space="preserve">formed part of </w:t>
      </w:r>
      <w:r w:rsidR="00E76D6E">
        <w:rPr>
          <w:szCs w:val="24"/>
        </w:rPr>
        <w:t>Mr Railton’s argument</w:t>
      </w:r>
      <w:r w:rsidR="002E7680">
        <w:rPr>
          <w:szCs w:val="24"/>
        </w:rPr>
        <w:t xml:space="preserve">s of construction at various stages.  He submitted </w:t>
      </w:r>
      <w:r w:rsidR="00072874">
        <w:rPr>
          <w:szCs w:val="24"/>
        </w:rPr>
        <w:t xml:space="preserve">that the parties cannot have expected </w:t>
      </w:r>
      <w:r w:rsidR="00271A79">
        <w:rPr>
          <w:szCs w:val="24"/>
        </w:rPr>
        <w:t xml:space="preserve">that </w:t>
      </w:r>
      <w:r w:rsidR="00072874">
        <w:rPr>
          <w:szCs w:val="24"/>
        </w:rPr>
        <w:t xml:space="preserve">the Republic </w:t>
      </w:r>
      <w:r w:rsidR="007672BF">
        <w:rPr>
          <w:szCs w:val="24"/>
        </w:rPr>
        <w:t xml:space="preserve">would </w:t>
      </w:r>
      <w:r w:rsidR="00072874">
        <w:rPr>
          <w:szCs w:val="24"/>
        </w:rPr>
        <w:t>keep publishing obsolete figures, which was unheard of anywhere in the worl</w:t>
      </w:r>
      <w:r w:rsidR="005E555F">
        <w:rPr>
          <w:szCs w:val="24"/>
        </w:rPr>
        <w:t>d</w:t>
      </w:r>
      <w:r w:rsidR="007672BF">
        <w:rPr>
          <w:szCs w:val="24"/>
        </w:rPr>
        <w:t xml:space="preserve">, and that the Adjustment </w:t>
      </w:r>
      <w:r w:rsidR="00B25770">
        <w:rPr>
          <w:szCs w:val="24"/>
        </w:rPr>
        <w:t>Provision has to be workable without such data.</w:t>
      </w:r>
      <w:r w:rsidR="00F96112">
        <w:rPr>
          <w:szCs w:val="24"/>
        </w:rPr>
        <w:t xml:space="preserve">  Accordingly </w:t>
      </w:r>
      <w:r w:rsidR="001E7CDA">
        <w:rPr>
          <w:szCs w:val="24"/>
        </w:rPr>
        <w:t xml:space="preserve">they could not have intended to tie the operation of the Securities to GDP </w:t>
      </w:r>
      <w:r w:rsidR="00B21D65">
        <w:rPr>
          <w:szCs w:val="24"/>
        </w:rPr>
        <w:t>in 199</w:t>
      </w:r>
      <w:r w:rsidR="00A75070">
        <w:rPr>
          <w:szCs w:val="24"/>
        </w:rPr>
        <w:t>3</w:t>
      </w:r>
      <w:r w:rsidR="00423789">
        <w:rPr>
          <w:szCs w:val="24"/>
        </w:rPr>
        <w:t xml:space="preserve">.  He also submitted that </w:t>
      </w:r>
      <w:r w:rsidR="00A75070">
        <w:rPr>
          <w:szCs w:val="24"/>
        </w:rPr>
        <w:t xml:space="preserve">the Adjustment Provision must be referring to the Overlap </w:t>
      </w:r>
      <w:r w:rsidR="00B765C3">
        <w:rPr>
          <w:szCs w:val="24"/>
        </w:rPr>
        <w:t>Y</w:t>
      </w:r>
      <w:r w:rsidR="00A75070">
        <w:rPr>
          <w:szCs w:val="24"/>
        </w:rPr>
        <w:t>ear because that was the last year in which the data would be available to apply the fraction, using as it does a denominator expressed by reference to 1993 consta</w:t>
      </w:r>
      <w:r w:rsidR="006A0BBD">
        <w:rPr>
          <w:szCs w:val="24"/>
        </w:rPr>
        <w:t>n</w:t>
      </w:r>
      <w:r w:rsidR="00A75070">
        <w:rPr>
          <w:szCs w:val="24"/>
        </w:rPr>
        <w:t xml:space="preserve">t prices.  </w:t>
      </w:r>
    </w:p>
    <w:p w14:paraId="7651E342" w14:textId="797F5C9C" w:rsidR="00AD356D" w:rsidRPr="00531693" w:rsidRDefault="000E0475" w:rsidP="00C662F9">
      <w:pPr>
        <w:pStyle w:val="ParaLevel1"/>
        <w:numPr>
          <w:ilvl w:val="0"/>
          <w:numId w:val="11"/>
        </w:numPr>
        <w:ind w:left="454" w:hanging="454"/>
        <w:rPr>
          <w:szCs w:val="24"/>
        </w:rPr>
      </w:pPr>
      <w:r w:rsidRPr="00531693">
        <w:rPr>
          <w:szCs w:val="24"/>
        </w:rPr>
        <w:t xml:space="preserve">I </w:t>
      </w:r>
      <w:r w:rsidR="00D970CA" w:rsidRPr="00531693">
        <w:rPr>
          <w:szCs w:val="24"/>
        </w:rPr>
        <w:t xml:space="preserve">am not persuaded by these arguments.  </w:t>
      </w:r>
      <w:r w:rsidR="008974DC" w:rsidRPr="00531693">
        <w:rPr>
          <w:szCs w:val="24"/>
        </w:rPr>
        <w:t>It was common ground at the trial, and Mr Railton accepted before us, that there must be an implied term in the Securities that</w:t>
      </w:r>
      <w:r w:rsidR="00801104" w:rsidRPr="00531693">
        <w:rPr>
          <w:szCs w:val="24"/>
        </w:rPr>
        <w:t xml:space="preserve"> the Republic is required</w:t>
      </w:r>
      <w:r w:rsidR="00ED2B71" w:rsidRPr="00531693">
        <w:rPr>
          <w:szCs w:val="24"/>
        </w:rPr>
        <w:t xml:space="preserve"> to publish such data as is necessary for the Securities to be operable in accordance with their express terms.  So much is obvious.  The Securities contain no </w:t>
      </w:r>
      <w:r w:rsidR="00161018" w:rsidRPr="00531693">
        <w:rPr>
          <w:szCs w:val="24"/>
        </w:rPr>
        <w:t xml:space="preserve">express term requiring publication of anything.  But clearly </w:t>
      </w:r>
      <w:r w:rsidR="0002354E" w:rsidRPr="00531693">
        <w:rPr>
          <w:szCs w:val="24"/>
        </w:rPr>
        <w:t xml:space="preserve">the Republic must </w:t>
      </w:r>
      <w:r w:rsidR="002F0684" w:rsidRPr="00531693">
        <w:rPr>
          <w:szCs w:val="24"/>
        </w:rPr>
        <w:t>publish GDP data in a constant price base year</w:t>
      </w:r>
      <w:r w:rsidR="00CA5652" w:rsidRPr="00531693">
        <w:rPr>
          <w:szCs w:val="24"/>
        </w:rPr>
        <w:t xml:space="preserve">.  Were it to change to </w:t>
      </w:r>
      <w:r w:rsidR="00FC509E" w:rsidRPr="00531693">
        <w:rPr>
          <w:szCs w:val="24"/>
        </w:rPr>
        <w:t xml:space="preserve">a different method of measurement such as chain linking, which is what the UK and US </w:t>
      </w:r>
      <w:r w:rsidR="009107E5" w:rsidRPr="00531693">
        <w:rPr>
          <w:szCs w:val="24"/>
        </w:rPr>
        <w:t>use for GDP measurement, it would need to publish data in the form necessary to operate the Secur</w:t>
      </w:r>
      <w:r w:rsidR="005F777A" w:rsidRPr="00531693">
        <w:rPr>
          <w:szCs w:val="24"/>
        </w:rPr>
        <w:t>i</w:t>
      </w:r>
      <w:r w:rsidR="006A4EB3" w:rsidRPr="00531693">
        <w:rPr>
          <w:szCs w:val="24"/>
        </w:rPr>
        <w:t xml:space="preserve">ties.  </w:t>
      </w:r>
      <w:r w:rsidR="00AC0AF5" w:rsidRPr="00531693">
        <w:rPr>
          <w:szCs w:val="24"/>
        </w:rPr>
        <w:t>The question is what data would the</w:t>
      </w:r>
      <w:r w:rsidR="0080637F" w:rsidRPr="00531693">
        <w:rPr>
          <w:szCs w:val="24"/>
        </w:rPr>
        <w:t xml:space="preserve"> provision on its true con</w:t>
      </w:r>
      <w:r w:rsidR="008C12C1" w:rsidRPr="00531693">
        <w:rPr>
          <w:szCs w:val="24"/>
        </w:rPr>
        <w:t>s</w:t>
      </w:r>
      <w:r w:rsidR="0080637F" w:rsidRPr="00531693">
        <w:rPr>
          <w:szCs w:val="24"/>
        </w:rPr>
        <w:t>truction require?  That gives content to the implied term, which is that such data will be published</w:t>
      </w:r>
      <w:r w:rsidR="008C12C1" w:rsidRPr="00531693">
        <w:rPr>
          <w:szCs w:val="24"/>
        </w:rPr>
        <w:t xml:space="preserve">.  The issue of construction </w:t>
      </w:r>
      <w:r w:rsidR="00FE4CF4" w:rsidRPr="00531693">
        <w:rPr>
          <w:szCs w:val="24"/>
        </w:rPr>
        <w:t>is not driven by what will be available</w:t>
      </w:r>
      <w:r w:rsidR="00B70AB9">
        <w:rPr>
          <w:szCs w:val="24"/>
        </w:rPr>
        <w:t>,</w:t>
      </w:r>
      <w:r w:rsidR="00FE4CF4" w:rsidRPr="00531693">
        <w:rPr>
          <w:szCs w:val="24"/>
        </w:rPr>
        <w:t xml:space="preserve"> because it is </w:t>
      </w:r>
      <w:r w:rsidR="00DE69C5" w:rsidRPr="00531693">
        <w:rPr>
          <w:szCs w:val="24"/>
        </w:rPr>
        <w:t xml:space="preserve">implicitly </w:t>
      </w:r>
      <w:r w:rsidR="00FE4CF4" w:rsidRPr="00531693">
        <w:rPr>
          <w:szCs w:val="24"/>
        </w:rPr>
        <w:t xml:space="preserve">agreed that whatever is necessary will be available.  Put another way, </w:t>
      </w:r>
      <w:r w:rsidR="004914F6" w:rsidRPr="00531693">
        <w:rPr>
          <w:szCs w:val="24"/>
        </w:rPr>
        <w:t xml:space="preserve">the </w:t>
      </w:r>
      <w:r w:rsidR="005E02E8" w:rsidRPr="00531693">
        <w:rPr>
          <w:szCs w:val="24"/>
        </w:rPr>
        <w:t xml:space="preserve">implied term which it is agreed exists </w:t>
      </w:r>
      <w:r w:rsidR="00C55ADF" w:rsidRPr="00531693">
        <w:rPr>
          <w:szCs w:val="24"/>
        </w:rPr>
        <w:t xml:space="preserve">means the </w:t>
      </w:r>
      <w:r w:rsidR="004914F6" w:rsidRPr="00531693">
        <w:rPr>
          <w:szCs w:val="24"/>
        </w:rPr>
        <w:t xml:space="preserve">parties </w:t>
      </w:r>
      <w:r w:rsidR="00F04CDD" w:rsidRPr="00531693">
        <w:rPr>
          <w:i/>
          <w:iCs/>
          <w:szCs w:val="24"/>
        </w:rPr>
        <w:t xml:space="preserve">would </w:t>
      </w:r>
      <w:r w:rsidR="00F04CDD" w:rsidRPr="00531693">
        <w:rPr>
          <w:szCs w:val="24"/>
        </w:rPr>
        <w:t xml:space="preserve">therefore expect the continued publication of GDP in 1993 constant prices if upon a true construction what they have agreed in the Adjustment Provision requires the use of such data.  </w:t>
      </w:r>
      <w:r w:rsidR="001C33A5" w:rsidRPr="00531693">
        <w:rPr>
          <w:szCs w:val="24"/>
        </w:rPr>
        <w:t xml:space="preserve">  </w:t>
      </w:r>
    </w:p>
    <w:p w14:paraId="7A2ADB6E" w14:textId="67EA1E7C" w:rsidR="00801104" w:rsidRPr="00A10CAF" w:rsidRDefault="00AD356D" w:rsidP="00C662F9">
      <w:pPr>
        <w:pStyle w:val="ParaLevel1"/>
        <w:numPr>
          <w:ilvl w:val="0"/>
          <w:numId w:val="11"/>
        </w:numPr>
        <w:ind w:left="454" w:hanging="454"/>
        <w:rPr>
          <w:szCs w:val="24"/>
        </w:rPr>
      </w:pPr>
      <w:r w:rsidRPr="00A10CAF">
        <w:rPr>
          <w:szCs w:val="24"/>
        </w:rPr>
        <w:t xml:space="preserve">It </w:t>
      </w:r>
      <w:r w:rsidR="0058796A" w:rsidRPr="00A10CAF">
        <w:rPr>
          <w:szCs w:val="24"/>
        </w:rPr>
        <w:t>might be otherwise i</w:t>
      </w:r>
      <w:r w:rsidR="00D20026" w:rsidRPr="00A10CAF">
        <w:rPr>
          <w:szCs w:val="24"/>
        </w:rPr>
        <w:t>f</w:t>
      </w:r>
      <w:r w:rsidR="0058796A" w:rsidRPr="00A10CAF">
        <w:rPr>
          <w:szCs w:val="24"/>
        </w:rPr>
        <w:t xml:space="preserve"> </w:t>
      </w:r>
      <w:r w:rsidR="00D20026" w:rsidRPr="00A10CAF">
        <w:rPr>
          <w:szCs w:val="24"/>
        </w:rPr>
        <w:t xml:space="preserve">the publication of such data was so disproportionately difficult or expensive that it could not </w:t>
      </w:r>
      <w:r w:rsidR="00B70AB9">
        <w:rPr>
          <w:szCs w:val="24"/>
        </w:rPr>
        <w:t xml:space="preserve">reasonably </w:t>
      </w:r>
      <w:r w:rsidR="00D20026" w:rsidRPr="00A10CAF">
        <w:rPr>
          <w:szCs w:val="24"/>
        </w:rPr>
        <w:t>be contemplated.  But that is not this case</w:t>
      </w:r>
      <w:r w:rsidR="000979D1">
        <w:rPr>
          <w:szCs w:val="24"/>
        </w:rPr>
        <w:t xml:space="preserve">: </w:t>
      </w:r>
      <w:r w:rsidRPr="00A10CAF">
        <w:rPr>
          <w:szCs w:val="24"/>
        </w:rPr>
        <w:t xml:space="preserve">publishing such data would </w:t>
      </w:r>
      <w:r w:rsidR="000979D1">
        <w:rPr>
          <w:szCs w:val="24"/>
        </w:rPr>
        <w:t xml:space="preserve">not </w:t>
      </w:r>
      <w:r w:rsidRPr="00A10CAF">
        <w:rPr>
          <w:szCs w:val="24"/>
        </w:rPr>
        <w:t>be unduly difficult or expensive.</w:t>
      </w:r>
      <w:r w:rsidR="00B70AB9">
        <w:rPr>
          <w:szCs w:val="24"/>
        </w:rPr>
        <w:t xml:space="preserve">  </w:t>
      </w:r>
      <w:r w:rsidRPr="00A10CAF">
        <w:rPr>
          <w:szCs w:val="24"/>
        </w:rPr>
        <w:t xml:space="preserve">The extraneous material to which I have referred </w:t>
      </w:r>
      <w:r w:rsidR="007B7D39" w:rsidRPr="00A10CAF">
        <w:rPr>
          <w:szCs w:val="24"/>
        </w:rPr>
        <w:t>shows that</w:t>
      </w:r>
      <w:r w:rsidR="00B8150F" w:rsidRPr="00A10CAF">
        <w:rPr>
          <w:szCs w:val="24"/>
        </w:rPr>
        <w:t xml:space="preserve"> </w:t>
      </w:r>
      <w:r w:rsidR="007B7D39" w:rsidRPr="00A10CAF">
        <w:rPr>
          <w:szCs w:val="24"/>
        </w:rPr>
        <w:t>respectable com</w:t>
      </w:r>
      <w:r w:rsidR="00A57F40" w:rsidRPr="00A10CAF">
        <w:rPr>
          <w:szCs w:val="24"/>
        </w:rPr>
        <w:t>m</w:t>
      </w:r>
      <w:r w:rsidR="007B7D39" w:rsidRPr="00A10CAF">
        <w:rPr>
          <w:szCs w:val="24"/>
        </w:rPr>
        <w:t xml:space="preserve">entators did contemplate that </w:t>
      </w:r>
      <w:r w:rsidR="007E494B" w:rsidRPr="00A10CAF">
        <w:rPr>
          <w:szCs w:val="24"/>
        </w:rPr>
        <w:t>GDP</w:t>
      </w:r>
      <w:r w:rsidR="00250E76">
        <w:rPr>
          <w:szCs w:val="24"/>
        </w:rPr>
        <w:t>-</w:t>
      </w:r>
      <w:r w:rsidR="009264BF" w:rsidRPr="00A10CAF">
        <w:rPr>
          <w:szCs w:val="24"/>
        </w:rPr>
        <w:t>linked securities</w:t>
      </w:r>
      <w:r w:rsidR="0058796A" w:rsidRPr="00A10CAF">
        <w:rPr>
          <w:szCs w:val="24"/>
        </w:rPr>
        <w:t xml:space="preserve"> m</w:t>
      </w:r>
      <w:r w:rsidR="009264BF" w:rsidRPr="00A10CAF">
        <w:rPr>
          <w:szCs w:val="24"/>
        </w:rPr>
        <w:t>ight require the government to publish data in old</w:t>
      </w:r>
      <w:r w:rsidR="00185983" w:rsidRPr="00A10CAF">
        <w:rPr>
          <w:szCs w:val="24"/>
        </w:rPr>
        <w:t xml:space="preserve"> constant prices after a rebasing for the duration of the instruments.  It is not</w:t>
      </w:r>
      <w:r w:rsidR="00700262">
        <w:rPr>
          <w:szCs w:val="24"/>
        </w:rPr>
        <w:t xml:space="preserve">, </w:t>
      </w:r>
      <w:r w:rsidR="00185983" w:rsidRPr="00A10CAF">
        <w:rPr>
          <w:szCs w:val="24"/>
        </w:rPr>
        <w:t>perhaps</w:t>
      </w:r>
      <w:r w:rsidR="00700262">
        <w:rPr>
          <w:szCs w:val="24"/>
        </w:rPr>
        <w:t>,</w:t>
      </w:r>
      <w:r w:rsidR="00185983" w:rsidRPr="00A10CAF">
        <w:rPr>
          <w:szCs w:val="24"/>
        </w:rPr>
        <w:t xml:space="preserve"> very surprising that none have </w:t>
      </w:r>
      <w:r w:rsidR="00700262">
        <w:rPr>
          <w:szCs w:val="24"/>
        </w:rPr>
        <w:t xml:space="preserve">in fact </w:t>
      </w:r>
      <w:r w:rsidR="00185983" w:rsidRPr="00A10CAF">
        <w:rPr>
          <w:szCs w:val="24"/>
        </w:rPr>
        <w:t>done so</w:t>
      </w:r>
      <w:r w:rsidR="00700262">
        <w:rPr>
          <w:szCs w:val="24"/>
        </w:rPr>
        <w:t>,</w:t>
      </w:r>
      <w:r w:rsidR="00185983" w:rsidRPr="00A10CAF">
        <w:rPr>
          <w:szCs w:val="24"/>
        </w:rPr>
        <w:t xml:space="preserve"> given the comparative rarity of </w:t>
      </w:r>
      <w:r w:rsidR="007E494B" w:rsidRPr="00A10CAF">
        <w:rPr>
          <w:szCs w:val="24"/>
        </w:rPr>
        <w:t>GDP</w:t>
      </w:r>
      <w:r w:rsidR="00700262">
        <w:rPr>
          <w:szCs w:val="24"/>
        </w:rPr>
        <w:t>-linked</w:t>
      </w:r>
      <w:r w:rsidR="007E494B" w:rsidRPr="00A10CAF">
        <w:rPr>
          <w:szCs w:val="24"/>
        </w:rPr>
        <w:t xml:space="preserve"> securities. </w:t>
      </w:r>
      <w:r w:rsidR="00FA18D6" w:rsidRPr="00A10CAF">
        <w:rPr>
          <w:szCs w:val="24"/>
        </w:rPr>
        <w:t xml:space="preserve">Mr Railton argued that the </w:t>
      </w:r>
      <w:r w:rsidR="004F5A6D">
        <w:rPr>
          <w:szCs w:val="24"/>
        </w:rPr>
        <w:t xml:space="preserve">literature </w:t>
      </w:r>
      <w:r w:rsidR="00FA18D6" w:rsidRPr="00A10CAF">
        <w:rPr>
          <w:szCs w:val="24"/>
        </w:rPr>
        <w:t xml:space="preserve">contemplated an express requirement to maintain such data, but </w:t>
      </w:r>
      <w:r w:rsidR="00FA18D6" w:rsidRPr="00A10CAF">
        <w:rPr>
          <w:szCs w:val="24"/>
        </w:rPr>
        <w:lastRenderedPageBreak/>
        <w:t xml:space="preserve">that does not meet the </w:t>
      </w:r>
      <w:r w:rsidR="00A57F40" w:rsidRPr="00A10CAF">
        <w:rPr>
          <w:szCs w:val="24"/>
        </w:rPr>
        <w:t xml:space="preserve">fallacy in his underlying premise which is that </w:t>
      </w:r>
      <w:r w:rsidR="00A10CAF" w:rsidRPr="00A10CAF">
        <w:rPr>
          <w:szCs w:val="24"/>
        </w:rPr>
        <w:t>t</w:t>
      </w:r>
      <w:r w:rsidR="00FA18D6" w:rsidRPr="00A10CAF">
        <w:rPr>
          <w:szCs w:val="24"/>
        </w:rPr>
        <w:t>he parties cannot have contemplated it being required</w:t>
      </w:r>
      <w:r w:rsidR="00A57F40" w:rsidRPr="00A10CAF">
        <w:rPr>
          <w:szCs w:val="24"/>
        </w:rPr>
        <w:t xml:space="preserve"> even by an implied term.  </w:t>
      </w:r>
    </w:p>
    <w:p w14:paraId="354D455E" w14:textId="5F775639" w:rsidR="009F2C27" w:rsidRDefault="00760A21" w:rsidP="00C662F9">
      <w:pPr>
        <w:pStyle w:val="ParaLevel1"/>
        <w:numPr>
          <w:ilvl w:val="0"/>
          <w:numId w:val="11"/>
        </w:numPr>
        <w:ind w:left="454" w:hanging="454"/>
        <w:rPr>
          <w:szCs w:val="24"/>
        </w:rPr>
      </w:pPr>
      <w:r>
        <w:rPr>
          <w:szCs w:val="24"/>
        </w:rPr>
        <w:t xml:space="preserve">All turns, therefore, on the exercise of construction without any </w:t>
      </w:r>
      <w:r w:rsidR="005A4901">
        <w:rPr>
          <w:szCs w:val="24"/>
        </w:rPr>
        <w:t>pre-supposition that 1993 constant price figures will be unavailable.</w:t>
      </w:r>
      <w:r w:rsidR="00035B12">
        <w:rPr>
          <w:szCs w:val="24"/>
        </w:rPr>
        <w:t xml:space="preserve">  The</w:t>
      </w:r>
      <w:r w:rsidR="00C65CBE">
        <w:rPr>
          <w:szCs w:val="24"/>
        </w:rPr>
        <w:t xml:space="preserve"> Republic’s approach is, as Ms Prevezer put it, to allow the publication tail to wag the substantive dog.</w:t>
      </w:r>
    </w:p>
    <w:p w14:paraId="5608AA39" w14:textId="778D5120" w:rsidR="003840F6" w:rsidRPr="009F2C27" w:rsidRDefault="00C52887" w:rsidP="00C7371D">
      <w:pPr>
        <w:pStyle w:val="ParaLevel1"/>
        <w:numPr>
          <w:ilvl w:val="0"/>
          <w:numId w:val="0"/>
        </w:numPr>
        <w:rPr>
          <w:szCs w:val="24"/>
        </w:rPr>
      </w:pPr>
      <w:r w:rsidRPr="009F2C27">
        <w:rPr>
          <w:b/>
          <w:bCs/>
        </w:rPr>
        <w:t xml:space="preserve">The language of the </w:t>
      </w:r>
      <w:r w:rsidR="00786191">
        <w:rPr>
          <w:b/>
          <w:bCs/>
        </w:rPr>
        <w:t>A</w:t>
      </w:r>
      <w:r w:rsidRPr="009F2C27">
        <w:rPr>
          <w:b/>
          <w:bCs/>
        </w:rPr>
        <w:t xml:space="preserve">djustment </w:t>
      </w:r>
      <w:r w:rsidR="00786191">
        <w:rPr>
          <w:b/>
          <w:bCs/>
        </w:rPr>
        <w:t>P</w:t>
      </w:r>
      <w:r w:rsidRPr="009F2C27">
        <w:rPr>
          <w:b/>
          <w:bCs/>
        </w:rPr>
        <w:t>rovision.</w:t>
      </w:r>
    </w:p>
    <w:p w14:paraId="2871AE9A" w14:textId="513B9609" w:rsidR="00EA71F4" w:rsidRDefault="00074080" w:rsidP="00C662F9">
      <w:pPr>
        <w:pStyle w:val="ParaLevel1"/>
        <w:numPr>
          <w:ilvl w:val="0"/>
          <w:numId w:val="11"/>
        </w:numPr>
        <w:ind w:left="454" w:hanging="454"/>
      </w:pPr>
      <w:r>
        <w:t xml:space="preserve">I </w:t>
      </w:r>
      <w:r w:rsidR="000921B3">
        <w:t xml:space="preserve">address first the </w:t>
      </w:r>
      <w:r w:rsidR="008E6782">
        <w:t>language of the Adjustment Provision before addressing the arguments on economic and comme</w:t>
      </w:r>
      <w:r w:rsidR="00743A9D">
        <w:t xml:space="preserve">rcial </w:t>
      </w:r>
      <w:r w:rsidR="008E6782">
        <w:t>consequences</w:t>
      </w:r>
      <w:r w:rsidR="00021A7A">
        <w:t xml:space="preserve">, </w:t>
      </w:r>
      <w:r w:rsidR="000921B3">
        <w:t>but in doing so I have taken th</w:t>
      </w:r>
      <w:r w:rsidR="00E916C4">
        <w:t xml:space="preserve">e arguments on the economic and commercial consequences into account.  </w:t>
      </w:r>
    </w:p>
    <w:p w14:paraId="24FF3A72" w14:textId="4813B81E" w:rsidR="00575748" w:rsidRDefault="008D7DED" w:rsidP="00C662F9">
      <w:pPr>
        <w:pStyle w:val="ParaLevel1"/>
        <w:numPr>
          <w:ilvl w:val="0"/>
          <w:numId w:val="11"/>
        </w:numPr>
        <w:ind w:left="454" w:hanging="454"/>
      </w:pPr>
      <w:r>
        <w:t>I agree with the Judge and Ms P</w:t>
      </w:r>
      <w:r w:rsidR="00E3300B">
        <w:t xml:space="preserve">revezer’s </w:t>
      </w:r>
      <w:r>
        <w:t xml:space="preserve">submissions that the </w:t>
      </w:r>
      <w:r w:rsidR="004E2763">
        <w:t>meaning of the words is clear and that</w:t>
      </w:r>
      <w:r w:rsidR="0028280E">
        <w:t xml:space="preserve"> they bear the </w:t>
      </w:r>
      <w:r w:rsidR="00C8534A">
        <w:t xml:space="preserve">Annual </w:t>
      </w:r>
      <w:r w:rsidR="006D6A1E">
        <w:t>A</w:t>
      </w:r>
      <w:r w:rsidR="00C8534A">
        <w:t xml:space="preserve">djustment </w:t>
      </w:r>
      <w:r w:rsidR="00BF63D6">
        <w:t xml:space="preserve">construction </w:t>
      </w:r>
      <w:r w:rsidR="00796522">
        <w:t>m</w:t>
      </w:r>
      <w:r w:rsidR="00BF63D6">
        <w:t>eaning</w:t>
      </w:r>
      <w:r w:rsidR="00E916C4">
        <w:t xml:space="preserve">.  </w:t>
      </w:r>
      <w:r w:rsidR="0028280E">
        <w:t xml:space="preserve">The language is simply </w:t>
      </w:r>
      <w:r w:rsidR="00BF63D6">
        <w:t>irreconcilable</w:t>
      </w:r>
      <w:r w:rsidR="00796522">
        <w:t xml:space="preserve"> with the Republic’s construction</w:t>
      </w:r>
      <w:r w:rsidR="00105DCD">
        <w:t>.</w:t>
      </w:r>
    </w:p>
    <w:p w14:paraId="016B254A" w14:textId="5D653CD4" w:rsidR="00752406" w:rsidRDefault="00752406" w:rsidP="00C662F9">
      <w:pPr>
        <w:pStyle w:val="ParaLevel1"/>
        <w:numPr>
          <w:ilvl w:val="0"/>
          <w:numId w:val="11"/>
        </w:numPr>
        <w:ind w:left="454" w:hanging="454"/>
      </w:pPr>
      <w:r>
        <w:t>The introductory words “at any time” descri</w:t>
      </w:r>
      <w:r w:rsidR="00CE07F7">
        <w:t xml:space="preserve">be </w:t>
      </w:r>
      <w:r>
        <w:t xml:space="preserve">a state of affairs, not an event.  </w:t>
      </w:r>
      <w:r w:rsidR="00DF45B2">
        <w:t>Mr Railton treated them as meaning “when”</w:t>
      </w:r>
      <w:r w:rsidR="0028280E">
        <w:t xml:space="preserve">, </w:t>
      </w:r>
      <w:r w:rsidR="00DF45B2">
        <w:t>or “on”</w:t>
      </w:r>
      <w:r w:rsidR="0028280E">
        <w:t>,</w:t>
      </w:r>
      <w:r w:rsidR="00DF45B2">
        <w:t xml:space="preserve"> but that</w:t>
      </w:r>
      <w:r w:rsidR="00A07E86">
        <w:t xml:space="preserve"> one</w:t>
      </w:r>
      <w:r w:rsidR="007C4515">
        <w:t>-</w:t>
      </w:r>
      <w:r w:rsidR="00A07E86">
        <w:t xml:space="preserve">off </w:t>
      </w:r>
      <w:r w:rsidR="007A2AF0">
        <w:t xml:space="preserve">concept </w:t>
      </w:r>
      <w:r w:rsidR="00A07E86">
        <w:t xml:space="preserve">is inconsistent with the </w:t>
      </w:r>
      <w:r w:rsidR="00F72698">
        <w:t xml:space="preserve">language “at any time”.  </w:t>
      </w:r>
      <w:r>
        <w:t>Th</w:t>
      </w:r>
      <w:r w:rsidR="007C477B">
        <w:t xml:space="preserve">is language makes clear that the provision is </w:t>
      </w:r>
      <w:r w:rsidR="001854BC">
        <w:t xml:space="preserve">not concerned with a trigger event but what is to happen </w:t>
      </w:r>
      <w:r w:rsidR="001854BC" w:rsidRPr="007C477B">
        <w:rPr>
          <w:i/>
          <w:iCs/>
        </w:rPr>
        <w:t xml:space="preserve">whenever </w:t>
      </w:r>
      <w:r w:rsidR="001854BC">
        <w:t xml:space="preserve">GDP is no longer </w:t>
      </w:r>
      <w:r w:rsidR="00CE07F7">
        <w:t xml:space="preserve">measured in 1993 YOBP. That occurs every year after a first rebasing and the </w:t>
      </w:r>
      <w:r w:rsidR="00B95CF6">
        <w:t xml:space="preserve">Adjustment </w:t>
      </w:r>
      <w:r w:rsidR="00753D3B">
        <w:t>P</w:t>
      </w:r>
      <w:r w:rsidR="00B95CF6">
        <w:t>rovision addresses itself to an adjustment in each year because each year fulfils the introductory condition for its application.</w:t>
      </w:r>
      <w:r w:rsidR="009B5BC5">
        <w:t xml:space="preserve">  The words “at any time” are used in this same sense in the definition of </w:t>
      </w:r>
      <w:r w:rsidR="00D13B1A">
        <w:t xml:space="preserve">Year of Base </w:t>
      </w:r>
      <w:r w:rsidR="00753D3B">
        <w:t xml:space="preserve">Prices </w:t>
      </w:r>
      <w:r w:rsidR="00D13B1A">
        <w:t>where th</w:t>
      </w:r>
      <w:r w:rsidR="00525A3E">
        <w:t>e</w:t>
      </w:r>
      <w:r w:rsidR="00D13B1A">
        <w:t xml:space="preserve">y </w:t>
      </w:r>
      <w:r w:rsidR="00380EF0">
        <w:t xml:space="preserve">apply to </w:t>
      </w:r>
      <w:r w:rsidR="00380EF0" w:rsidRPr="0035701B">
        <w:rPr>
          <w:i/>
          <w:iCs/>
        </w:rPr>
        <w:t>every</w:t>
      </w:r>
      <w:r w:rsidR="00380EF0">
        <w:t xml:space="preserve"> year </w:t>
      </w:r>
      <w:r w:rsidR="00E878AE">
        <w:t>in which the new base price year is used</w:t>
      </w:r>
      <w:r w:rsidR="0035701B">
        <w:t xml:space="preserve">, </w:t>
      </w:r>
      <w:r w:rsidR="00380EF0">
        <w:t>after a rebasing</w:t>
      </w:r>
      <w:r w:rsidR="00A969AE">
        <w:t xml:space="preserve">, and feed into the </w:t>
      </w:r>
      <w:r w:rsidR="009A13A5">
        <w:t xml:space="preserve">definition of Actual Real GDP which will be in the new YOBP for </w:t>
      </w:r>
      <w:r w:rsidR="009A13A5" w:rsidRPr="0035701B">
        <w:rPr>
          <w:i/>
          <w:iCs/>
        </w:rPr>
        <w:t>each</w:t>
      </w:r>
      <w:r w:rsidR="009A13A5">
        <w:t xml:space="preserve"> year after the rebasing</w:t>
      </w:r>
      <w:r w:rsidR="00525A3E">
        <w:t xml:space="preserve"> in which the new YOBP is used. </w:t>
      </w:r>
      <w:r w:rsidR="00380EF0">
        <w:t xml:space="preserve"> </w:t>
      </w:r>
    </w:p>
    <w:p w14:paraId="15930E5D" w14:textId="421C61DE" w:rsidR="00307CBE" w:rsidRDefault="00B95CF6" w:rsidP="00C662F9">
      <w:pPr>
        <w:pStyle w:val="ParaLevel1"/>
        <w:numPr>
          <w:ilvl w:val="0"/>
          <w:numId w:val="11"/>
        </w:numPr>
        <w:ind w:left="454" w:hanging="454"/>
      </w:pPr>
      <w:r>
        <w:t xml:space="preserve">That is reinforced by the references in the </w:t>
      </w:r>
      <w:r w:rsidR="00FC5079">
        <w:t xml:space="preserve">numerator and denominator to “such” Reference Year, </w:t>
      </w:r>
      <w:r w:rsidR="009C4A74">
        <w:t xml:space="preserve">which </w:t>
      </w:r>
      <w:r w:rsidR="00575A1F">
        <w:t xml:space="preserve">in each case </w:t>
      </w:r>
      <w:r w:rsidR="009C4A74">
        <w:t>naturally mean</w:t>
      </w:r>
      <w:r w:rsidR="00575A1F">
        <w:t>s</w:t>
      </w:r>
      <w:r w:rsidR="009C4A74">
        <w:t xml:space="preserve"> the year which is referred to in the condition at the beginning of the proviso which requires the adjustment to be made</w:t>
      </w:r>
      <w:r w:rsidR="00575A1F">
        <w:t>,</w:t>
      </w:r>
      <w:r w:rsidR="009C4A74">
        <w:t xml:space="preserve"> </w:t>
      </w:r>
      <w:r w:rsidR="00FC5079">
        <w:t xml:space="preserve">namely the </w:t>
      </w:r>
      <w:r w:rsidR="0099149B">
        <w:t xml:space="preserve">Reference Year in which GDP is no longer </w:t>
      </w:r>
      <w:r w:rsidR="00096811">
        <w:t>bei</w:t>
      </w:r>
      <w:r w:rsidR="00B3609D">
        <w:t>n</w:t>
      </w:r>
      <w:r w:rsidR="00096811">
        <w:t>g measured in 1993 YOBP</w:t>
      </w:r>
      <w:r w:rsidR="00135EA1">
        <w:t>.  It is a Reference Year in which the new YOBP is applied.</w:t>
      </w:r>
      <w:r w:rsidR="00CF7F74">
        <w:t xml:space="preserve"> </w:t>
      </w:r>
      <w:r w:rsidR="00096811">
        <w:t xml:space="preserve">The Republic’s construction, </w:t>
      </w:r>
      <w:r w:rsidR="00135EA1">
        <w:t xml:space="preserve">however, </w:t>
      </w:r>
      <w:r w:rsidR="00096811">
        <w:t>treats “such” Refe</w:t>
      </w:r>
      <w:r w:rsidR="00B3609D">
        <w:t xml:space="preserve">rence </w:t>
      </w:r>
      <w:r w:rsidR="00096811">
        <w:t xml:space="preserve">Year as referring to </w:t>
      </w:r>
      <w:r w:rsidR="00DA4120">
        <w:t xml:space="preserve">an </w:t>
      </w:r>
      <w:r w:rsidR="00096811">
        <w:t xml:space="preserve">Overlap </w:t>
      </w:r>
      <w:r w:rsidR="008F5AEA">
        <w:t>Year</w:t>
      </w:r>
      <w:r w:rsidR="001A12DF">
        <w:t>,</w:t>
      </w:r>
      <w:r w:rsidR="00C77F2F">
        <w:t xml:space="preserve"> a year which has not previously been mentioned in the provision</w:t>
      </w:r>
      <w:r w:rsidR="009161BC">
        <w:t xml:space="preserve">, </w:t>
      </w:r>
      <w:r w:rsidR="00575A1F">
        <w:t xml:space="preserve">and which is not one in which </w:t>
      </w:r>
      <w:r w:rsidR="001A12DF">
        <w:t>“</w:t>
      </w:r>
      <w:r w:rsidR="00191C17">
        <w:t>the Year of Base Prices employed by INDEC [is]</w:t>
      </w:r>
      <w:r w:rsidR="00F1145E">
        <w:t xml:space="preserve"> </w:t>
      </w:r>
      <w:r w:rsidR="00191C17">
        <w:t xml:space="preserve">a calendar year other than 1993”.  </w:t>
      </w:r>
      <w:r w:rsidR="008A329D">
        <w:t xml:space="preserve">On the contrary the Overlap Year is measuring GDP in </w:t>
      </w:r>
      <w:r w:rsidR="00307CBE">
        <w:t>1993 YOB</w:t>
      </w:r>
      <w:r w:rsidR="008E6446">
        <w:t>P</w:t>
      </w:r>
      <w:r w:rsidR="00307CBE">
        <w:t>.</w:t>
      </w:r>
    </w:p>
    <w:p w14:paraId="3B021277" w14:textId="4AA54BB5" w:rsidR="00547E39" w:rsidRDefault="00DA4120" w:rsidP="00C662F9">
      <w:pPr>
        <w:pStyle w:val="ParaLevel1"/>
        <w:numPr>
          <w:ilvl w:val="0"/>
          <w:numId w:val="11"/>
        </w:numPr>
        <w:ind w:left="454" w:hanging="454"/>
      </w:pPr>
      <w:r>
        <w:t xml:space="preserve">Mr Railton argued that </w:t>
      </w:r>
      <w:r w:rsidR="00307CBE">
        <w:t>t</w:t>
      </w:r>
      <w:r w:rsidR="00106B25">
        <w:t>h</w:t>
      </w:r>
      <w:r w:rsidR="00307CBE">
        <w:t xml:space="preserve">e reference must be to the Overlap Year </w:t>
      </w:r>
      <w:r>
        <w:t xml:space="preserve">because </w:t>
      </w:r>
      <w:r w:rsidR="00C71172">
        <w:t>it was the last year for which 199</w:t>
      </w:r>
      <w:r w:rsidR="002461BD">
        <w:t>3</w:t>
      </w:r>
      <w:r w:rsidR="00C71172">
        <w:t xml:space="preserve"> YOBP data would be available</w:t>
      </w:r>
      <w:r w:rsidR="00106B25">
        <w:t xml:space="preserve">, </w:t>
      </w:r>
      <w:r w:rsidR="00C71172">
        <w:t xml:space="preserve">and </w:t>
      </w:r>
      <w:r w:rsidR="00F11D71">
        <w:t>the first year which would need to be adjusted in order to enable growth to be measured in the fi</w:t>
      </w:r>
      <w:r w:rsidR="006A2B8D">
        <w:t>r</w:t>
      </w:r>
      <w:r w:rsidR="00F11D71">
        <w:t>st year in which the new YOBP was being</w:t>
      </w:r>
      <w:r w:rsidR="002461BD">
        <w:t xml:space="preserve"> </w:t>
      </w:r>
      <w:r w:rsidR="00F11D71">
        <w:t>used.</w:t>
      </w:r>
      <w:r w:rsidR="00AF7FB6">
        <w:t xml:space="preserve"> </w:t>
      </w:r>
      <w:r w:rsidR="009D224D">
        <w:t xml:space="preserve"> Quite apar</w:t>
      </w:r>
      <w:r w:rsidR="003309BA">
        <w:t xml:space="preserve">t from </w:t>
      </w:r>
      <w:r w:rsidR="009D224D">
        <w:t xml:space="preserve">the fact that this does not give meaning to the word </w:t>
      </w:r>
      <w:r w:rsidR="00106B25">
        <w:t>“</w:t>
      </w:r>
      <w:r w:rsidR="009D224D">
        <w:t>such</w:t>
      </w:r>
      <w:r w:rsidR="00106B25">
        <w:t>”</w:t>
      </w:r>
      <w:r w:rsidR="009D224D">
        <w:t xml:space="preserve"> </w:t>
      </w:r>
      <w:r w:rsidR="00106B25">
        <w:t xml:space="preserve">in the numerator and denominator, </w:t>
      </w:r>
      <w:r w:rsidR="009D224D">
        <w:t xml:space="preserve">because the Overlap </w:t>
      </w:r>
      <w:r w:rsidR="00AF7FB6">
        <w:t>Y</w:t>
      </w:r>
      <w:r w:rsidR="009D224D">
        <w:t>ear is not previously identified in the provision, this argument suffers from two further flaws.  First</w:t>
      </w:r>
      <w:r w:rsidR="00AF7FB6">
        <w:t>,</w:t>
      </w:r>
      <w:r w:rsidR="009D224D">
        <w:t xml:space="preserve"> it assumes that no data in 1993</w:t>
      </w:r>
      <w:r w:rsidR="00F35AFA">
        <w:t xml:space="preserve"> YOBP will be available after the Overlap Year, which is a false </w:t>
      </w:r>
      <w:r w:rsidR="003309BA">
        <w:t xml:space="preserve">premise </w:t>
      </w:r>
      <w:r w:rsidR="00F35AFA">
        <w:t xml:space="preserve">upon which to construe the </w:t>
      </w:r>
      <w:r w:rsidR="00AF7FB6">
        <w:t xml:space="preserve">provision </w:t>
      </w:r>
      <w:r w:rsidR="00F35AFA">
        <w:t xml:space="preserve">for the reasons I have explained.  Secondly, the </w:t>
      </w:r>
      <w:r w:rsidR="00352791">
        <w:t xml:space="preserve">Overlap Year </w:t>
      </w:r>
      <w:r w:rsidR="00AD63E4">
        <w:t xml:space="preserve">is </w:t>
      </w:r>
      <w:r w:rsidR="00352791">
        <w:t xml:space="preserve">only one of a number of years which </w:t>
      </w:r>
      <w:r w:rsidR="0032261D">
        <w:t>m</w:t>
      </w:r>
      <w:r w:rsidR="00352791">
        <w:t>ight logically have been chosen</w:t>
      </w:r>
      <w:r w:rsidR="0032261D">
        <w:t xml:space="preserve"> if it was desired to make a one</w:t>
      </w:r>
      <w:r w:rsidR="007C4515">
        <w:t>-</w:t>
      </w:r>
      <w:r w:rsidR="0032261D">
        <w:t>off adjustment</w:t>
      </w:r>
      <w:r w:rsidR="00500C84">
        <w:t xml:space="preserve"> at the time of rebasing.</w:t>
      </w:r>
      <w:r w:rsidR="00037EE1">
        <w:t xml:space="preserve">  It </w:t>
      </w:r>
      <w:r w:rsidR="00FC5573">
        <w:t>m</w:t>
      </w:r>
      <w:r w:rsidR="00037EE1">
        <w:t xml:space="preserve">ight logically have been 2004, as the year of the new YOBP when the </w:t>
      </w:r>
      <w:r w:rsidR="003E32F4">
        <w:t xml:space="preserve">scope </w:t>
      </w:r>
      <w:r w:rsidR="00037EE1">
        <w:t>was closest to the</w:t>
      </w:r>
      <w:r w:rsidR="00445F50">
        <w:t xml:space="preserve"> state of the </w:t>
      </w:r>
      <w:r w:rsidR="003E32F4">
        <w:t xml:space="preserve">economy </w:t>
      </w:r>
      <w:r w:rsidR="00445F50">
        <w:t xml:space="preserve">in that series.  </w:t>
      </w:r>
      <w:r w:rsidR="00997CA9">
        <w:t xml:space="preserve">It might have been </w:t>
      </w:r>
      <w:r w:rsidR="0052726B">
        <w:t xml:space="preserve">a year midway through the use of the old series, or </w:t>
      </w:r>
      <w:r w:rsidR="00C81247">
        <w:t xml:space="preserve">the average of a combination of years.  </w:t>
      </w:r>
      <w:r w:rsidR="00EC7969">
        <w:t xml:space="preserve">It might have been the first </w:t>
      </w:r>
      <w:r w:rsidR="00EC7969">
        <w:lastRenderedPageBreak/>
        <w:t>rebasing year</w:t>
      </w:r>
      <w:r w:rsidR="002501E1">
        <w:t>, rather than the previous Overlap Year</w:t>
      </w:r>
      <w:r w:rsidR="00F153EB">
        <w:t xml:space="preserve">.  </w:t>
      </w:r>
      <w:r w:rsidR="002C24A6">
        <w:t xml:space="preserve">The </w:t>
      </w:r>
      <w:r w:rsidR="004E3AB9">
        <w:t xml:space="preserve">particular </w:t>
      </w:r>
      <w:r w:rsidR="002C24A6">
        <w:t xml:space="preserve">year </w:t>
      </w:r>
      <w:r w:rsidR="00C81247">
        <w:t>or series of years chosen as the comparator</w:t>
      </w:r>
      <w:r w:rsidR="00B30C1B">
        <w:t xml:space="preserve"> </w:t>
      </w:r>
      <w:r w:rsidR="004E3AB9">
        <w:t xml:space="preserve">matters because </w:t>
      </w:r>
      <w:r w:rsidR="000871FA">
        <w:t xml:space="preserve">different choices would produce </w:t>
      </w:r>
      <w:r w:rsidR="004E3AB9">
        <w:t xml:space="preserve">different </w:t>
      </w:r>
      <w:r w:rsidR="002C24A6">
        <w:t xml:space="preserve">adjusted figures and therefore </w:t>
      </w:r>
      <w:r w:rsidR="000871FA">
        <w:t xml:space="preserve">affect the </w:t>
      </w:r>
      <w:r w:rsidR="002C24A6">
        <w:t>operation of the Level Condition.</w:t>
      </w:r>
      <w:r w:rsidR="000E5C28">
        <w:t xml:space="preserve">  </w:t>
      </w:r>
      <w:bookmarkStart w:id="8" w:name="_Hlk167538635"/>
      <w:r w:rsidR="003C2C0B">
        <w:t xml:space="preserve">If the provision were intended to be a one-off adjustment, there is in truth nothing in the </w:t>
      </w:r>
      <w:r w:rsidR="00933A6B">
        <w:t xml:space="preserve">wording which identifies which year </w:t>
      </w:r>
      <w:r w:rsidR="00AC5210">
        <w:t xml:space="preserve">or years out of a range of possibilities </w:t>
      </w:r>
      <w:r w:rsidR="00933A6B">
        <w:t xml:space="preserve">should be used to make the adjustment. </w:t>
      </w:r>
    </w:p>
    <w:bookmarkEnd w:id="8"/>
    <w:p w14:paraId="1E579835" w14:textId="74E1F7F0" w:rsidR="002C24A6" w:rsidRDefault="00547E39" w:rsidP="00C662F9">
      <w:pPr>
        <w:pStyle w:val="ParaLevel1"/>
        <w:numPr>
          <w:ilvl w:val="0"/>
          <w:numId w:val="11"/>
        </w:numPr>
        <w:ind w:left="454" w:hanging="454"/>
      </w:pPr>
      <w:r>
        <w:t xml:space="preserve">Mr Railton referred to the </w:t>
      </w:r>
      <w:r w:rsidR="004C7491">
        <w:t>A</w:t>
      </w:r>
      <w:r w:rsidR="00C31B7B">
        <w:t xml:space="preserve">djustment </w:t>
      </w:r>
      <w:r w:rsidR="004C7491">
        <w:t>P</w:t>
      </w:r>
      <w:r w:rsidR="00C31B7B">
        <w:t xml:space="preserve">rovision applying a “fixed fraction” but it does no such thing in the sense in which he used it.  </w:t>
      </w:r>
      <w:r w:rsidR="00D720DB">
        <w:t xml:space="preserve">It </w:t>
      </w:r>
      <w:r w:rsidR="00C2476E">
        <w:t xml:space="preserve">is true that it </w:t>
      </w:r>
      <w:r w:rsidR="00D720DB">
        <w:t xml:space="preserve">produces a fixed number whenever it is applied.  But it plainly is not fixed in the sense of applying only a single numerator and </w:t>
      </w:r>
      <w:r w:rsidR="008502BC">
        <w:t xml:space="preserve">denominator, because both are expressed in </w:t>
      </w:r>
      <w:r w:rsidR="008E6340">
        <w:t xml:space="preserve">annually </w:t>
      </w:r>
      <w:r w:rsidR="008502BC">
        <w:t xml:space="preserve">variable terms by reference to the </w:t>
      </w:r>
      <w:r w:rsidR="00C2476E">
        <w:t xml:space="preserve">Actual Real GDP from year to year. </w:t>
      </w:r>
    </w:p>
    <w:p w14:paraId="13234EFE" w14:textId="3B355475" w:rsidR="002E5A0A" w:rsidRDefault="00C2476E" w:rsidP="00C662F9">
      <w:pPr>
        <w:pStyle w:val="ParaLevel1"/>
        <w:numPr>
          <w:ilvl w:val="0"/>
          <w:numId w:val="11"/>
        </w:numPr>
        <w:ind w:left="454" w:hanging="454"/>
      </w:pPr>
      <w:r>
        <w:t>The last</w:t>
      </w:r>
      <w:r w:rsidR="00D46BA8">
        <w:t xml:space="preserve"> indication</w:t>
      </w:r>
      <w:r w:rsidR="007D72C0">
        <w:t xml:space="preserve"> in the language used, perhaps the clearest of all</w:t>
      </w:r>
      <w:r w:rsidR="004C7491">
        <w:t>,</w:t>
      </w:r>
      <w:r w:rsidR="00B45FFE">
        <w:t xml:space="preserve"> is that the denominator is expressed</w:t>
      </w:r>
      <w:r w:rsidR="00E437DB">
        <w:t xml:space="preserve"> </w:t>
      </w:r>
      <w:r w:rsidR="00AD31DE">
        <w:t>“</w:t>
      </w:r>
      <w:r w:rsidR="00E437DB">
        <w:t>in constant 1993 prices</w:t>
      </w:r>
      <w:r w:rsidR="00AD31DE">
        <w:t>”</w:t>
      </w:r>
      <w:r w:rsidR="00E437DB">
        <w:t xml:space="preserve">.  </w:t>
      </w:r>
      <w:r w:rsidR="00EE61A1">
        <w:t>That is so for the lifetime of the Securities and</w:t>
      </w:r>
      <w:r w:rsidR="006C0F00">
        <w:t xml:space="preserve"> if “at any time” GDP is no longer published in </w:t>
      </w:r>
      <w:r w:rsidR="003F506D">
        <w:t xml:space="preserve">constant </w:t>
      </w:r>
      <w:r w:rsidR="006C0F00">
        <w:t>1993 prices</w:t>
      </w:r>
      <w:r w:rsidR="003F506D">
        <w:t xml:space="preserve">.  It applies in the case </w:t>
      </w:r>
      <w:r w:rsidR="00E437DB">
        <w:t>of a second and subsequent rebasing, which the parties would have contemplated during the lifetime of the Securities</w:t>
      </w:r>
      <w:r w:rsidR="00E614F1">
        <w:t xml:space="preserve">. On a second and subsequent rebasing the </w:t>
      </w:r>
      <w:r w:rsidR="00E437DB">
        <w:t>One</w:t>
      </w:r>
      <w:r w:rsidR="007C4515">
        <w:t>-</w:t>
      </w:r>
      <w:r w:rsidR="00E437DB">
        <w:t xml:space="preserve">Off construction </w:t>
      </w:r>
      <w:r w:rsidR="0006760F">
        <w:t xml:space="preserve">requires one </w:t>
      </w:r>
      <w:r w:rsidR="00E614F1">
        <w:t>not merely to ignore these words</w:t>
      </w:r>
      <w:r w:rsidR="004B2E14">
        <w:t>,</w:t>
      </w:r>
      <w:r w:rsidR="00E614F1">
        <w:t xml:space="preserve"> </w:t>
      </w:r>
      <w:r w:rsidR="00722540">
        <w:t xml:space="preserve">but </w:t>
      </w:r>
      <w:r w:rsidR="0006760F">
        <w:t xml:space="preserve">to </w:t>
      </w:r>
      <w:r w:rsidR="00E437DB">
        <w:t xml:space="preserve">rewrite them </w:t>
      </w:r>
      <w:r w:rsidR="00722540">
        <w:t xml:space="preserve">as a reference to the </w:t>
      </w:r>
      <w:r w:rsidR="00AD31DE">
        <w:t xml:space="preserve">prices in the immediately preceding rebasing.  </w:t>
      </w:r>
      <w:r w:rsidR="00722540">
        <w:t xml:space="preserve">So if a second rebasing from </w:t>
      </w:r>
      <w:r w:rsidR="008576D7">
        <w:t xml:space="preserve">2004 </w:t>
      </w:r>
      <w:r w:rsidR="00722540">
        <w:t>YOBP into</w:t>
      </w:r>
      <w:r w:rsidR="008576D7">
        <w:t xml:space="preserve"> 2015 YOBP occurred, “constant 1993 prices” would have to mean “constant 2004 prices”. </w:t>
      </w:r>
      <w:r w:rsidR="00713951">
        <w:t xml:space="preserve"> And on a further rebasing it would have to mean “constant 2015 prices”</w:t>
      </w:r>
      <w:r w:rsidR="00914948">
        <w:t xml:space="preserve">.  </w:t>
      </w:r>
      <w:r w:rsidR="002F6B0F">
        <w:t>Mr</w:t>
      </w:r>
      <w:r w:rsidR="00391BC9">
        <w:t xml:space="preserve"> Railton suggested that that could be achieved by way of an implied term, but it is trite that one cannot imply a term which is inconsistent with the express ter</w:t>
      </w:r>
      <w:r w:rsidR="00E96A83">
        <w:t>m</w:t>
      </w:r>
      <w:r w:rsidR="00391BC9">
        <w:t>s.  In truth, if this result is to be achieved it can only be</w:t>
      </w:r>
      <w:r w:rsidR="00E96A83">
        <w:t xml:space="preserve"> by way o</w:t>
      </w:r>
      <w:r w:rsidR="004C7491">
        <w:t>f</w:t>
      </w:r>
      <w:r w:rsidR="00E96A83">
        <w:t xml:space="preserve"> rewriting the provision </w:t>
      </w:r>
      <w:r w:rsidR="002E5A0A">
        <w:t xml:space="preserve">on an application of </w:t>
      </w:r>
      <w:r w:rsidR="00E96A83">
        <w:t xml:space="preserve">the </w:t>
      </w:r>
      <w:r w:rsidR="00E96A83" w:rsidRPr="002E5A0A">
        <w:rPr>
          <w:i/>
          <w:iCs/>
        </w:rPr>
        <w:t>Chartbrook</w:t>
      </w:r>
      <w:r w:rsidR="00E96A83">
        <w:t xml:space="preserve"> principle </w:t>
      </w:r>
      <w:r w:rsidR="002E5A0A">
        <w:t>in order to correct an obvious mistake.</w:t>
      </w:r>
    </w:p>
    <w:p w14:paraId="4497F2D3" w14:textId="228B5758" w:rsidR="00B36B01" w:rsidRPr="00B36B01" w:rsidRDefault="00811844" w:rsidP="00C662F9">
      <w:pPr>
        <w:pStyle w:val="ParaLevel1"/>
        <w:numPr>
          <w:ilvl w:val="0"/>
          <w:numId w:val="11"/>
        </w:numPr>
        <w:ind w:left="454" w:hanging="454"/>
        <w:rPr>
          <w:b/>
          <w:bCs/>
        </w:rPr>
      </w:pPr>
      <w:r>
        <w:t>The Republic’s redundancy argument does nothing</w:t>
      </w:r>
      <w:r w:rsidR="00D81A53">
        <w:t xml:space="preserve"> to undermine this conclusion.  It is not </w:t>
      </w:r>
      <w:r w:rsidR="00836E79">
        <w:t>an argument that if the Adjust</w:t>
      </w:r>
      <w:r w:rsidR="004322E1">
        <w:t>m</w:t>
      </w:r>
      <w:r w:rsidR="00836E79">
        <w:t xml:space="preserve">ent </w:t>
      </w:r>
      <w:r w:rsidR="004906A7">
        <w:t>P</w:t>
      </w:r>
      <w:r w:rsidR="00836E79">
        <w:t xml:space="preserve">rovision were deleted, the </w:t>
      </w:r>
      <w:r w:rsidR="004906A7">
        <w:t xml:space="preserve">result would be the same.  It plainly would not, because the effect of rebasing into 2004 YOBP is </w:t>
      </w:r>
      <w:r w:rsidR="003C522C">
        <w:t xml:space="preserve">that </w:t>
      </w:r>
      <w:r w:rsidR="00021412">
        <w:t xml:space="preserve">the inflation element alone results in much higher </w:t>
      </w:r>
      <w:r w:rsidR="00C932CC">
        <w:t>r</w:t>
      </w:r>
      <w:r w:rsidR="005C0F26">
        <w:t xml:space="preserve">eal </w:t>
      </w:r>
      <w:r w:rsidR="00021412">
        <w:t xml:space="preserve">GDP.  </w:t>
      </w:r>
      <w:r w:rsidR="00E24D76">
        <w:t xml:space="preserve">So much is common ground.  </w:t>
      </w:r>
      <w:r w:rsidR="00AA0CAF">
        <w:t>What the Republic’s argument amounts to is that the same result as that achieved by the Annual Adjust</w:t>
      </w:r>
      <w:r w:rsidR="00C932CC">
        <w:t>m</w:t>
      </w:r>
      <w:r w:rsidR="00AA0CAF">
        <w:t xml:space="preserve">ent </w:t>
      </w:r>
      <w:r w:rsidR="004B1749">
        <w:t>construction could have been achieved without adjusting the Base Case GDP chart on a rebasing if</w:t>
      </w:r>
      <w:r w:rsidR="004322E1">
        <w:t xml:space="preserve">, but only if, </w:t>
      </w:r>
      <w:r w:rsidR="000F023E">
        <w:t xml:space="preserve">other parts of the </w:t>
      </w:r>
      <w:r w:rsidR="00C932CC">
        <w:t xml:space="preserve">Securities </w:t>
      </w:r>
      <w:r w:rsidR="000F023E">
        <w:t xml:space="preserve">had been worded differently.  </w:t>
      </w:r>
      <w:r w:rsidR="005623D6">
        <w:t xml:space="preserve">The </w:t>
      </w:r>
      <w:r w:rsidR="000F023E">
        <w:t xml:space="preserve">rewording suggested by the Republic involves not only deleting the Adjustment Provision, but also </w:t>
      </w:r>
      <w:r w:rsidR="00FB2FAC">
        <w:t xml:space="preserve">amending the </w:t>
      </w:r>
      <w:r w:rsidR="002E0469">
        <w:t>definition of Actual Real GDP and Actual Real GDP Growth</w:t>
      </w:r>
      <w:r w:rsidR="0048327C">
        <w:t xml:space="preserve">.  </w:t>
      </w:r>
      <w:r w:rsidR="0040505B">
        <w:t>This is simply an argument that the same result could have been achieved by different drafting, which goes nowhere.</w:t>
      </w:r>
      <w:r w:rsidR="001E64E5">
        <w:t xml:space="preserve"> </w:t>
      </w:r>
      <w:r w:rsidR="00FF6EB2">
        <w:t xml:space="preserve">Moreover the suggested alternative involves defining Actual </w:t>
      </w:r>
      <w:r w:rsidR="00D93375">
        <w:t xml:space="preserve">Real GDP as </w:t>
      </w:r>
      <w:r w:rsidR="00FF6EB2">
        <w:t xml:space="preserve">GDP </w:t>
      </w:r>
      <w:r w:rsidR="00D93375">
        <w:t xml:space="preserve">measured in constant 1993 prices </w:t>
      </w:r>
      <w:r w:rsidR="00C16F27">
        <w:t xml:space="preserve">as published by INDEC, rather than what would be </w:t>
      </w:r>
      <w:r w:rsidR="00ED295C">
        <w:t xml:space="preserve">published by INDEC after a rebasing which would be GDP in the new YOBP.  </w:t>
      </w:r>
      <w:r w:rsidR="008103BD">
        <w:t>One can readily understand that the drafts</w:t>
      </w:r>
      <w:r w:rsidR="002D3C26">
        <w:t>person would have wanted to start wit</w:t>
      </w:r>
      <w:r w:rsidR="00ED295C">
        <w:t>h</w:t>
      </w:r>
      <w:r w:rsidR="002D3C26">
        <w:t xml:space="preserve"> the definition actually used, which reflected real GDP</w:t>
      </w:r>
      <w:r w:rsidR="009C0DED">
        <w:t xml:space="preserve"> as published by the Republic, rather than the suggested redefinition, which would not aptly be described after a rebasin</w:t>
      </w:r>
      <w:r w:rsidR="00AF7DD2">
        <w:t>g</w:t>
      </w:r>
      <w:r w:rsidR="009C0DED">
        <w:t xml:space="preserve"> as either “actual” or “</w:t>
      </w:r>
      <w:r w:rsidR="00ED295C">
        <w:t>r</w:t>
      </w:r>
      <w:r w:rsidR="009C0DED">
        <w:t xml:space="preserve">eal” GDP </w:t>
      </w:r>
      <w:r w:rsidR="00ED295C">
        <w:t xml:space="preserve">and would not be </w:t>
      </w:r>
      <w:r w:rsidR="0016732E">
        <w:t xml:space="preserve">GDP as </w:t>
      </w:r>
      <w:r w:rsidR="009C0DED">
        <w:t>published by INDEC</w:t>
      </w:r>
      <w:r w:rsidR="0016732E">
        <w:t xml:space="preserve"> for its headline GDP for the year.  </w:t>
      </w:r>
      <w:r w:rsidR="00CC4463">
        <w:t>T</w:t>
      </w:r>
      <w:r w:rsidR="000B2FB1">
        <w:t xml:space="preserve">he Republic’s </w:t>
      </w:r>
      <w:r w:rsidR="00CC4463">
        <w:t xml:space="preserve">argument is that the result achieved by the Annual Adjustment construction </w:t>
      </w:r>
      <w:r w:rsidR="00676E31">
        <w:t xml:space="preserve">could be achieved by </w:t>
      </w:r>
      <w:r w:rsidR="00615410">
        <w:t xml:space="preserve">a </w:t>
      </w:r>
      <w:r w:rsidR="00676E31">
        <w:t xml:space="preserve">different </w:t>
      </w:r>
      <w:r w:rsidR="00C932CC">
        <w:t>form of drafting which itself would b</w:t>
      </w:r>
      <w:r w:rsidR="00775DC9">
        <w:t xml:space="preserve">e </w:t>
      </w:r>
      <w:r w:rsidR="002818A3">
        <w:t xml:space="preserve">confusing and </w:t>
      </w:r>
      <w:r w:rsidR="00873A00">
        <w:t xml:space="preserve">potentially </w:t>
      </w:r>
      <w:r w:rsidR="00133C9D">
        <w:t>m</w:t>
      </w:r>
      <w:r w:rsidR="00873A00">
        <w:t>isleading. It d</w:t>
      </w:r>
      <w:r w:rsidR="00B36B01">
        <w:t>o</w:t>
      </w:r>
      <w:r w:rsidR="00873A00">
        <w:t>es nothing to assist the Republic’s case on construction</w:t>
      </w:r>
      <w:r w:rsidR="00B36B01">
        <w:t>.</w:t>
      </w:r>
    </w:p>
    <w:p w14:paraId="37183C34" w14:textId="77777777" w:rsidR="001E64E5" w:rsidRDefault="001E64E5" w:rsidP="00C7371D">
      <w:pPr>
        <w:pStyle w:val="ParaLevel1"/>
        <w:numPr>
          <w:ilvl w:val="0"/>
          <w:numId w:val="0"/>
        </w:numPr>
        <w:rPr>
          <w:b/>
          <w:bCs/>
        </w:rPr>
      </w:pPr>
    </w:p>
    <w:p w14:paraId="30FD6CE2" w14:textId="56A29AC4" w:rsidR="00C52887" w:rsidRPr="00575748" w:rsidRDefault="00C52887" w:rsidP="00C7371D">
      <w:pPr>
        <w:pStyle w:val="ParaLevel1"/>
        <w:numPr>
          <w:ilvl w:val="0"/>
          <w:numId w:val="0"/>
        </w:numPr>
        <w:rPr>
          <w:b/>
          <w:bCs/>
        </w:rPr>
      </w:pPr>
      <w:r w:rsidRPr="00575748">
        <w:rPr>
          <w:b/>
          <w:bCs/>
        </w:rPr>
        <w:lastRenderedPageBreak/>
        <w:t>The economic and commercial consequences</w:t>
      </w:r>
    </w:p>
    <w:p w14:paraId="0AEA64E9" w14:textId="230D2B80" w:rsidR="009520E8" w:rsidRDefault="00567B8A" w:rsidP="00F50D8D">
      <w:pPr>
        <w:pStyle w:val="ParaLevel1"/>
        <w:numPr>
          <w:ilvl w:val="0"/>
          <w:numId w:val="11"/>
        </w:numPr>
        <w:ind w:left="454" w:hanging="454"/>
      </w:pPr>
      <w:r>
        <w:t>I have no doubt that the commercial and economic consequences</w:t>
      </w:r>
      <w:r w:rsidR="00755A13">
        <w:t xml:space="preserve"> of the Republic’s one-off construction </w:t>
      </w:r>
      <w:r w:rsidR="00D82E86">
        <w:t xml:space="preserve">make </w:t>
      </w:r>
      <w:r w:rsidR="006024D4">
        <w:t xml:space="preserve">it </w:t>
      </w:r>
      <w:bookmarkStart w:id="9" w:name="_Hlk167609223"/>
      <w:r w:rsidR="006024D4">
        <w:t xml:space="preserve">one </w:t>
      </w:r>
      <w:r w:rsidR="00755A13">
        <w:t>which the parties could</w:t>
      </w:r>
      <w:r w:rsidR="00FC47B0">
        <w:t xml:space="preserve"> sensibly have chosen.  Indeed I recognise that th</w:t>
      </w:r>
      <w:r w:rsidR="00FE1B0D">
        <w:t xml:space="preserve">ose consequences </w:t>
      </w:r>
      <w:r w:rsidR="00CE086D">
        <w:t xml:space="preserve">might </w:t>
      </w:r>
      <w:r w:rsidR="00FC47B0">
        <w:t>be regarded in a number of respects as preferable to those which follow f</w:t>
      </w:r>
      <w:r w:rsidR="00CE086D">
        <w:t xml:space="preserve">rom </w:t>
      </w:r>
      <w:r w:rsidR="00FC47B0">
        <w:t xml:space="preserve">the Annual Adjustment construction.  But I am far from </w:t>
      </w:r>
      <w:r w:rsidR="00DE2339">
        <w:t xml:space="preserve">being persuaded that </w:t>
      </w:r>
      <w:r w:rsidR="00FC47B0">
        <w:t>those which flow from the Annual Adjustment construction are</w:t>
      </w:r>
      <w:r w:rsidR="00C96765">
        <w:t xml:space="preserve"> ones which the parties cannot be taken to have intended</w:t>
      </w:r>
      <w:r w:rsidR="00891C6C">
        <w:t>,</w:t>
      </w:r>
      <w:r w:rsidR="00B8560B">
        <w:t xml:space="preserve"> </w:t>
      </w:r>
      <w:r w:rsidR="00E45682">
        <w:t xml:space="preserve">because, </w:t>
      </w:r>
      <w:r w:rsidR="00891C6C">
        <w:t xml:space="preserve">as </w:t>
      </w:r>
      <w:r w:rsidR="00B54D28">
        <w:t>M</w:t>
      </w:r>
      <w:r w:rsidR="00891C6C">
        <w:t>r Railton put it, no sens</w:t>
      </w:r>
      <w:r w:rsidR="00B54D28">
        <w:t xml:space="preserve">ible </w:t>
      </w:r>
      <w:r w:rsidR="00891C6C">
        <w:t xml:space="preserve">person would want to </w:t>
      </w:r>
      <w:r w:rsidR="00B54D28">
        <w:t>achieve that result</w:t>
      </w:r>
      <w:r w:rsidR="00C96765">
        <w:t>.</w:t>
      </w:r>
      <w:r w:rsidR="0021046F">
        <w:t xml:space="preserve"> A</w:t>
      </w:r>
      <w:r w:rsidR="009520E8">
        <w:t xml:space="preserve"> consideration of the economic and commercial consequences of the rival arguments does</w:t>
      </w:r>
      <w:r w:rsidR="00075148" w:rsidRPr="00075148">
        <w:t xml:space="preserve"> </w:t>
      </w:r>
      <w:r w:rsidR="00075148">
        <w:t xml:space="preserve">nothing to </w:t>
      </w:r>
      <w:r w:rsidR="00DB55CC">
        <w:t xml:space="preserve">support a conclusion that </w:t>
      </w:r>
      <w:r w:rsidR="00775DC9">
        <w:t>the provision i</w:t>
      </w:r>
      <w:r w:rsidR="00DB55CC">
        <w:t xml:space="preserve">s to be interpreted </w:t>
      </w:r>
      <w:r w:rsidR="00AA096B">
        <w:t xml:space="preserve">in a way which is contrary to the plain meaning of the language used.  </w:t>
      </w:r>
    </w:p>
    <w:bookmarkEnd w:id="9"/>
    <w:p w14:paraId="753D878D" w14:textId="7E4C3AB7" w:rsidR="00625274" w:rsidRDefault="00174FF8" w:rsidP="00F50D8D">
      <w:pPr>
        <w:pStyle w:val="ParaLevel1"/>
        <w:numPr>
          <w:ilvl w:val="0"/>
          <w:numId w:val="11"/>
        </w:numPr>
        <w:ind w:left="454" w:hanging="454"/>
      </w:pPr>
      <w:r>
        <w:t xml:space="preserve">In this connection </w:t>
      </w:r>
      <w:r w:rsidR="0015700F">
        <w:t xml:space="preserve">Ms </w:t>
      </w:r>
      <w:r w:rsidR="00FD43DF">
        <w:t>P</w:t>
      </w:r>
      <w:r w:rsidR="003F1B0F">
        <w:t>r</w:t>
      </w:r>
      <w:r w:rsidR="00FD43DF">
        <w:t xml:space="preserve">evezer </w:t>
      </w:r>
      <w:r>
        <w:t xml:space="preserve">made </w:t>
      </w:r>
      <w:r w:rsidR="00E8089D">
        <w:t xml:space="preserve">essentially </w:t>
      </w:r>
      <w:r w:rsidR="00D12B6B">
        <w:t>six</w:t>
      </w:r>
      <w:r w:rsidR="00E8089D">
        <w:t xml:space="preserve"> points</w:t>
      </w:r>
      <w:r w:rsidR="00133C9D">
        <w:t xml:space="preserve">.  </w:t>
      </w:r>
      <w:r w:rsidR="0015700F">
        <w:t>The first is that t</w:t>
      </w:r>
      <w:r w:rsidR="00625274">
        <w:t>he Annual Adjustment construction is economically logical in applying revised growth rates to the base chart</w:t>
      </w:r>
      <w:r w:rsidR="003D2963">
        <w:t xml:space="preserve"> annually</w:t>
      </w:r>
      <w:r w:rsidR="00625274">
        <w:t xml:space="preserve">, because different series are non-linear in their effect.  The </w:t>
      </w:r>
      <w:r w:rsidR="00212907">
        <w:t xml:space="preserve">Base Case GDP </w:t>
      </w:r>
      <w:r w:rsidR="00625274">
        <w:t>chart growth rates are in 1993 series and when a different series is used for Actual GDP, which imports different growth rates in Actual GDP from those which would apply in a different series, it is logical to apply the same difference in growth rates to the other side of the comparator, the adjusted Base Case GDP, so as to be comparing like with like.</w:t>
      </w:r>
      <w:r w:rsidR="00625274" w:rsidRPr="00973898">
        <w:t xml:space="preserve"> </w:t>
      </w:r>
      <w:r w:rsidR="00727CDF">
        <w:t xml:space="preserve"> </w:t>
      </w:r>
      <w:r w:rsidR="00B0170A">
        <w:t>That applies to every year in which the ne</w:t>
      </w:r>
      <w:r w:rsidR="00C62E3A">
        <w:t>w YOBP is used.</w:t>
      </w:r>
      <w:r w:rsidR="00D7158D">
        <w:t xml:space="preserve">  </w:t>
      </w:r>
      <w:r w:rsidR="00727CDF">
        <w:t>Mr Railton cr</w:t>
      </w:r>
      <w:r w:rsidR="001C48C4">
        <w:t xml:space="preserve">iticised this as an analysis </w:t>
      </w:r>
      <w:r w:rsidR="00727CDF">
        <w:t>which simply flowed f</w:t>
      </w:r>
      <w:r w:rsidR="001C48C4">
        <w:t xml:space="preserve">rom </w:t>
      </w:r>
      <w:r w:rsidR="00727CDF">
        <w:t>the</w:t>
      </w:r>
      <w:r w:rsidR="00281D1D">
        <w:t xml:space="preserve"> </w:t>
      </w:r>
      <w:r w:rsidR="00410D44">
        <w:t>Claimant</w:t>
      </w:r>
      <w:r w:rsidR="001B12BA">
        <w:t>s’</w:t>
      </w:r>
      <w:r w:rsidR="00410D44">
        <w:t xml:space="preserve"> desired construction; and </w:t>
      </w:r>
      <w:r w:rsidR="00C813FE">
        <w:t xml:space="preserve">placed impermissible weight on the figures in the </w:t>
      </w:r>
      <w:r w:rsidR="00427F84">
        <w:t xml:space="preserve">GDP Base Case </w:t>
      </w:r>
      <w:r w:rsidR="00C813FE">
        <w:t xml:space="preserve">chart being described as </w:t>
      </w:r>
      <w:r w:rsidR="00E0170B">
        <w:t>in constant 1993 pesos when they were in reality</w:t>
      </w:r>
      <w:r w:rsidR="008D3422">
        <w:t xml:space="preserve"> figures </w:t>
      </w:r>
      <w:r w:rsidR="00DA75B8">
        <w:t>whose essential characteristic was the fixed growth percentages which were not the product of any assumptions about base price</w:t>
      </w:r>
      <w:r w:rsidR="00D7158D">
        <w:t xml:space="preserve">, and </w:t>
      </w:r>
      <w:r w:rsidR="00DA75B8">
        <w:t xml:space="preserve">only happened to be expressed </w:t>
      </w:r>
      <w:r w:rsidR="00D7158D">
        <w:t xml:space="preserve">in </w:t>
      </w:r>
      <w:r w:rsidR="00DA75B8">
        <w:t xml:space="preserve">1993 constant prices because that was the base price year in use at the time.  </w:t>
      </w:r>
      <w:r w:rsidR="00113575">
        <w:t>However</w:t>
      </w:r>
      <w:r w:rsidR="00D7158D">
        <w:t>,</w:t>
      </w:r>
      <w:r w:rsidR="00113575">
        <w:t xml:space="preserve"> t</w:t>
      </w:r>
      <w:r w:rsidR="00FE4C52">
        <w:t xml:space="preserve">o my mind this does </w:t>
      </w:r>
      <w:r w:rsidR="00C92AA8">
        <w:t xml:space="preserve">not </w:t>
      </w:r>
      <w:r w:rsidR="00FE4C52">
        <w:t>meet the point</w:t>
      </w:r>
      <w:r w:rsidR="0018242B">
        <w:t>,</w:t>
      </w:r>
      <w:r w:rsidR="00915FD6">
        <w:t xml:space="preserve"> </w:t>
      </w:r>
      <w:r w:rsidR="00113575">
        <w:t>which is that there is an economic l</w:t>
      </w:r>
      <w:r w:rsidR="00C708F3">
        <w:t xml:space="preserve">ogic </w:t>
      </w:r>
      <w:r w:rsidR="00FE4C52">
        <w:t>in changing the base case</w:t>
      </w:r>
      <w:r w:rsidR="000A437E">
        <w:t xml:space="preserve"> growth prop</w:t>
      </w:r>
      <w:r w:rsidR="000F1E9B">
        <w:t>or</w:t>
      </w:r>
      <w:r w:rsidR="000A437E">
        <w:t>tions to ones which would apply in the new YOBP series</w:t>
      </w:r>
      <w:r w:rsidR="00D900D8">
        <w:t xml:space="preserve"> if</w:t>
      </w:r>
      <w:r w:rsidR="00915FD6">
        <w:t xml:space="preserve"> the comparator, real GDP, is being </w:t>
      </w:r>
      <w:r w:rsidR="00812E7B">
        <w:t>m</w:t>
      </w:r>
      <w:r w:rsidR="00915FD6">
        <w:t>easured in the new series</w:t>
      </w:r>
      <w:r w:rsidR="00A616C9">
        <w:t xml:space="preserve">, </w:t>
      </w:r>
      <w:r w:rsidR="00915FD6">
        <w:t>which</w:t>
      </w:r>
      <w:r w:rsidR="00812E7B">
        <w:t xml:space="preserve"> will have different growth proportions and trends because a change in series is not linear.  The</w:t>
      </w:r>
      <w:r w:rsidR="003D5C53">
        <w:t xml:space="preserve"> chart in constant 1993 prices may have used fixed percentages to produce the yearly figures, but th</w:t>
      </w:r>
      <w:r w:rsidR="001D240A">
        <w:t xml:space="preserve">ose percentages will </w:t>
      </w:r>
      <w:r w:rsidR="00A616C9">
        <w:t xml:space="preserve">nevertheless </w:t>
      </w:r>
      <w:r w:rsidR="001D240A">
        <w:t xml:space="preserve">necessarily be different if expressed in </w:t>
      </w:r>
      <w:r w:rsidR="000F1E9B">
        <w:t>a new YOBP.</w:t>
      </w:r>
      <w:r w:rsidR="0063635E">
        <w:t xml:space="preserve">  </w:t>
      </w:r>
      <w:r w:rsidR="00897BF2">
        <w:t xml:space="preserve">An adjustment for each year, to compare like with like, </w:t>
      </w:r>
      <w:r w:rsidR="003D2963">
        <w:t>i</w:t>
      </w:r>
      <w:r w:rsidR="00897BF2">
        <w:t xml:space="preserve">s </w:t>
      </w:r>
      <w:r w:rsidR="0063635E">
        <w:t>logical</w:t>
      </w:r>
      <w:r w:rsidR="009E62FE">
        <w:t>.</w:t>
      </w:r>
      <w:r w:rsidR="00897BF2">
        <w:t xml:space="preserve"> </w:t>
      </w:r>
      <w:r w:rsidR="006A78BF">
        <w:t xml:space="preserve">Dr Buiter, </w:t>
      </w:r>
      <w:r w:rsidR="000136B0">
        <w:t xml:space="preserve">the Claimants’ expert, </w:t>
      </w:r>
      <w:r w:rsidR="008738EA">
        <w:t xml:space="preserve">explained in his evidence </w:t>
      </w:r>
      <w:r w:rsidR="008D76E6">
        <w:t xml:space="preserve">that </w:t>
      </w:r>
      <w:r w:rsidR="00795941">
        <w:t xml:space="preserve">this made </w:t>
      </w:r>
      <w:r w:rsidR="003B6F8D">
        <w:t>it</w:t>
      </w:r>
      <w:r w:rsidR="00827E42">
        <w:t xml:space="preserve"> a </w:t>
      </w:r>
      <w:r w:rsidR="00795941">
        <w:t>more plausible solution than t</w:t>
      </w:r>
      <w:r w:rsidR="003B6F8D">
        <w:t>hat proposed by the Republic</w:t>
      </w:r>
      <w:r w:rsidR="00F872AB">
        <w:t xml:space="preserve">.  </w:t>
      </w:r>
      <w:r w:rsidR="007D6C86">
        <w:t xml:space="preserve">On any view it is one which </w:t>
      </w:r>
      <w:r w:rsidR="004C1FF6">
        <w:t>reasonable read</w:t>
      </w:r>
      <w:r w:rsidR="00A04BAB">
        <w:t xml:space="preserve">ers </w:t>
      </w:r>
      <w:r w:rsidR="004C1FF6">
        <w:t xml:space="preserve">of the provision in the parties’ shoes </w:t>
      </w:r>
      <w:r w:rsidR="00BA5B03">
        <w:t xml:space="preserve">might </w:t>
      </w:r>
      <w:r w:rsidR="00A04BAB">
        <w:t xml:space="preserve">treat </w:t>
      </w:r>
      <w:r w:rsidR="003B3574">
        <w:t>as a good reason for adopting an annual adjustment approach</w:t>
      </w:r>
      <w:r w:rsidR="00C43C4E">
        <w:t>, given that Dr Buiter’s expertise and good faith is not impugned</w:t>
      </w:r>
      <w:r w:rsidR="003B3574">
        <w:t xml:space="preserve">.  </w:t>
      </w:r>
    </w:p>
    <w:p w14:paraId="447BDAA8" w14:textId="5440BEAE" w:rsidR="002A271A" w:rsidRDefault="00D21E5E" w:rsidP="00F50D8D">
      <w:pPr>
        <w:pStyle w:val="ParaLevel1"/>
        <w:numPr>
          <w:ilvl w:val="0"/>
          <w:numId w:val="11"/>
        </w:numPr>
        <w:ind w:left="454" w:hanging="454"/>
      </w:pPr>
      <w:r>
        <w:t xml:space="preserve">Ms Prevezer’s second point </w:t>
      </w:r>
      <w:r w:rsidR="00F359F2">
        <w:t xml:space="preserve">is that the Claimants’ construction </w:t>
      </w:r>
      <w:r w:rsidR="00625274">
        <w:t xml:space="preserve">preserves the bargain and provides certainty because its effect is, as the experts agreed, that both the Level Condition and the Growth Condition will be </w:t>
      </w:r>
      <w:r w:rsidR="00A04BAB">
        <w:t xml:space="preserve">satisfied </w:t>
      </w:r>
      <w:r w:rsidR="00625274">
        <w:t>at a new YOBP if and only if they are satisfie</w:t>
      </w:r>
      <w:r w:rsidR="00105CEF">
        <w:t>d</w:t>
      </w:r>
      <w:r w:rsidR="00625274">
        <w:t xml:space="preserve"> in 1993 YOBP.  By contrast the One-Off construction</w:t>
      </w:r>
      <w:r w:rsidR="00BA5B03">
        <w:t xml:space="preserve">, she submitted, </w:t>
      </w:r>
      <w:r w:rsidR="00625274">
        <w:t>“moves the goalposts”</w:t>
      </w:r>
      <w:r w:rsidR="00B14BA5">
        <w:t>.</w:t>
      </w:r>
      <w:r w:rsidR="00B14BA5" w:rsidRPr="00B14BA5">
        <w:t xml:space="preserve"> </w:t>
      </w:r>
      <w:r w:rsidR="00BA5B03">
        <w:t xml:space="preserve"> </w:t>
      </w:r>
      <w:r w:rsidR="00B14BA5">
        <w:t>Mr Railton criticised the argument as question-begging and conclusory, assuming what it set out to prove.  The bargain is only preserved if the bargain was the Claimants’ construction of the provision, and the One</w:t>
      </w:r>
      <w:r w:rsidR="00D12B6B">
        <w:t>-</w:t>
      </w:r>
      <w:r w:rsidR="00B14BA5">
        <w:t>Off construction only had goalposts in a different place in the sense that it produced a different result from that produced on the Claimants’ construction.  This is a valid criticism.</w:t>
      </w:r>
    </w:p>
    <w:p w14:paraId="5D06D32C" w14:textId="0E65E016" w:rsidR="00105A2B" w:rsidRDefault="00E2514D" w:rsidP="00F50D8D">
      <w:pPr>
        <w:pStyle w:val="ParaLevel1"/>
        <w:numPr>
          <w:ilvl w:val="0"/>
          <w:numId w:val="11"/>
        </w:numPr>
        <w:ind w:left="454" w:hanging="454"/>
      </w:pPr>
      <w:r>
        <w:t xml:space="preserve">There is force, however, in </w:t>
      </w:r>
      <w:r w:rsidR="002A271A">
        <w:t xml:space="preserve">Ms Prevezer’s </w:t>
      </w:r>
      <w:r w:rsidR="00B14BA5">
        <w:t>third point</w:t>
      </w:r>
      <w:r>
        <w:t>,</w:t>
      </w:r>
      <w:r w:rsidR="00B14BA5">
        <w:t xml:space="preserve"> </w:t>
      </w:r>
      <w:r>
        <w:t xml:space="preserve">which is </w:t>
      </w:r>
      <w:r w:rsidR="005B1EBC">
        <w:t xml:space="preserve">that </w:t>
      </w:r>
      <w:r w:rsidR="00B14BA5">
        <w:t xml:space="preserve">the Republic’s construction is arbitrary.  </w:t>
      </w:r>
      <w:r w:rsidR="00C35165">
        <w:t xml:space="preserve">It resets the table </w:t>
      </w:r>
      <w:r w:rsidR="00904B30">
        <w:t xml:space="preserve">once for the remaining </w:t>
      </w:r>
      <w:r w:rsidR="00C35165">
        <w:t xml:space="preserve">duration of </w:t>
      </w:r>
      <w:r w:rsidR="002B3F6C">
        <w:t xml:space="preserve">the Security </w:t>
      </w:r>
      <w:r w:rsidR="002B3F6C">
        <w:lastRenderedPageBreak/>
        <w:t xml:space="preserve">(until a further rebasing) </w:t>
      </w:r>
      <w:r w:rsidR="00CE6ACB">
        <w:t>triggered by the choice of which</w:t>
      </w:r>
      <w:r w:rsidR="0079755D">
        <w:t xml:space="preserve"> </w:t>
      </w:r>
      <w:r w:rsidR="00CE6ACB">
        <w:t xml:space="preserve">year to use as the rebasing year </w:t>
      </w:r>
      <w:r w:rsidR="0079755D">
        <w:t xml:space="preserve">and by reference to the preceding year, the Overlap Year.  </w:t>
      </w:r>
      <w:r w:rsidR="00B008A1">
        <w:t xml:space="preserve">That is arbitrary in two respects.  </w:t>
      </w:r>
      <w:r w:rsidR="00904909">
        <w:t xml:space="preserve">The first is in the Overlap Year </w:t>
      </w:r>
      <w:r w:rsidR="00C0212F">
        <w:t>being used as the com</w:t>
      </w:r>
      <w:r w:rsidR="00904909">
        <w:t xml:space="preserve">parator.  </w:t>
      </w:r>
      <w:r w:rsidR="008243B6">
        <w:t>A different result would be achieved, for th</w:t>
      </w:r>
      <w:r w:rsidR="001B188E">
        <w:t xml:space="preserve">at </w:t>
      </w:r>
      <w:r w:rsidR="008243B6">
        <w:t xml:space="preserve">duration, if </w:t>
      </w:r>
      <w:r w:rsidR="002933C2">
        <w:t xml:space="preserve">instead of the Overlap Year </w:t>
      </w:r>
      <w:r w:rsidR="008243B6">
        <w:t xml:space="preserve">a different year </w:t>
      </w:r>
      <w:r w:rsidR="00EB6EA2">
        <w:t>or series of years</w:t>
      </w:r>
      <w:r w:rsidR="008E3EB0">
        <w:t xml:space="preserve"> </w:t>
      </w:r>
      <w:r w:rsidR="00891BEC">
        <w:t xml:space="preserve">were used </w:t>
      </w:r>
      <w:r w:rsidR="008E3EB0">
        <w:t>as the comparator</w:t>
      </w:r>
      <w:r w:rsidR="002933C2">
        <w:t xml:space="preserve">, </w:t>
      </w:r>
      <w:r w:rsidR="00FC05BD">
        <w:t xml:space="preserve">namely the YOBP year itself (2004), </w:t>
      </w:r>
      <w:r w:rsidR="005423CF">
        <w:t>or a</w:t>
      </w:r>
      <w:r w:rsidR="00115C1D">
        <w:t>n average of previous years</w:t>
      </w:r>
      <w:r w:rsidR="006A2696">
        <w:t>, or the first rebasing year (2013)</w:t>
      </w:r>
      <w:r w:rsidR="00E84CBA">
        <w:t>, any of which would be more or at least equally logical.</w:t>
      </w:r>
      <w:r w:rsidR="006E233E">
        <w:t xml:space="preserve">  </w:t>
      </w:r>
      <w:r w:rsidR="00891BEC">
        <w:t xml:space="preserve">It is also arbitrary because </w:t>
      </w:r>
      <w:r w:rsidR="008C35C5">
        <w:t xml:space="preserve">it fixes the </w:t>
      </w:r>
      <w:r w:rsidR="000831DB">
        <w:t xml:space="preserve">adjusted base case levels in a way which will differ according to the </w:t>
      </w:r>
      <w:r w:rsidR="00176557">
        <w:t>happenstance of the tim</w:t>
      </w:r>
      <w:r w:rsidR="00654851">
        <w:t xml:space="preserve">ing </w:t>
      </w:r>
      <w:r w:rsidR="00FD43D0">
        <w:t>o</w:t>
      </w:r>
      <w:r w:rsidR="00176557">
        <w:t xml:space="preserve">f the </w:t>
      </w:r>
      <w:r w:rsidR="0001390C">
        <w:t>introduction of the new YOBP</w:t>
      </w:r>
      <w:r w:rsidR="00FD43D0">
        <w:t xml:space="preserve">.  </w:t>
      </w:r>
      <w:r w:rsidR="0004256E">
        <w:t>So in this case</w:t>
      </w:r>
      <w:r w:rsidR="00163AF5">
        <w:t>, the Republic having published the first thre</w:t>
      </w:r>
      <w:r w:rsidR="009118D7">
        <w:t>e</w:t>
      </w:r>
      <w:r w:rsidR="006A2696">
        <w:t xml:space="preserve"> </w:t>
      </w:r>
      <w:r w:rsidR="00163AF5">
        <w:t>quarterly figures for 2013</w:t>
      </w:r>
      <w:r w:rsidR="00017FE3">
        <w:t xml:space="preserve"> in 199</w:t>
      </w:r>
      <w:r w:rsidR="006A2696">
        <w:t>3</w:t>
      </w:r>
      <w:r w:rsidR="00017FE3">
        <w:t xml:space="preserve"> YOBP, and having the data available to do so for the fourth quarter, might have published the annual GDP for 2013 in 1993 YOBP and made 2014 the first year in which to publish quarterly and annual figures in 2004 YOBP.  </w:t>
      </w:r>
      <w:r w:rsidR="006F55B0">
        <w:t xml:space="preserve">Had it done the latter, it would have resulted in payment being due for 2013.  </w:t>
      </w:r>
    </w:p>
    <w:p w14:paraId="02B90C1A" w14:textId="3492706F" w:rsidR="00186EAF" w:rsidRDefault="00083A2D" w:rsidP="00F50D8D">
      <w:pPr>
        <w:pStyle w:val="ParaLevel1"/>
        <w:numPr>
          <w:ilvl w:val="0"/>
          <w:numId w:val="11"/>
        </w:numPr>
        <w:ind w:left="454" w:hanging="454"/>
      </w:pPr>
      <w:r>
        <w:t xml:space="preserve">Ms Prevezer’s </w:t>
      </w:r>
      <w:r w:rsidR="00BB3B2F">
        <w:t xml:space="preserve">fourth </w:t>
      </w:r>
      <w:r>
        <w:t xml:space="preserve">point was to </w:t>
      </w:r>
      <w:r w:rsidR="001A5451">
        <w:t xml:space="preserve">build on her </w:t>
      </w:r>
      <w:r w:rsidR="00BB3B2F">
        <w:t xml:space="preserve">third, </w:t>
      </w:r>
      <w:r w:rsidR="00814EC0">
        <w:t xml:space="preserve">by an argument of </w:t>
      </w:r>
      <w:r w:rsidR="00E973F4">
        <w:t>m</w:t>
      </w:r>
      <w:r w:rsidR="00814EC0">
        <w:t xml:space="preserve">oral hazard, </w:t>
      </w:r>
      <w:r w:rsidR="00D51A34" w:rsidRPr="00D51A34">
        <w:t xml:space="preserve">namely that holders would not want to put their entitlement under the </w:t>
      </w:r>
      <w:r w:rsidR="00811F2F">
        <w:t xml:space="preserve">Securities </w:t>
      </w:r>
      <w:r w:rsidR="00D51A34" w:rsidRPr="00D51A34">
        <w:t xml:space="preserve">at the mercy of </w:t>
      </w:r>
      <w:r w:rsidR="00065FC8">
        <w:t xml:space="preserve">a choice of when to </w:t>
      </w:r>
      <w:r w:rsidR="0050544E">
        <w:t xml:space="preserve">introduce the new rebasing </w:t>
      </w:r>
      <w:r w:rsidR="00D51A34" w:rsidRPr="00D51A34">
        <w:t>by the Republic</w:t>
      </w:r>
      <w:r w:rsidR="00811F2F">
        <w:t>,</w:t>
      </w:r>
      <w:r w:rsidR="00D51A34" w:rsidRPr="00D51A34">
        <w:t xml:space="preserve"> wh</w:t>
      </w:r>
      <w:r w:rsidR="005A2D3A">
        <w:t xml:space="preserve">ich </w:t>
      </w:r>
      <w:r w:rsidR="00D51A34" w:rsidRPr="00D51A34">
        <w:t>could manipulate the choice to minimise its payments</w:t>
      </w:r>
      <w:r w:rsidR="00FA53CA">
        <w:t>, and had a history, as she put it, of not being a model</w:t>
      </w:r>
      <w:r w:rsidR="00CE67D1">
        <w:t xml:space="preserve"> economic performer.</w:t>
      </w:r>
      <w:r w:rsidR="00D51A34" w:rsidRPr="00D51A34">
        <w:t xml:space="preserve">  </w:t>
      </w:r>
    </w:p>
    <w:p w14:paraId="1A052966" w14:textId="77777777" w:rsidR="00186EAF" w:rsidRDefault="00D51A34" w:rsidP="00F50D8D">
      <w:pPr>
        <w:pStyle w:val="ParaLevel1"/>
        <w:numPr>
          <w:ilvl w:val="0"/>
          <w:numId w:val="11"/>
        </w:numPr>
        <w:ind w:left="454" w:hanging="454"/>
      </w:pPr>
      <w:r w:rsidRPr="00D51A34">
        <w:t>Mr Railton</w:t>
      </w:r>
      <w:r w:rsidR="00065FC8">
        <w:t xml:space="preserve"> had several answers.  The first was </w:t>
      </w:r>
      <w:r w:rsidR="002158BD">
        <w:t xml:space="preserve">that the moral hazard would be </w:t>
      </w:r>
      <w:r w:rsidR="00D466B4">
        <w:t xml:space="preserve">met by the </w:t>
      </w:r>
      <w:r w:rsidR="00ED4743">
        <w:t>implied term</w:t>
      </w:r>
      <w:r w:rsidR="00461022">
        <w:t xml:space="preserve"> </w:t>
      </w:r>
      <w:r w:rsidR="00DD6ACB">
        <w:t>that the Republic could not exercise any function for improper purposes or in a way which was irrational</w:t>
      </w:r>
      <w:r w:rsidR="00BB3B2F">
        <w:t>,</w:t>
      </w:r>
      <w:r w:rsidR="00DD6ACB">
        <w:t xml:space="preserve"> arbitrary or capricious </w:t>
      </w:r>
      <w:r w:rsidR="00461022">
        <w:t>(</w:t>
      </w:r>
      <w:r w:rsidR="00496361" w:rsidRPr="00496361">
        <w:rPr>
          <w:i/>
          <w:iCs/>
        </w:rPr>
        <w:t>Braganza v BP Shipping Ltd</w:t>
      </w:r>
      <w:r w:rsidR="00496361" w:rsidRPr="00496361">
        <w:t xml:space="preserve"> [2015] UKSC 17 </w:t>
      </w:r>
      <w:r w:rsidR="00496361">
        <w:t xml:space="preserve">[2015] 1 WLR </w:t>
      </w:r>
      <w:r w:rsidR="00DD6ACB">
        <w:t>1661</w:t>
      </w:r>
      <w:r w:rsidR="00BB3B2F">
        <w:t>)</w:t>
      </w:r>
      <w:r w:rsidR="00F334FA">
        <w:t xml:space="preserve">. </w:t>
      </w:r>
      <w:r w:rsidR="00DD6ACB">
        <w:t xml:space="preserve"> </w:t>
      </w:r>
      <w:r w:rsidRPr="00D51A34">
        <w:t xml:space="preserve">I would agree that the </w:t>
      </w:r>
      <w:r w:rsidRPr="00535F04">
        <w:rPr>
          <w:i/>
          <w:iCs/>
        </w:rPr>
        <w:t>Br</w:t>
      </w:r>
      <w:r w:rsidR="00535F04">
        <w:rPr>
          <w:i/>
          <w:iCs/>
        </w:rPr>
        <w:t>a</w:t>
      </w:r>
      <w:r w:rsidRPr="00535F04">
        <w:rPr>
          <w:i/>
          <w:iCs/>
        </w:rPr>
        <w:t>ganza</w:t>
      </w:r>
      <w:r w:rsidRPr="00D51A34">
        <w:t xml:space="preserve"> implied term would reduce the moral hazard, but not that it would eliminate it.  It only constrains </w:t>
      </w:r>
      <w:r w:rsidR="00461022">
        <w:t>improper</w:t>
      </w:r>
      <w:r w:rsidR="00E87635">
        <w:t xml:space="preserve">, capricious, </w:t>
      </w:r>
      <w:r w:rsidRPr="00D51A34">
        <w:t>arbitrary or irrational choices, not those amongst a range of permissible options which is selecte</w:t>
      </w:r>
      <w:r w:rsidR="00D916FD">
        <w:t>d</w:t>
      </w:r>
      <w:r w:rsidR="00E87635">
        <w:t xml:space="preserve"> </w:t>
      </w:r>
      <w:r w:rsidRPr="00D51A34">
        <w:t>on the grounds of self</w:t>
      </w:r>
      <w:r w:rsidR="00D466B4">
        <w:t>-</w:t>
      </w:r>
      <w:r w:rsidRPr="00D51A34">
        <w:t>interest.</w:t>
      </w:r>
      <w:r w:rsidR="00E87635">
        <w:t xml:space="preserve">  </w:t>
      </w:r>
      <w:r w:rsidR="00717916">
        <w:t>If</w:t>
      </w:r>
      <w:r w:rsidR="00B10D21">
        <w:t xml:space="preserve"> the methodology for a new YOBP is </w:t>
      </w:r>
      <w:r w:rsidR="00D466B4">
        <w:t xml:space="preserve">completed </w:t>
      </w:r>
      <w:r w:rsidR="00B10D21">
        <w:t>during the course of a year</w:t>
      </w:r>
      <w:r w:rsidR="003407F1">
        <w:t>, the Republic might choose to publish</w:t>
      </w:r>
      <w:r w:rsidR="00D466B4">
        <w:t xml:space="preserve"> </w:t>
      </w:r>
      <w:r w:rsidR="003407F1">
        <w:t xml:space="preserve">its annual figures for that year in the new YOBP notwithstanding that quarterly figures had been published in the old YOBP, or wait until the </w:t>
      </w:r>
      <w:r w:rsidR="00CF74D6">
        <w:t>following y</w:t>
      </w:r>
      <w:r w:rsidR="003407F1">
        <w:t xml:space="preserve">ear to publish both quarterly and annual figures in the new YOBP.  </w:t>
      </w:r>
      <w:r w:rsidR="00E87635">
        <w:t xml:space="preserve">Choosing a year in which to introduce new YOBP </w:t>
      </w:r>
      <w:r w:rsidR="006E4A22">
        <w:t xml:space="preserve">between two </w:t>
      </w:r>
      <w:r w:rsidR="0046633F">
        <w:t xml:space="preserve">such </w:t>
      </w:r>
      <w:r w:rsidR="006E4A22">
        <w:t xml:space="preserve">candidates could take account of the </w:t>
      </w:r>
      <w:r w:rsidR="00A80327">
        <w:t>effect</w:t>
      </w:r>
      <w:r w:rsidR="00A2156E">
        <w:t xml:space="preserve"> on available revenues, which the operation of the Securities would affect. </w:t>
      </w:r>
      <w:r w:rsidR="009118D7">
        <w:t xml:space="preserve"> </w:t>
      </w:r>
      <w:r w:rsidR="0046633F">
        <w:t xml:space="preserve">Whether </w:t>
      </w:r>
      <w:r w:rsidR="002930F6">
        <w:t xml:space="preserve">or not that </w:t>
      </w:r>
      <w:r w:rsidR="0046633F">
        <w:t xml:space="preserve">is accurately </w:t>
      </w:r>
      <w:r w:rsidR="002930F6">
        <w:t xml:space="preserve">described </w:t>
      </w:r>
      <w:r w:rsidR="00A1157D">
        <w:t xml:space="preserve">as a moral hazard, it is nevertheless a hazard which investors could sensibly and rationally </w:t>
      </w:r>
      <w:r w:rsidR="00A53451">
        <w:t xml:space="preserve">have </w:t>
      </w:r>
      <w:r w:rsidR="00A1157D">
        <w:t>wished to avoid</w:t>
      </w:r>
      <w:r w:rsidR="00CF74D6">
        <w:t xml:space="preserve"> having a</w:t>
      </w:r>
      <w:r w:rsidR="00A53451">
        <w:t>n</w:t>
      </w:r>
      <w:r w:rsidR="00CF74D6">
        <w:t xml:space="preserve"> effect on the rebased chart for a lengthy period</w:t>
      </w:r>
      <w:r w:rsidR="00A53451">
        <w:t xml:space="preserve">. </w:t>
      </w:r>
      <w:r w:rsidR="00D466B4">
        <w:t xml:space="preserve"> </w:t>
      </w:r>
    </w:p>
    <w:p w14:paraId="6F289A09" w14:textId="77777777" w:rsidR="00186EAF" w:rsidRDefault="00D466B4" w:rsidP="00F50D8D">
      <w:pPr>
        <w:pStyle w:val="ParaLevel1"/>
        <w:numPr>
          <w:ilvl w:val="0"/>
          <w:numId w:val="11"/>
        </w:numPr>
        <w:ind w:left="454" w:hanging="454"/>
      </w:pPr>
      <w:r>
        <w:t>Mr Railton</w:t>
      </w:r>
      <w:r w:rsidR="00AF4F62">
        <w:t xml:space="preserve"> also relied on </w:t>
      </w:r>
      <w:r w:rsidR="00A56078">
        <w:t xml:space="preserve">the </w:t>
      </w:r>
      <w:r w:rsidR="00AF4F62">
        <w:t xml:space="preserve">expert evidence </w:t>
      </w:r>
      <w:r w:rsidR="009E7FAA">
        <w:t xml:space="preserve">of Dr Buiter </w:t>
      </w:r>
      <w:r w:rsidR="00AF4F62">
        <w:t xml:space="preserve">that generally countries would wish </w:t>
      </w:r>
      <w:r w:rsidR="0056501F">
        <w:t>accurately to state their GDP rather than underestimate it.  This is not</w:t>
      </w:r>
      <w:r w:rsidR="00BF1764">
        <w:t>, however, a complete answer as to whether investors would be prepared to trust the Republic to do so given</w:t>
      </w:r>
      <w:r w:rsidR="00B52443">
        <w:t xml:space="preserve"> </w:t>
      </w:r>
      <w:r w:rsidR="00BF1764">
        <w:t>its economic history</w:t>
      </w:r>
      <w:r w:rsidR="009118D7">
        <w:t>;</w:t>
      </w:r>
      <w:r w:rsidR="004805C3">
        <w:t xml:space="preserve"> and nor </w:t>
      </w:r>
      <w:r w:rsidR="001977A1">
        <w:t xml:space="preserve">would it be the only consideration relevant to </w:t>
      </w:r>
      <w:r w:rsidR="00FA29C8">
        <w:t>the choice which arise</w:t>
      </w:r>
      <w:r w:rsidR="00A56078">
        <w:t>s</w:t>
      </w:r>
      <w:r w:rsidR="00FA29C8">
        <w:t xml:space="preserve"> when the new YOBP methodology becomes a</w:t>
      </w:r>
      <w:r w:rsidR="001977A1">
        <w:t>vailable mid-year.</w:t>
      </w:r>
    </w:p>
    <w:p w14:paraId="566DAD30" w14:textId="46B96DEB" w:rsidR="00D51A34" w:rsidRDefault="00BF1764" w:rsidP="00F50D8D">
      <w:pPr>
        <w:pStyle w:val="ParaLevel1"/>
        <w:numPr>
          <w:ilvl w:val="0"/>
          <w:numId w:val="11"/>
        </w:numPr>
        <w:ind w:left="454" w:hanging="454"/>
      </w:pPr>
      <w:r>
        <w:t>Ultimately Mr Railton submitted that t</w:t>
      </w:r>
      <w:r w:rsidR="00B52443">
        <w:t>h</w:t>
      </w:r>
      <w:r>
        <w:t xml:space="preserve">is consideration paled into insignificance by comparison with the </w:t>
      </w:r>
      <w:r w:rsidR="00D56F5F">
        <w:t xml:space="preserve">economic and commercial consequences of the Claimants’ construction.  I </w:t>
      </w:r>
      <w:r w:rsidR="00186EAF">
        <w:t xml:space="preserve">disagree.  </w:t>
      </w:r>
      <w:r w:rsidR="00D56F5F">
        <w:t>The moral ha</w:t>
      </w:r>
      <w:r w:rsidR="00B52443">
        <w:t>zard is a real and significant reason why investors might not have wanted to adopt the consequences of the One</w:t>
      </w:r>
      <w:r w:rsidR="007C4515">
        <w:t>-</w:t>
      </w:r>
      <w:r w:rsidR="00B52443">
        <w:t>Off construction.</w:t>
      </w:r>
    </w:p>
    <w:p w14:paraId="03E1EFCB" w14:textId="4B38A91A" w:rsidR="00DB5A0B" w:rsidRDefault="00CF7DC6" w:rsidP="00F50D8D">
      <w:pPr>
        <w:pStyle w:val="ParaLevel1"/>
        <w:numPr>
          <w:ilvl w:val="0"/>
          <w:numId w:val="11"/>
        </w:numPr>
        <w:ind w:left="454" w:hanging="454"/>
      </w:pPr>
      <w:r>
        <w:t>Ms Prevezer’s f</w:t>
      </w:r>
      <w:r w:rsidR="00286EFD">
        <w:t xml:space="preserve">ifth </w:t>
      </w:r>
      <w:r>
        <w:t xml:space="preserve">point was that </w:t>
      </w:r>
      <w:r w:rsidR="009252AB">
        <w:t>t</w:t>
      </w:r>
      <w:r>
        <w:t xml:space="preserve">he One-Off construction breaks the proportional </w:t>
      </w:r>
      <w:r w:rsidR="009252AB">
        <w:t xml:space="preserve">link </w:t>
      </w:r>
      <w:r>
        <w:t>between changes in Actual Nominal GDP and changes in the Payment Amount</w:t>
      </w:r>
      <w:r w:rsidR="00017D17">
        <w:t xml:space="preserve">, whereas the Annual Adjustment construction preserves it.  </w:t>
      </w:r>
      <w:r w:rsidR="002A13F4">
        <w:t>A</w:t>
      </w:r>
      <w:r w:rsidR="00141DBE">
        <w:t xml:space="preserve">s the Judge explained at </w:t>
      </w:r>
      <w:r w:rsidR="00107AA2">
        <w:t>[224]</w:t>
      </w:r>
      <w:r w:rsidR="002A13F4">
        <w:t>,</w:t>
      </w:r>
      <w:r w:rsidR="00107AA2">
        <w:t xml:space="preserve"> the One-Off Construction can create a scenario in which </w:t>
      </w:r>
      <w:r w:rsidR="00813A1C">
        <w:t xml:space="preserve">the level and growth rate of Actual </w:t>
      </w:r>
      <w:r w:rsidR="00813A1C">
        <w:lastRenderedPageBreak/>
        <w:t xml:space="preserve">Real GDP and </w:t>
      </w:r>
      <w:r w:rsidR="00844B9F">
        <w:t>Actual Nominal GDP all go up in a given year but the Payment Amount goes down</w:t>
      </w:r>
      <w:r w:rsidR="000A08B9">
        <w:t>,</w:t>
      </w:r>
      <w:r w:rsidR="00844B9F">
        <w:t xml:space="preserve"> or vice-versa.  </w:t>
      </w:r>
      <w:r w:rsidR="00D54E42">
        <w:t>Mr Railton accepted that this was so</w:t>
      </w:r>
      <w:r w:rsidR="00155252">
        <w:t xml:space="preserve"> mathematically, by reference to the definitions, but submitted that </w:t>
      </w:r>
      <w:r w:rsidR="00B441AD">
        <w:t>t</w:t>
      </w:r>
      <w:r w:rsidR="00155252">
        <w:t>hat did not provide any economic justification</w:t>
      </w:r>
      <w:r w:rsidR="00A21A06">
        <w:t xml:space="preserve"> for the Claimants’ construction</w:t>
      </w:r>
      <w:r w:rsidR="00155252">
        <w:t xml:space="preserve">; it </w:t>
      </w:r>
      <w:r w:rsidR="00FF6F62">
        <w:t xml:space="preserve">was </w:t>
      </w:r>
      <w:r w:rsidR="00A21A06">
        <w:t xml:space="preserve">simply </w:t>
      </w:r>
      <w:r w:rsidR="00FF6F62">
        <w:t xml:space="preserve">the concomitant of tying performance to the 1993 constant prices for which there could be no sensible justification.  </w:t>
      </w:r>
      <w:r w:rsidR="00CC3F42">
        <w:t>All it tells you, he submitted</w:t>
      </w:r>
      <w:r w:rsidR="00A21A06">
        <w:t>,</w:t>
      </w:r>
      <w:r w:rsidR="00CC3F42">
        <w:t xml:space="preserve"> is that</w:t>
      </w:r>
      <w:r w:rsidR="00E016E5">
        <w:t xml:space="preserve"> after a rebasing the Republic is paying something pr</w:t>
      </w:r>
      <w:r w:rsidR="003414D9">
        <w:t>o</w:t>
      </w:r>
      <w:r w:rsidR="00E016E5">
        <w:t>p</w:t>
      </w:r>
      <w:r w:rsidR="00B441AD">
        <w:t>o</w:t>
      </w:r>
      <w:r w:rsidR="00E016E5">
        <w:t>rtionately different</w:t>
      </w:r>
      <w:r w:rsidR="003414D9">
        <w:t>, on the One</w:t>
      </w:r>
      <w:r w:rsidR="00B441AD">
        <w:t>-</w:t>
      </w:r>
      <w:r w:rsidR="003414D9">
        <w:t>Off construction, from what</w:t>
      </w:r>
      <w:r w:rsidR="00B441AD">
        <w:t xml:space="preserve"> </w:t>
      </w:r>
      <w:r w:rsidR="003414D9">
        <w:t>it would pay without the rebasing</w:t>
      </w:r>
      <w:r w:rsidR="005D3456">
        <w:t>;</w:t>
      </w:r>
      <w:r w:rsidR="003414D9">
        <w:t xml:space="preserve"> but</w:t>
      </w:r>
      <w:r w:rsidR="00AD62E7">
        <w:t xml:space="preserve"> it is not telling you anything about whether the rebased economy is doing better or worse than the 1993 measure.  </w:t>
      </w:r>
      <w:r w:rsidR="00D54E42">
        <w:t xml:space="preserve"> </w:t>
      </w:r>
      <w:r w:rsidR="00B441AD">
        <w:t>Ms Prevezer submitted that this was nevertheless economically significant and a reason why parties might have wanted to adopt the Annual Adjustment</w:t>
      </w:r>
      <w:r w:rsidR="00DB5A0B">
        <w:t xml:space="preserve"> solution</w:t>
      </w:r>
      <w:r w:rsidR="0063578F">
        <w:t xml:space="preserve"> because of the economic consequences the Judge identified</w:t>
      </w:r>
      <w:r w:rsidR="006F2853">
        <w:t>, which were common ground between the experts</w:t>
      </w:r>
      <w:r w:rsidR="0063578F">
        <w:t xml:space="preserve">.  </w:t>
      </w:r>
      <w:r w:rsidR="00DB5A0B">
        <w:t xml:space="preserve"> I agree with Ms Prevezer</w:t>
      </w:r>
      <w:r w:rsidR="00AC1AFE">
        <w:t xml:space="preserve"> and the Judge.</w:t>
      </w:r>
    </w:p>
    <w:p w14:paraId="3C27F341" w14:textId="09F49CEE" w:rsidR="00264DE4" w:rsidRDefault="009252AB" w:rsidP="00F50D8D">
      <w:pPr>
        <w:pStyle w:val="ParaLevel1"/>
        <w:numPr>
          <w:ilvl w:val="0"/>
          <w:numId w:val="11"/>
        </w:numPr>
        <w:ind w:left="454" w:hanging="454"/>
      </w:pPr>
      <w:r>
        <w:t xml:space="preserve">Ms Prevezer’s </w:t>
      </w:r>
      <w:r w:rsidR="00AB012A">
        <w:t xml:space="preserve">sixth </w:t>
      </w:r>
      <w:r>
        <w:t xml:space="preserve">point was </w:t>
      </w:r>
      <w:r w:rsidR="003D3C28">
        <w:t xml:space="preserve">to </w:t>
      </w:r>
      <w:r w:rsidR="00911F23">
        <w:t>m</w:t>
      </w:r>
      <w:r w:rsidR="003D3C28">
        <w:t>eet Mr Railton’s submission tha</w:t>
      </w:r>
      <w:r w:rsidR="00911F23">
        <w:t xml:space="preserve">t tying the Securities to 1993 constant pricing for the entire duration of the Securities made no commercial sense.  </w:t>
      </w:r>
      <w:r w:rsidR="009B1AF7">
        <w:t>Mr Railton asked, rhetorically, why any</w:t>
      </w:r>
      <w:r w:rsidR="002C174C">
        <w:t xml:space="preserve"> investors </w:t>
      </w:r>
      <w:r w:rsidR="00902A36">
        <w:t xml:space="preserve">would </w:t>
      </w:r>
      <w:r w:rsidR="009B1AF7">
        <w:t xml:space="preserve">want to tie themselves to measuring growth in GDP </w:t>
      </w:r>
      <w:r w:rsidR="0060380D">
        <w:t>for 30 year</w:t>
      </w:r>
      <w:r w:rsidR="006C6D42">
        <w:t xml:space="preserve">s </w:t>
      </w:r>
      <w:r w:rsidR="009B1AF7">
        <w:t xml:space="preserve">by reference to an outdated and obsolete </w:t>
      </w:r>
      <w:r w:rsidR="0060380D">
        <w:t xml:space="preserve">base price methodology which over that time would become further and further removed </w:t>
      </w:r>
      <w:r w:rsidR="00EF305A">
        <w:t>from the true economy and a decreasingly reliable measure of it</w:t>
      </w:r>
      <w:r w:rsidR="00290A2A">
        <w:t xml:space="preserve">, and thereby </w:t>
      </w:r>
      <w:r w:rsidR="00C15E11">
        <w:t xml:space="preserve">be </w:t>
      </w:r>
      <w:r w:rsidR="00290A2A">
        <w:t>excluded from the benefit of economic growth in the real economy which is not caught  by the 1993 measurement</w:t>
      </w:r>
      <w:r w:rsidR="00C15E11">
        <w:t>.</w:t>
      </w:r>
      <w:r w:rsidR="00EF305A">
        <w:t xml:space="preserve">  </w:t>
      </w:r>
      <w:r w:rsidR="00716E83">
        <w:t xml:space="preserve">He referred to a </w:t>
      </w:r>
      <w:r w:rsidR="00944D83">
        <w:t xml:space="preserve">book </w:t>
      </w:r>
      <w:r w:rsidR="00722D33">
        <w:t xml:space="preserve">published by a Mr Williamson in 2017 </w:t>
      </w:r>
      <w:r w:rsidR="00C32896">
        <w:t>m</w:t>
      </w:r>
      <w:r w:rsidR="00716E83">
        <w:t>aking the point that no one would want to do so.</w:t>
      </w:r>
      <w:r w:rsidR="00B016E4" w:rsidRPr="00B016E4">
        <w:t xml:space="preserve"> </w:t>
      </w:r>
      <w:r w:rsidR="00722D33">
        <w:t xml:space="preserve"> </w:t>
      </w:r>
      <w:r w:rsidR="00B016E4">
        <w:t>Mr Williamson’s status and credentials are not</w:t>
      </w:r>
      <w:r w:rsidR="0098012C">
        <w:t xml:space="preserve"> apparent, but the point does not depend upon his promotion of it: its reasoning </w:t>
      </w:r>
      <w:r w:rsidR="00264DE4">
        <w:t>speaks for itself.</w:t>
      </w:r>
    </w:p>
    <w:p w14:paraId="09297E43" w14:textId="401B8966" w:rsidR="006D7EAE" w:rsidRDefault="00A2449D" w:rsidP="00F50D8D">
      <w:pPr>
        <w:pStyle w:val="ParaLevel1"/>
        <w:numPr>
          <w:ilvl w:val="0"/>
          <w:numId w:val="11"/>
        </w:numPr>
        <w:ind w:left="454" w:hanging="454"/>
      </w:pPr>
      <w:r>
        <w:t xml:space="preserve">Against that, Ms Prevezer submitted </w:t>
      </w:r>
      <w:r w:rsidR="006C6D42">
        <w:t xml:space="preserve">that there is nothing uncommercial in parties tying themselves to </w:t>
      </w:r>
      <w:r w:rsidR="00555D3F">
        <w:t>“</w:t>
      </w:r>
      <w:r w:rsidR="006C6D42">
        <w:t>the devil they know</w:t>
      </w:r>
      <w:r>
        <w:t>”</w:t>
      </w:r>
      <w:r w:rsidR="006C6D42">
        <w:t xml:space="preserve"> in 1993 YOBP pricing.  </w:t>
      </w:r>
      <w:r w:rsidR="00833032">
        <w:t xml:space="preserve">She drew an analogy with </w:t>
      </w:r>
      <w:r w:rsidR="00476FBB">
        <w:t xml:space="preserve">UK </w:t>
      </w:r>
      <w:r w:rsidR="00833032">
        <w:t>inflation linked gilts</w:t>
      </w:r>
      <w:r w:rsidR="001F7394">
        <w:t>, m</w:t>
      </w:r>
      <w:r w:rsidR="00833032">
        <w:t>easured by reference to the Retail Price Index</w:t>
      </w:r>
      <w:r w:rsidR="001F7394">
        <w:t>,</w:t>
      </w:r>
      <w:r w:rsidR="005B57BE">
        <w:t xml:space="preserve"> which remain so linked despite the inflation meas</w:t>
      </w:r>
      <w:r w:rsidR="00182973">
        <w:t xml:space="preserve">ure </w:t>
      </w:r>
      <w:r w:rsidR="005B57BE">
        <w:t xml:space="preserve">used by the Government </w:t>
      </w:r>
      <w:r w:rsidR="00182973">
        <w:t>changing to what it regards as a</w:t>
      </w:r>
      <w:r w:rsidR="001F7394">
        <w:t>n improved measure</w:t>
      </w:r>
      <w:r w:rsidR="00EC5ED7">
        <w:t xml:space="preserve"> </w:t>
      </w:r>
      <w:r w:rsidR="001F7394">
        <w:t xml:space="preserve">of inflation, </w:t>
      </w:r>
      <w:r w:rsidR="00182973">
        <w:t xml:space="preserve">the Consumer Price Index.  </w:t>
      </w:r>
      <w:r w:rsidR="0000392D">
        <w:t xml:space="preserve">Although she did not develop this reasoning, it </w:t>
      </w:r>
      <w:r w:rsidR="00E64405">
        <w:t xml:space="preserve">captures the point </w:t>
      </w:r>
      <w:r w:rsidR="0000392D">
        <w:t xml:space="preserve">that </w:t>
      </w:r>
      <w:r w:rsidR="004D0B22">
        <w:t xml:space="preserve">on any view the Securities </w:t>
      </w:r>
      <w:r w:rsidR="00A556A2">
        <w:t>involve the use of an out of date scope</w:t>
      </w:r>
      <w:r w:rsidR="00CE6881">
        <w:t xml:space="preserve">, </w:t>
      </w:r>
      <w:r w:rsidR="00983053">
        <w:t xml:space="preserve">the extent of which depends on </w:t>
      </w:r>
      <w:r w:rsidR="00305F6A">
        <w:t>the Republic’s choice of when to rebase</w:t>
      </w:r>
      <w:r w:rsidR="005A7AA2">
        <w:t xml:space="preserve">.  </w:t>
      </w:r>
      <w:r w:rsidR="00956961">
        <w:t>There will always</w:t>
      </w:r>
      <w:r w:rsidR="00A52450">
        <w:t>,</w:t>
      </w:r>
      <w:r w:rsidR="00956961">
        <w:t xml:space="preserve"> therefore</w:t>
      </w:r>
      <w:r w:rsidR="00A52450">
        <w:t>,</w:t>
      </w:r>
      <w:r w:rsidR="00956961">
        <w:t xml:space="preserve"> be an i</w:t>
      </w:r>
      <w:r w:rsidR="00A52450">
        <w:t>m</w:t>
      </w:r>
      <w:r w:rsidR="00956961">
        <w:t xml:space="preserve">perfect link between growth in the </w:t>
      </w:r>
      <w:r w:rsidR="00A52450">
        <w:t>‘</w:t>
      </w:r>
      <w:r w:rsidR="00956961">
        <w:t>true’ economy in a given year</w:t>
      </w:r>
      <w:r w:rsidR="00994857">
        <w:t xml:space="preserve">, </w:t>
      </w:r>
      <w:r w:rsidR="00956961">
        <w:t>and measurement of that growth</w:t>
      </w:r>
      <w:r w:rsidR="00036944">
        <w:t xml:space="preserve"> by reference to out of date scope of an old base price year.  </w:t>
      </w:r>
      <w:r w:rsidR="00A80367">
        <w:t xml:space="preserve"> </w:t>
      </w:r>
      <w:r w:rsidR="006429B5">
        <w:t xml:space="preserve">In 2012 GDP was measured in 1993 scope which was almost 20 years out of date.  </w:t>
      </w:r>
      <w:r w:rsidR="00A86F27">
        <w:t>Other approaches to measuring GDP are available</w:t>
      </w:r>
      <w:r w:rsidR="00D55783">
        <w:t xml:space="preserve">.  </w:t>
      </w:r>
      <w:r w:rsidR="00871BF8">
        <w:t xml:space="preserve">However for so long as the Republic uses </w:t>
      </w:r>
      <w:r w:rsidR="006429B5">
        <w:t xml:space="preserve">a GDP measurement </w:t>
      </w:r>
      <w:r w:rsidR="00871BF8">
        <w:t xml:space="preserve">based </w:t>
      </w:r>
      <w:r w:rsidR="00767270">
        <w:t>on historic constant prices, as</w:t>
      </w:r>
      <w:r w:rsidR="00DD40A1">
        <w:t xml:space="preserve"> the Securities envisage it will, the </w:t>
      </w:r>
      <w:r w:rsidR="00767270">
        <w:t xml:space="preserve">declared GDP </w:t>
      </w:r>
      <w:r w:rsidR="00DD40A1">
        <w:t>will always</w:t>
      </w:r>
      <w:r w:rsidR="006F299F">
        <w:t xml:space="preserve"> be based on an out o</w:t>
      </w:r>
      <w:r w:rsidR="00BA72BC">
        <w:t>f</w:t>
      </w:r>
      <w:r w:rsidR="006F299F">
        <w:t xml:space="preserve"> date scope which might, if it could be rebased in current scope, reveal greater or lesser growth.  </w:t>
      </w:r>
      <w:r w:rsidR="00B17784">
        <w:t xml:space="preserve">Whether over the life of the Securities, or in any particular year, the investors </w:t>
      </w:r>
      <w:r w:rsidR="00767270">
        <w:t>and the Re</w:t>
      </w:r>
      <w:r w:rsidR="00045564">
        <w:t xml:space="preserve">public </w:t>
      </w:r>
      <w:r w:rsidR="00B17784">
        <w:t>will do better or worse if it remains the first out of date scope (1993) or a later out of date scope (2004 from 2013 onwards) is impossible to judge</w:t>
      </w:r>
      <w:r w:rsidR="001D46A8">
        <w:t xml:space="preserve"> in advance.</w:t>
      </w:r>
    </w:p>
    <w:p w14:paraId="10D5328C" w14:textId="01D6AAB6" w:rsidR="00A86F27" w:rsidRDefault="00EA3B7F" w:rsidP="00F50D8D">
      <w:pPr>
        <w:pStyle w:val="ParaLevel1"/>
        <w:numPr>
          <w:ilvl w:val="0"/>
          <w:numId w:val="11"/>
        </w:numPr>
        <w:ind w:left="454" w:hanging="454"/>
      </w:pPr>
      <w:r>
        <w:t xml:space="preserve">Professor Hubbard’s description of the Securities as “loosely tied to the macro economy” needs due weight to be given to the looseness of the connection.  </w:t>
      </w:r>
      <w:r w:rsidR="002C508B">
        <w:t>T</w:t>
      </w:r>
      <w:r w:rsidR="00376DD6">
        <w:t xml:space="preserve">he point </w:t>
      </w:r>
      <w:r w:rsidR="002C508B">
        <w:t xml:space="preserve">the Republic makes was </w:t>
      </w:r>
      <w:r w:rsidR="00255F53">
        <w:t xml:space="preserve">articulated by </w:t>
      </w:r>
      <w:r w:rsidR="002C508B">
        <w:t xml:space="preserve">Professor Hubbard </w:t>
      </w:r>
      <w:r w:rsidR="00376DD6">
        <w:t>as “no reasonable investo</w:t>
      </w:r>
      <w:r w:rsidR="001C719F">
        <w:t>r</w:t>
      </w:r>
      <w:r w:rsidR="00376DD6">
        <w:t xml:space="preserve"> would</w:t>
      </w:r>
      <w:r w:rsidR="00DF74A4">
        <w:t xml:space="preserve"> </w:t>
      </w:r>
      <w:r w:rsidR="00C73B05">
        <w:t xml:space="preserve">want </w:t>
      </w:r>
      <w:r w:rsidR="00DF74A4">
        <w:t>a security linked to a previous econo</w:t>
      </w:r>
      <w:r w:rsidR="00C73B05">
        <w:t>m</w:t>
      </w:r>
      <w:r w:rsidR="00DF74A4">
        <w:t>y”.  But that is what t</w:t>
      </w:r>
      <w:r w:rsidR="00C73B05">
        <w:t xml:space="preserve">he </w:t>
      </w:r>
      <w:r w:rsidR="00DF74A4">
        <w:t>Securities undoubtedly do by</w:t>
      </w:r>
      <w:r w:rsidR="001C719F">
        <w:t xml:space="preserve"> reflecting the Republic’s practice of using a historic constant price year to measure current GDP.</w:t>
      </w:r>
      <w:r w:rsidR="00EA0F3A">
        <w:t xml:space="preserve">  </w:t>
      </w:r>
      <w:r w:rsidR="004908D3">
        <w:t>The question becomes</w:t>
      </w:r>
      <w:r w:rsidR="009109BC">
        <w:t xml:space="preserve"> </w:t>
      </w:r>
      <w:r w:rsidR="004908D3">
        <w:t xml:space="preserve">which </w:t>
      </w:r>
      <w:r w:rsidR="00EF0932">
        <w:t>“</w:t>
      </w:r>
      <w:r w:rsidR="00DE4488">
        <w:t>previous economy</w:t>
      </w:r>
      <w:r w:rsidR="00EF0932">
        <w:t>”</w:t>
      </w:r>
      <w:r w:rsidR="00DE4488">
        <w:t xml:space="preserve"> they might choose.  </w:t>
      </w:r>
    </w:p>
    <w:p w14:paraId="7E86C5A0" w14:textId="73216066" w:rsidR="00835EE1" w:rsidRDefault="00F95567" w:rsidP="00C7371D">
      <w:pPr>
        <w:pStyle w:val="ParaLevel1"/>
        <w:numPr>
          <w:ilvl w:val="0"/>
          <w:numId w:val="11"/>
        </w:numPr>
        <w:ind w:left="454" w:hanging="454"/>
      </w:pPr>
      <w:r>
        <w:lastRenderedPageBreak/>
        <w:t>The proof of the pudding that the Clai</w:t>
      </w:r>
      <w:r w:rsidR="00FF540A">
        <w:t>mants</w:t>
      </w:r>
      <w:r w:rsidR="001D46A8">
        <w:t>’</w:t>
      </w:r>
      <w:r w:rsidR="00FF540A">
        <w:t xml:space="preserve"> approach is not uncommercial lies in the extraneous literature to which Mr Barden took us</w:t>
      </w:r>
      <w:r w:rsidR="00100F56">
        <w:t>, comprising r</w:t>
      </w:r>
      <w:r w:rsidR="00FF540A">
        <w:t>espectable opinion that parties to GDP</w:t>
      </w:r>
      <w:r w:rsidR="00250E76">
        <w:t>-</w:t>
      </w:r>
      <w:r w:rsidR="00FF540A">
        <w:t>linke</w:t>
      </w:r>
      <w:r w:rsidR="00100F56">
        <w:t>d</w:t>
      </w:r>
      <w:r w:rsidR="00FF540A">
        <w:t xml:space="preserve"> securities might want to tie themselves to a measure which was no longer the YOBP used by the country; an</w:t>
      </w:r>
      <w:r w:rsidR="00100F56">
        <w:t xml:space="preserve">d </w:t>
      </w:r>
      <w:r w:rsidR="00FF540A">
        <w:t xml:space="preserve">Dr Nielsen’s view that this is what the parties achieved </w:t>
      </w:r>
      <w:r w:rsidR="00100F56">
        <w:t xml:space="preserve">(and implicitly </w:t>
      </w:r>
      <w:r w:rsidR="00D32CE6">
        <w:t xml:space="preserve">intended </w:t>
      </w:r>
      <w:r w:rsidR="00100F56">
        <w:t xml:space="preserve">to achieve) </w:t>
      </w:r>
      <w:r w:rsidR="00FF540A">
        <w:t xml:space="preserve">in this case by the Adjustment </w:t>
      </w:r>
      <w:r w:rsidR="000C5258">
        <w:t>P</w:t>
      </w:r>
      <w:r w:rsidR="00FF540A">
        <w:t>rovision</w:t>
      </w:r>
      <w:r w:rsidR="00C32896">
        <w:t>.</w:t>
      </w:r>
    </w:p>
    <w:p w14:paraId="20CC9E36" w14:textId="73605026" w:rsidR="00DF48AD" w:rsidRDefault="00F549C6" w:rsidP="00C7371D">
      <w:pPr>
        <w:pStyle w:val="ParaLevel1"/>
        <w:numPr>
          <w:ilvl w:val="0"/>
          <w:numId w:val="11"/>
        </w:numPr>
        <w:ind w:left="454" w:hanging="454"/>
      </w:pPr>
      <w:r>
        <w:t>Turning to the Republic’s submissions on the commercial and economic consequences</w:t>
      </w:r>
      <w:r w:rsidR="00DE30AD">
        <w:t xml:space="preserve"> of the rival arguments,</w:t>
      </w:r>
      <w:r>
        <w:t xml:space="preserve"> </w:t>
      </w:r>
      <w:r w:rsidR="006F730A">
        <w:t xml:space="preserve">I have summarised </w:t>
      </w:r>
      <w:r w:rsidR="007E7AC1">
        <w:t xml:space="preserve">in paragraph </w:t>
      </w:r>
      <w:r w:rsidR="00F4210A">
        <w:t>51</w:t>
      </w:r>
      <w:r w:rsidR="007E7AC1">
        <w:t xml:space="preserve"> </w:t>
      </w:r>
      <w:r w:rsidR="006F730A">
        <w:t xml:space="preserve">above the </w:t>
      </w:r>
      <w:r w:rsidR="007E7AC1">
        <w:t>main points made by Mr Railto</w:t>
      </w:r>
      <w:r w:rsidR="00506EE2">
        <w:t>n</w:t>
      </w:r>
      <w:r w:rsidR="00CF4F3D">
        <w:t xml:space="preserve">.  I have already addressed </w:t>
      </w:r>
      <w:r w:rsidR="00CD4958">
        <w:t xml:space="preserve">most of them </w:t>
      </w:r>
      <w:r w:rsidR="00D455E0">
        <w:t>in the course of the earlier parts of th</w:t>
      </w:r>
      <w:r w:rsidR="00F4210A">
        <w:t>is</w:t>
      </w:r>
      <w:r w:rsidR="00D455E0">
        <w:t xml:space="preserve"> judgment, </w:t>
      </w:r>
      <w:r w:rsidR="00392FEE">
        <w:t xml:space="preserve">giving some counterbalance to the weight which the Republic </w:t>
      </w:r>
      <w:r w:rsidR="003C56A4">
        <w:t>seeks</w:t>
      </w:r>
      <w:r w:rsidR="00392FEE">
        <w:t xml:space="preserve"> to </w:t>
      </w:r>
      <w:r w:rsidR="00F4210A">
        <w:t>put upon</w:t>
      </w:r>
      <w:r w:rsidR="00392FEE">
        <w:t xml:space="preserve"> them.  </w:t>
      </w:r>
      <w:r w:rsidR="00DF48AD">
        <w:t>Two remain to be addressed, namely that based on the availability of funds or sustainability; and that based on certainty.</w:t>
      </w:r>
    </w:p>
    <w:p w14:paraId="7290C989" w14:textId="23FFCF7F" w:rsidR="00DF48AD" w:rsidRDefault="009A432A" w:rsidP="00C7371D">
      <w:pPr>
        <w:pStyle w:val="ParaLevel1"/>
        <w:numPr>
          <w:ilvl w:val="0"/>
          <w:numId w:val="11"/>
        </w:numPr>
        <w:ind w:left="454" w:hanging="454"/>
        <w:rPr>
          <w:szCs w:val="24"/>
        </w:rPr>
      </w:pPr>
      <w:r>
        <w:rPr>
          <w:szCs w:val="24"/>
        </w:rPr>
        <w:t>T</w:t>
      </w:r>
      <w:r w:rsidR="00E379AA">
        <w:rPr>
          <w:szCs w:val="24"/>
        </w:rPr>
        <w:t xml:space="preserve">he </w:t>
      </w:r>
      <w:r w:rsidR="00DF48AD" w:rsidRPr="003A3FEE">
        <w:rPr>
          <w:szCs w:val="24"/>
        </w:rPr>
        <w:t>Judge’s second element of factual matrix</w:t>
      </w:r>
      <w:r w:rsidR="00DF48AD">
        <w:rPr>
          <w:szCs w:val="24"/>
        </w:rPr>
        <w:t xml:space="preserve"> was expressed as follows:</w:t>
      </w:r>
    </w:p>
    <w:p w14:paraId="379072D3" w14:textId="2FDA0B67" w:rsidR="00DF48AD" w:rsidRPr="003A3FEE" w:rsidRDefault="00E379AA" w:rsidP="00C7371D">
      <w:pPr>
        <w:pStyle w:val="ParaLevel1"/>
        <w:numPr>
          <w:ilvl w:val="0"/>
          <w:numId w:val="0"/>
        </w:numPr>
        <w:ind w:left="1134"/>
        <w:rPr>
          <w:szCs w:val="24"/>
        </w:rPr>
      </w:pPr>
      <w:r>
        <w:rPr>
          <w:szCs w:val="24"/>
        </w:rPr>
        <w:t>“</w:t>
      </w:r>
      <w:r w:rsidR="00DF48AD">
        <w:rPr>
          <w:szCs w:val="24"/>
        </w:rPr>
        <w:t xml:space="preserve">… the fact that the Securities were issued against the background of a </w:t>
      </w:r>
      <w:r w:rsidR="00F72749">
        <w:rPr>
          <w:szCs w:val="24"/>
        </w:rPr>
        <w:t>major</w:t>
      </w:r>
      <w:r w:rsidR="00DF48AD">
        <w:rPr>
          <w:szCs w:val="24"/>
        </w:rPr>
        <w:t xml:space="preserve"> economic crisis in Argentina which had been caused by an inability to keep up with debt repayment since I accept, in essence, that the fundamental purpose of the Securities was to ensure the sustainability of payments for the Republic to stabilise its financial position and prevent another default.”</w:t>
      </w:r>
    </w:p>
    <w:p w14:paraId="3B91CB6A" w14:textId="54539FFA" w:rsidR="00DF48AD" w:rsidRPr="00E44918" w:rsidRDefault="00DF48AD" w:rsidP="00C7371D">
      <w:pPr>
        <w:pStyle w:val="ParaLevel1"/>
        <w:numPr>
          <w:ilvl w:val="0"/>
          <w:numId w:val="11"/>
        </w:numPr>
        <w:ind w:left="454" w:hanging="454"/>
        <w:rPr>
          <w:szCs w:val="24"/>
        </w:rPr>
      </w:pPr>
      <w:r w:rsidRPr="00765CAD">
        <w:rPr>
          <w:szCs w:val="24"/>
        </w:rPr>
        <w:t>Mr Railton relied on the second half of this passage to support an argument that the co</w:t>
      </w:r>
      <w:r>
        <w:rPr>
          <w:szCs w:val="24"/>
        </w:rPr>
        <w:t>mm</w:t>
      </w:r>
      <w:r w:rsidRPr="00765CAD">
        <w:rPr>
          <w:szCs w:val="24"/>
        </w:rPr>
        <w:t>ercial consequences of the Annual Adjustment construction</w:t>
      </w:r>
      <w:r>
        <w:rPr>
          <w:szCs w:val="24"/>
        </w:rPr>
        <w:t xml:space="preserve">, in tying the bonds to the 1993 economy, was fundamentally inconsistent with the availability and sustainability purpose there found.  This argument has some force, but not as much as Mr Railton </w:t>
      </w:r>
      <w:r w:rsidR="00B85038">
        <w:rPr>
          <w:szCs w:val="24"/>
        </w:rPr>
        <w:t xml:space="preserve">sought to give it.  </w:t>
      </w:r>
      <w:r>
        <w:rPr>
          <w:szCs w:val="24"/>
        </w:rPr>
        <w:t>The Judge was describing the purpose of the Securities in general terms (“in essence”).  In using a base price year they necessarily require, in any given year, payment in current Euros out of nominal GDP of an amount based on performance of the economy measured in an old year’s base price.  How old depends upon how when rebasing takes place.  In 2012 GDP was still being measured in 1993 YOBP which was almost 20 years out of date as a reflection of the make</w:t>
      </w:r>
      <w:r w:rsidR="001430AE">
        <w:rPr>
          <w:szCs w:val="24"/>
        </w:rPr>
        <w:t>-</w:t>
      </w:r>
      <w:r>
        <w:rPr>
          <w:szCs w:val="24"/>
        </w:rPr>
        <w:t xml:space="preserve">up of Argentina’s economy.  It would have been possible for the measurement in constant 1993 prices to show healthy growth of more than 3% but that measured in up to date constant prices, notionally 2012 YOBP if it existed, to show </w:t>
      </w:r>
      <w:r w:rsidR="002608F7">
        <w:rPr>
          <w:szCs w:val="24"/>
        </w:rPr>
        <w:t xml:space="preserve">a mild </w:t>
      </w:r>
      <w:r>
        <w:rPr>
          <w:szCs w:val="24"/>
        </w:rPr>
        <w:t>recession (as the illustrations of the non-linear effect of different series demonstrate).  That would not fulfil an availability or sustainability purpose.  The equivalent might be true for any year between 2005 and 2012; and of GDP for 2013 and the following years measur</w:t>
      </w:r>
      <w:r w:rsidR="00E44918">
        <w:rPr>
          <w:szCs w:val="24"/>
        </w:rPr>
        <w:t xml:space="preserve">ing the economy </w:t>
      </w:r>
      <w:r>
        <w:rPr>
          <w:szCs w:val="24"/>
        </w:rPr>
        <w:t>in 2004 constant prices which was already 9 years out of date at the beginning of the rebasing cycle.  The link, therefore, between the availability of funds in the real economy and the measurement of GDP is, by the terms of the Securities, a weak one.</w:t>
      </w:r>
      <w:r w:rsidR="00E44918">
        <w:rPr>
          <w:szCs w:val="24"/>
        </w:rPr>
        <w:t xml:space="preserve"> </w:t>
      </w:r>
      <w:r w:rsidRPr="00E44918">
        <w:rPr>
          <w:szCs w:val="24"/>
        </w:rPr>
        <w:t xml:space="preserve">Mr Railton was able to submit, correctly, that </w:t>
      </w:r>
      <w:r w:rsidR="00BA0185" w:rsidRPr="00E44918">
        <w:rPr>
          <w:szCs w:val="24"/>
        </w:rPr>
        <w:t xml:space="preserve">the connection </w:t>
      </w:r>
      <w:r w:rsidR="000E2635" w:rsidRPr="00E44918">
        <w:rPr>
          <w:szCs w:val="24"/>
        </w:rPr>
        <w:t>with available funds in the current economy, and therefor</w:t>
      </w:r>
      <w:r w:rsidR="00F70FBB">
        <w:rPr>
          <w:szCs w:val="24"/>
        </w:rPr>
        <w:t>e</w:t>
      </w:r>
      <w:r w:rsidR="000E2635" w:rsidRPr="00E44918">
        <w:rPr>
          <w:szCs w:val="24"/>
        </w:rPr>
        <w:t xml:space="preserve"> sustainability</w:t>
      </w:r>
      <w:r w:rsidR="002D738D" w:rsidRPr="00E44918">
        <w:rPr>
          <w:szCs w:val="24"/>
        </w:rPr>
        <w:t xml:space="preserve">, </w:t>
      </w:r>
      <w:r w:rsidRPr="00E44918">
        <w:rPr>
          <w:szCs w:val="24"/>
        </w:rPr>
        <w:t>became weaker still on the Claimants’ construction because the further one got from the base price year being used, the greater the degree of disconnection between the measurement of GDP in that base year and the true economy</w:t>
      </w:r>
      <w:r w:rsidR="00E44918" w:rsidRPr="00E44918">
        <w:rPr>
          <w:szCs w:val="24"/>
        </w:rPr>
        <w:t>,</w:t>
      </w:r>
      <w:r w:rsidRPr="00E44918">
        <w:rPr>
          <w:szCs w:val="24"/>
        </w:rPr>
        <w:t xml:space="preserve"> which was what generated funds from tax revenues. To that extent it is a good point.    </w:t>
      </w:r>
    </w:p>
    <w:p w14:paraId="3FB721B8" w14:textId="30A8FB59" w:rsidR="00DF48AD" w:rsidRDefault="00C00F20" w:rsidP="00C7371D">
      <w:pPr>
        <w:pStyle w:val="ParaLevel1"/>
        <w:numPr>
          <w:ilvl w:val="0"/>
          <w:numId w:val="11"/>
        </w:numPr>
        <w:ind w:left="454" w:hanging="454"/>
      </w:pPr>
      <w:r>
        <w:t>As to certainty, on the Claimant</w:t>
      </w:r>
      <w:r w:rsidR="00F50D8D">
        <w:t>s’</w:t>
      </w:r>
      <w:r>
        <w:t xml:space="preserve"> construction the</w:t>
      </w:r>
      <w:r w:rsidR="007245A6">
        <w:t xml:space="preserve"> adjusted Base Case GDP cannot be calculated until after the relevant year when full year Actual GDP </w:t>
      </w:r>
      <w:r w:rsidR="00B269A5">
        <w:t>i</w:t>
      </w:r>
      <w:r w:rsidR="00B54921">
        <w:t>s</w:t>
      </w:r>
      <w:r w:rsidR="00B269A5">
        <w:t xml:space="preserve"> published, and </w:t>
      </w:r>
      <w:r w:rsidR="00E96C7D">
        <w:t xml:space="preserve">holders </w:t>
      </w:r>
      <w:r w:rsidR="00B269A5">
        <w:t>could not therefore know in advance what publish</w:t>
      </w:r>
      <w:r w:rsidR="00DB64F6">
        <w:t>ed</w:t>
      </w:r>
      <w:r w:rsidR="00B269A5">
        <w:t xml:space="preserve"> GDP would trigger a payment and how much.  </w:t>
      </w:r>
      <w:r w:rsidR="007B3FB7">
        <w:t xml:space="preserve">Mr Railton is right that the Republic’s construction gives a greater degree of certainty in advance as to what GDP must be achieved in a given year to meet the Growth </w:t>
      </w:r>
      <w:r w:rsidR="004E0697">
        <w:lastRenderedPageBreak/>
        <w:t xml:space="preserve">and Level </w:t>
      </w:r>
      <w:r w:rsidR="0087289B">
        <w:t>C</w:t>
      </w:r>
      <w:r w:rsidR="004E0697">
        <w:t xml:space="preserve">onditions, </w:t>
      </w:r>
      <w:r w:rsidR="00E44918">
        <w:t xml:space="preserve">because the </w:t>
      </w:r>
      <w:r w:rsidR="000466F7">
        <w:t xml:space="preserve">adjusted base case table remains fixed for the duration of each rebasing. However the </w:t>
      </w:r>
      <w:r w:rsidR="00EF5612">
        <w:t xml:space="preserve">certainty involved in the One-Off construction </w:t>
      </w:r>
      <w:r w:rsidR="00D71909">
        <w:t xml:space="preserve">is a qualified one.  It </w:t>
      </w:r>
      <w:r w:rsidR="00C55E27">
        <w:t xml:space="preserve">gives no such certainty for the </w:t>
      </w:r>
      <w:r w:rsidR="009D036B">
        <w:t>year in which the rebasing is introduced, as the events of 2013 in this case illustrate</w:t>
      </w:r>
      <w:r w:rsidR="00274AF7">
        <w:t>.  Nor do</w:t>
      </w:r>
      <w:r w:rsidR="00D71909">
        <w:t xml:space="preserve">es it do so </w:t>
      </w:r>
      <w:r w:rsidR="000C6590">
        <w:t>f</w:t>
      </w:r>
      <w:r w:rsidR="00274AF7">
        <w:t xml:space="preserve">or </w:t>
      </w:r>
      <w:r w:rsidR="00C55E27">
        <w:t xml:space="preserve">any year which </w:t>
      </w:r>
      <w:r w:rsidR="00274AF7">
        <w:t xml:space="preserve">might reasonably </w:t>
      </w:r>
      <w:r w:rsidR="00E76FFC">
        <w:t>b</w:t>
      </w:r>
      <w:r w:rsidR="007752C8">
        <w:t xml:space="preserve">e anticipated </w:t>
      </w:r>
      <w:r w:rsidR="00E76FFC">
        <w:t xml:space="preserve">as one in which </w:t>
      </w:r>
      <w:r w:rsidR="007752C8">
        <w:t xml:space="preserve">the Republic </w:t>
      </w:r>
      <w:r w:rsidR="007752C8" w:rsidRPr="00E76FFC">
        <w:rPr>
          <w:i/>
          <w:iCs/>
        </w:rPr>
        <w:t>might</w:t>
      </w:r>
      <w:r w:rsidR="007752C8">
        <w:t xml:space="preserve"> rebase</w:t>
      </w:r>
      <w:r w:rsidR="00E76FFC">
        <w:t xml:space="preserve">, even if it does not do so.  </w:t>
      </w:r>
      <w:r w:rsidR="007752C8">
        <w:t>For example</w:t>
      </w:r>
      <w:r w:rsidR="0087289B">
        <w:t>,</w:t>
      </w:r>
      <w:r w:rsidR="007752C8">
        <w:t xml:space="preserve"> the </w:t>
      </w:r>
      <w:r w:rsidR="00E76FFC">
        <w:t>R</w:t>
      </w:r>
      <w:r w:rsidR="005C0343">
        <w:t>epublic announced that it anticipated concluding the 2004 rebasing work by 200</w:t>
      </w:r>
      <w:r w:rsidR="00353B27">
        <w:t xml:space="preserve">9.  From the </w:t>
      </w:r>
      <w:r w:rsidR="0087289B">
        <w:t>holders’</w:t>
      </w:r>
      <w:r w:rsidR="00353B27">
        <w:t xml:space="preserve"> point of view, therefore, 2009, 2010, 2011, 2012, and 2013 were </w:t>
      </w:r>
      <w:r w:rsidR="00E76FFC">
        <w:t xml:space="preserve">each </w:t>
      </w:r>
      <w:r w:rsidR="00353B27">
        <w:t>years in respect of which they did not have the certainty</w:t>
      </w:r>
      <w:r w:rsidR="003C54E6">
        <w:t xml:space="preserve"> which Mr Railton invokes, on the Republic’s construction, as to </w:t>
      </w:r>
      <w:r w:rsidR="00DB64F6">
        <w:t>what Base C</w:t>
      </w:r>
      <w:r w:rsidR="00E76FFC">
        <w:t>a</w:t>
      </w:r>
      <w:r w:rsidR="00DB64F6">
        <w:t>se GDP would be being used as a comparator for Actual Real GDP</w:t>
      </w:r>
      <w:r w:rsidR="00E76FFC">
        <w:t>, because th</w:t>
      </w:r>
      <w:r w:rsidR="00E62D8B">
        <w:t xml:space="preserve">ose </w:t>
      </w:r>
      <w:r w:rsidR="00E76FFC">
        <w:t xml:space="preserve">might have been rebasing years triggering an adjustment.  </w:t>
      </w:r>
    </w:p>
    <w:p w14:paraId="2030F381" w14:textId="77777777" w:rsidR="00437330" w:rsidRPr="00A6045C" w:rsidRDefault="00437330" w:rsidP="00C7371D">
      <w:pPr>
        <w:pStyle w:val="ParaLevel1"/>
        <w:numPr>
          <w:ilvl w:val="0"/>
          <w:numId w:val="0"/>
        </w:numPr>
        <w:rPr>
          <w:b/>
          <w:bCs/>
        </w:rPr>
      </w:pPr>
      <w:r w:rsidRPr="00A6045C">
        <w:rPr>
          <w:b/>
          <w:bCs/>
        </w:rPr>
        <w:t>Conclusion on the iterative process of construction</w:t>
      </w:r>
    </w:p>
    <w:p w14:paraId="609B9DE0" w14:textId="5AAEA84E" w:rsidR="005621EC" w:rsidRDefault="0063417A" w:rsidP="00C7371D">
      <w:pPr>
        <w:pStyle w:val="ParaLevel1"/>
        <w:numPr>
          <w:ilvl w:val="0"/>
          <w:numId w:val="11"/>
        </w:numPr>
        <w:ind w:left="454" w:hanging="454"/>
      </w:pPr>
      <w:r>
        <w:t>Standing back,</w:t>
      </w:r>
      <w:r w:rsidR="00A44FB5">
        <w:t xml:space="preserve"> </w:t>
      </w:r>
      <w:r>
        <w:t xml:space="preserve">and taking account of the </w:t>
      </w:r>
      <w:r w:rsidR="00E62D8B">
        <w:t>R</w:t>
      </w:r>
      <w:r>
        <w:t>epublic’s poi</w:t>
      </w:r>
      <w:r w:rsidR="00915F0A">
        <w:t>n</w:t>
      </w:r>
      <w:r>
        <w:t>ts on the economic and commercial consequences of the rival constructions</w:t>
      </w:r>
      <w:r w:rsidR="00C97C8F">
        <w:t xml:space="preserve">, </w:t>
      </w:r>
      <w:r w:rsidR="003C56A4">
        <w:t>I accept that</w:t>
      </w:r>
      <w:r w:rsidR="00C97C8F">
        <w:t xml:space="preserve">, taken cumulatively, </w:t>
      </w:r>
      <w:r w:rsidR="003C56A4">
        <w:t xml:space="preserve">they </w:t>
      </w:r>
      <w:r w:rsidR="000A408B">
        <w:t xml:space="preserve">provide a coherent body of reasons why </w:t>
      </w:r>
      <w:r w:rsidR="00392FEE">
        <w:t>the One</w:t>
      </w:r>
      <w:r w:rsidR="00E62D8B">
        <w:t>-</w:t>
      </w:r>
      <w:r w:rsidR="00392FEE">
        <w:t xml:space="preserve">Off construction is one which </w:t>
      </w:r>
      <w:r w:rsidR="00002064">
        <w:t>the parties could sensibly have chosen</w:t>
      </w:r>
      <w:r w:rsidR="00B50AE0">
        <w:t xml:space="preserve">.  </w:t>
      </w:r>
      <w:r w:rsidR="005773F1">
        <w:t xml:space="preserve">In </w:t>
      </w:r>
      <w:r w:rsidR="0088783D">
        <w:t xml:space="preserve">a number of </w:t>
      </w:r>
      <w:r w:rsidR="005773F1">
        <w:t xml:space="preserve">respects </w:t>
      </w:r>
      <w:r w:rsidR="00392FEE">
        <w:t xml:space="preserve">the </w:t>
      </w:r>
      <w:r w:rsidR="00002064">
        <w:t xml:space="preserve">consequences </w:t>
      </w:r>
      <w:r w:rsidR="00536CFF">
        <w:t>of th</w:t>
      </w:r>
      <w:r w:rsidR="00B259E6">
        <w:t xml:space="preserve">e Republic’s </w:t>
      </w:r>
      <w:r w:rsidR="00536CFF">
        <w:t xml:space="preserve">construction </w:t>
      </w:r>
      <w:r w:rsidR="00002064">
        <w:t xml:space="preserve">might be regarded as preferable to those which follow from the </w:t>
      </w:r>
      <w:r w:rsidR="00155CBB">
        <w:t>Claimants’ construction.</w:t>
      </w:r>
      <w:r w:rsidR="00002064">
        <w:t xml:space="preserve">  But </w:t>
      </w:r>
      <w:r w:rsidR="00C54C31">
        <w:t xml:space="preserve">it goes no </w:t>
      </w:r>
      <w:r w:rsidR="009B3875">
        <w:t>further than that.  There are also coherent reason</w:t>
      </w:r>
      <w:r w:rsidR="000C5258">
        <w:t>s</w:t>
      </w:r>
      <w:r w:rsidR="009B3875">
        <w:t xml:space="preserve"> </w:t>
      </w:r>
      <w:r w:rsidR="00801EF8">
        <w:t xml:space="preserve">why </w:t>
      </w:r>
      <w:r w:rsidR="009B3875">
        <w:t>the parties might sensibly have chosen the Annual Adjustment construction.</w:t>
      </w:r>
      <w:r w:rsidR="00E62D8B">
        <w:t xml:space="preserve">  The language in which they expressed their </w:t>
      </w:r>
      <w:r w:rsidR="009A603F">
        <w:t xml:space="preserve">bargain </w:t>
      </w:r>
      <w:r w:rsidR="00437330">
        <w:t xml:space="preserve">clearly </w:t>
      </w:r>
      <w:r w:rsidR="009A603F">
        <w:t xml:space="preserve">shows that they chose the latter.  </w:t>
      </w:r>
    </w:p>
    <w:p w14:paraId="5B010DEE" w14:textId="5F059B79" w:rsidR="005709DA" w:rsidRPr="009C55E8" w:rsidRDefault="00E96A83" w:rsidP="00C7371D">
      <w:pPr>
        <w:pStyle w:val="ParaLevel1"/>
        <w:numPr>
          <w:ilvl w:val="0"/>
          <w:numId w:val="0"/>
        </w:numPr>
        <w:rPr>
          <w:b/>
          <w:bCs/>
        </w:rPr>
      </w:pPr>
      <w:r w:rsidRPr="009C55E8">
        <w:rPr>
          <w:b/>
          <w:bCs/>
        </w:rPr>
        <w:t xml:space="preserve">The </w:t>
      </w:r>
      <w:r w:rsidRPr="00E83FC9">
        <w:rPr>
          <w:b/>
          <w:bCs/>
          <w:i/>
          <w:iCs/>
        </w:rPr>
        <w:t>Chartbrook</w:t>
      </w:r>
      <w:r w:rsidRPr="009C55E8">
        <w:rPr>
          <w:b/>
          <w:bCs/>
        </w:rPr>
        <w:t xml:space="preserve"> principle</w:t>
      </w:r>
    </w:p>
    <w:p w14:paraId="21E64A02" w14:textId="4A4C1A09" w:rsidR="005F09C1" w:rsidRDefault="00BE79D5" w:rsidP="00C7371D">
      <w:pPr>
        <w:pStyle w:val="ParaLevel1"/>
        <w:numPr>
          <w:ilvl w:val="0"/>
          <w:numId w:val="11"/>
        </w:numPr>
        <w:ind w:left="454" w:hanging="454"/>
      </w:pPr>
      <w:r>
        <w:t xml:space="preserve">The Republic’s argument does not </w:t>
      </w:r>
      <w:r w:rsidR="00E83FC9">
        <w:t xml:space="preserve">fulfil </w:t>
      </w:r>
      <w:r>
        <w:t>the first condi</w:t>
      </w:r>
      <w:r w:rsidR="00C75D17">
        <w:t xml:space="preserve">tion </w:t>
      </w:r>
      <w:r>
        <w:t xml:space="preserve">of the </w:t>
      </w:r>
      <w:r w:rsidRPr="00E83FC9">
        <w:rPr>
          <w:i/>
          <w:iCs/>
        </w:rPr>
        <w:t>C</w:t>
      </w:r>
      <w:r w:rsidR="00C75D17" w:rsidRPr="00E83FC9">
        <w:rPr>
          <w:i/>
          <w:iCs/>
        </w:rPr>
        <w:t>h</w:t>
      </w:r>
      <w:r w:rsidRPr="00E83FC9">
        <w:rPr>
          <w:i/>
          <w:iCs/>
        </w:rPr>
        <w:t>artbrook</w:t>
      </w:r>
      <w:r>
        <w:t xml:space="preserve"> principle of there having been an obvious mistake</w:t>
      </w:r>
      <w:r w:rsidR="007D5FC6">
        <w:t xml:space="preserve">.  </w:t>
      </w:r>
      <w:r>
        <w:t xml:space="preserve">The arguments about commercial and economic consequences do </w:t>
      </w:r>
      <w:r w:rsidR="00C75D17">
        <w:t xml:space="preserve">not </w:t>
      </w:r>
      <w:r w:rsidR="007D5FC6">
        <w:t xml:space="preserve">come close to the </w:t>
      </w:r>
      <w:r w:rsidR="005F09C1">
        <w:t xml:space="preserve">threshold of </w:t>
      </w:r>
      <w:r w:rsidR="00C75D17">
        <w:t>rendering the Claimant</w:t>
      </w:r>
      <w:r w:rsidR="00245EAD">
        <w:t xml:space="preserve">s’ construction </w:t>
      </w:r>
      <w:r w:rsidR="00F3608F">
        <w:t xml:space="preserve">arbitrary, </w:t>
      </w:r>
      <w:r w:rsidR="005F09C1">
        <w:t>absur</w:t>
      </w:r>
      <w:r w:rsidR="00245EAD">
        <w:t>d</w:t>
      </w:r>
      <w:r w:rsidR="005F09C1">
        <w:t>, irrational or nonsensical, for the reasons I have given.</w:t>
      </w:r>
    </w:p>
    <w:p w14:paraId="5E6855CF" w14:textId="0C5D72AB" w:rsidR="00985A60" w:rsidRDefault="005F09C1" w:rsidP="00C7371D">
      <w:pPr>
        <w:pStyle w:val="ParaLevel1"/>
        <w:numPr>
          <w:ilvl w:val="0"/>
          <w:numId w:val="11"/>
        </w:numPr>
        <w:ind w:left="454" w:hanging="454"/>
      </w:pPr>
      <w:r>
        <w:t xml:space="preserve">Nor would the </w:t>
      </w:r>
      <w:r w:rsidR="00867122">
        <w:t>Republic’s case meet the second condition, even if it met the first and</w:t>
      </w:r>
      <w:r w:rsidR="00C75D17">
        <w:t xml:space="preserve"> a one</w:t>
      </w:r>
      <w:r w:rsidR="007C4515">
        <w:t>-</w:t>
      </w:r>
      <w:r w:rsidR="00C75D17">
        <w:t>off adjustment w</w:t>
      </w:r>
      <w:r w:rsidR="004B1F42">
        <w:t xml:space="preserve">ere </w:t>
      </w:r>
      <w:r w:rsidR="00C75D17">
        <w:t>obvious</w:t>
      </w:r>
      <w:r w:rsidR="00245EAD">
        <w:t>ly what was in</w:t>
      </w:r>
      <w:r w:rsidR="0029102E">
        <w:t>t</w:t>
      </w:r>
      <w:r w:rsidR="00245EAD">
        <w:t xml:space="preserve">ended  As I have explained, in that eventuality using the </w:t>
      </w:r>
      <w:r w:rsidR="00985A60">
        <w:t>‘</w:t>
      </w:r>
      <w:r w:rsidR="00245EAD">
        <w:t>Overlap Year</w:t>
      </w:r>
      <w:r w:rsidR="00985A60">
        <w:t>’</w:t>
      </w:r>
      <w:r w:rsidR="00FF2F08">
        <w:t xml:space="preserve"> as that which is used to rebase the Base Case GDP chart for the duration of the subsequent years </w:t>
      </w:r>
      <w:r w:rsidR="00A32043">
        <w:t>in which that rebased YOBP is used</w:t>
      </w:r>
      <w:r w:rsidR="00437330">
        <w:t>,</w:t>
      </w:r>
      <w:r w:rsidR="00A32043">
        <w:t xml:space="preserve"> i</w:t>
      </w:r>
      <w:r w:rsidR="00FF2F08">
        <w:t>s merely one of a number of years</w:t>
      </w:r>
      <w:r w:rsidR="0029102E">
        <w:t xml:space="preserve">, or combination of years, </w:t>
      </w:r>
      <w:r w:rsidR="00FF2F08">
        <w:t xml:space="preserve">which </w:t>
      </w:r>
      <w:r w:rsidR="00A47CDF">
        <w:t xml:space="preserve">might have been chosen to </w:t>
      </w:r>
      <w:r w:rsidR="00985A60">
        <w:t>make the adjustment</w:t>
      </w:r>
      <w:r w:rsidR="00EE28F9">
        <w:t>, including the new YOBP year itself (2004 in this case)</w:t>
      </w:r>
      <w:r w:rsidR="00A32043">
        <w:t>,</w:t>
      </w:r>
      <w:r w:rsidR="00EE28F9">
        <w:t xml:space="preserve"> the first year</w:t>
      </w:r>
      <w:r w:rsidR="009612B2">
        <w:t xml:space="preserve"> using</w:t>
      </w:r>
      <w:r w:rsidR="00A32043">
        <w:t xml:space="preserve"> </w:t>
      </w:r>
      <w:r w:rsidR="009612B2">
        <w:t>the rebased YOBP (2013 in this case) or a combination of years used to provide an average</w:t>
      </w:r>
      <w:r w:rsidR="002051B6">
        <w:t xml:space="preserve">. Each would produce a different adjustment to the Base </w:t>
      </w:r>
      <w:r w:rsidR="00F007E0">
        <w:t>C</w:t>
      </w:r>
      <w:r w:rsidR="002051B6">
        <w:t>ase GDP chart</w:t>
      </w:r>
      <w:r w:rsidR="00071CB0">
        <w:t xml:space="preserve">, affecting the operation of the Level Condition.   </w:t>
      </w:r>
    </w:p>
    <w:p w14:paraId="7C97450A" w14:textId="4D62F990" w:rsidR="00575748" w:rsidRPr="005709DA" w:rsidRDefault="00245CB3" w:rsidP="00C7371D">
      <w:pPr>
        <w:pStyle w:val="ParaLevel1"/>
        <w:numPr>
          <w:ilvl w:val="0"/>
          <w:numId w:val="0"/>
        </w:numPr>
        <w:rPr>
          <w:b/>
          <w:bCs/>
        </w:rPr>
      </w:pPr>
      <w:r>
        <w:rPr>
          <w:b/>
          <w:bCs/>
        </w:rPr>
        <w:t>The Republic’s alternative case</w:t>
      </w:r>
      <w:r w:rsidR="00F578F8">
        <w:rPr>
          <w:b/>
          <w:bCs/>
        </w:rPr>
        <w:t xml:space="preserve">: the </w:t>
      </w:r>
      <w:r w:rsidR="005709DA" w:rsidRPr="005709DA">
        <w:rPr>
          <w:b/>
          <w:bCs/>
        </w:rPr>
        <w:t xml:space="preserve">Hubbard </w:t>
      </w:r>
      <w:r w:rsidR="008F78CC">
        <w:rPr>
          <w:b/>
          <w:bCs/>
        </w:rPr>
        <w:t>D</w:t>
      </w:r>
      <w:r w:rsidR="005709DA" w:rsidRPr="005709DA">
        <w:rPr>
          <w:b/>
          <w:bCs/>
        </w:rPr>
        <w:t>eflator</w:t>
      </w:r>
      <w:r w:rsidR="00F578F8">
        <w:rPr>
          <w:b/>
          <w:bCs/>
        </w:rPr>
        <w:t xml:space="preserve"> construction</w:t>
      </w:r>
    </w:p>
    <w:p w14:paraId="63EA81E7" w14:textId="0D08963E" w:rsidR="00B934D8" w:rsidRDefault="00CA7C8F" w:rsidP="00C7371D">
      <w:pPr>
        <w:pStyle w:val="ParaLevel1"/>
        <w:numPr>
          <w:ilvl w:val="0"/>
          <w:numId w:val="11"/>
        </w:numPr>
        <w:ind w:left="454" w:hanging="454"/>
      </w:pPr>
      <w:r>
        <w:t>The C</w:t>
      </w:r>
      <w:r w:rsidR="001F0EA8">
        <w:t xml:space="preserve">laimants’ </w:t>
      </w:r>
      <w:r>
        <w:t>construction of the expression in the denominator “</w:t>
      </w:r>
      <w:r w:rsidR="00483440">
        <w:t>Actual Real GDP for such Reference Year measured in constant 1993 prices</w:t>
      </w:r>
      <w:r w:rsidR="00843254">
        <w:t xml:space="preserve">” is that this is the Actual </w:t>
      </w:r>
      <w:r w:rsidR="00883266">
        <w:t xml:space="preserve">Real GDP in </w:t>
      </w:r>
      <w:r w:rsidR="00606540">
        <w:t xml:space="preserve">1993 YOBP. The </w:t>
      </w:r>
      <w:r w:rsidR="000C7BCF">
        <w:t xml:space="preserve">Republic contends </w:t>
      </w:r>
      <w:r w:rsidR="008F78CC">
        <w:t xml:space="preserve">(as an alternative to its </w:t>
      </w:r>
      <w:r w:rsidR="008E0705">
        <w:t xml:space="preserve">main construction arguments) </w:t>
      </w:r>
      <w:r w:rsidR="000C7BCF">
        <w:t xml:space="preserve">that after </w:t>
      </w:r>
      <w:r w:rsidR="008E0705">
        <w:t xml:space="preserve">a </w:t>
      </w:r>
      <w:r w:rsidR="000C7BCF">
        <w:t xml:space="preserve">rebasing </w:t>
      </w:r>
      <w:r w:rsidR="008E0705">
        <w:t xml:space="preserve">the denominator requires two steps.  </w:t>
      </w:r>
      <w:r w:rsidR="000C7BCF">
        <w:t>Actual Real GDP has to be taken as the first step, and because of the definition of YOBP this is GDP in 2004 YOBP</w:t>
      </w:r>
      <w:r w:rsidR="00BB7046">
        <w:t xml:space="preserve">; the </w:t>
      </w:r>
      <w:r w:rsidR="00C33E12">
        <w:t xml:space="preserve">second step is an adjustment required by the words “measured </w:t>
      </w:r>
      <w:r w:rsidR="00BB7046">
        <w:t>in consta</w:t>
      </w:r>
      <w:r w:rsidR="00C33E12">
        <w:t>n</w:t>
      </w:r>
      <w:r w:rsidR="00BB7046">
        <w:t>t 1993 prices</w:t>
      </w:r>
      <w:r w:rsidR="00C33E12">
        <w:t>”</w:t>
      </w:r>
      <w:r w:rsidR="00BB7046">
        <w:t xml:space="preserve"> </w:t>
      </w:r>
      <w:r w:rsidR="00B934D8">
        <w:t xml:space="preserve">which </w:t>
      </w:r>
      <w:r w:rsidR="00C33E12">
        <w:t>requires a stripping out of the effect of price inflation in the rebasing</w:t>
      </w:r>
      <w:r w:rsidR="0018721E">
        <w:t xml:space="preserve"> (but not the effect of the scope/methodology changes); the deflator </w:t>
      </w:r>
      <w:r w:rsidR="008005FB">
        <w:t xml:space="preserve">proposed </w:t>
      </w:r>
      <w:r w:rsidR="0018721E">
        <w:t>by Professor Hubbard</w:t>
      </w:r>
      <w:r w:rsidR="00B934D8">
        <w:t>, it is said,</w:t>
      </w:r>
      <w:r w:rsidR="0018721E">
        <w:t xml:space="preserve"> achieves this objective.</w:t>
      </w:r>
    </w:p>
    <w:p w14:paraId="04DD87E9" w14:textId="1DD96B20" w:rsidR="00117C06" w:rsidRDefault="000E0650" w:rsidP="00C7371D">
      <w:pPr>
        <w:pStyle w:val="ParaLevel1"/>
        <w:numPr>
          <w:ilvl w:val="0"/>
          <w:numId w:val="11"/>
        </w:numPr>
        <w:ind w:left="454" w:hanging="454"/>
      </w:pPr>
      <w:r>
        <w:lastRenderedPageBreak/>
        <w:t xml:space="preserve">The Judge described </w:t>
      </w:r>
      <w:r w:rsidR="009B0607">
        <w:t>the Republic’s argu</w:t>
      </w:r>
      <w:r>
        <w:t xml:space="preserve">ment </w:t>
      </w:r>
      <w:r w:rsidR="009B0607">
        <w:t>on this point as “hope</w:t>
      </w:r>
      <w:r>
        <w:t>l</w:t>
      </w:r>
      <w:r w:rsidR="009B0607">
        <w:t>ess”</w:t>
      </w:r>
      <w:r w:rsidR="00E8726E">
        <w:t xml:space="preserve">.  I would regard that as </w:t>
      </w:r>
      <w:r w:rsidR="009B0607">
        <w:t>a little harsh because</w:t>
      </w:r>
      <w:r w:rsidR="00E8726E">
        <w:t>,</w:t>
      </w:r>
      <w:r w:rsidR="009B0607">
        <w:t xml:space="preserve"> to </w:t>
      </w:r>
      <w:r w:rsidR="00E8726E">
        <w:t>m</w:t>
      </w:r>
      <w:r w:rsidR="009B0607">
        <w:t>y ear, at least,</w:t>
      </w:r>
      <w:r w:rsidR="002370EC">
        <w:t xml:space="preserve"> Mr Railton’s </w:t>
      </w:r>
      <w:r w:rsidR="00E8726E">
        <w:t xml:space="preserve">submissions </w:t>
      </w:r>
      <w:r w:rsidR="00873BC7">
        <w:t xml:space="preserve">lent it an initial </w:t>
      </w:r>
      <w:r w:rsidR="002370EC">
        <w:t>sup</w:t>
      </w:r>
      <w:r w:rsidR="00117C06">
        <w:t>e</w:t>
      </w:r>
      <w:r w:rsidR="002370EC">
        <w:t>rficial attraction.  However</w:t>
      </w:r>
      <w:r w:rsidR="00873BC7">
        <w:t>,</w:t>
      </w:r>
      <w:r w:rsidR="002370EC">
        <w:t xml:space="preserve"> I agre</w:t>
      </w:r>
      <w:r w:rsidR="00117C06">
        <w:t>e</w:t>
      </w:r>
      <w:r w:rsidR="002370EC">
        <w:t xml:space="preserve"> with the Judge that it is wrong.</w:t>
      </w:r>
      <w:r w:rsidR="00117C06">
        <w:t xml:space="preserve"> That is for three principal reasons.</w:t>
      </w:r>
    </w:p>
    <w:p w14:paraId="66AC9DF5" w14:textId="0FBAD8B5" w:rsidR="003A36DA" w:rsidRDefault="00117C06" w:rsidP="00C7371D">
      <w:pPr>
        <w:pStyle w:val="ParaLevel1"/>
        <w:numPr>
          <w:ilvl w:val="0"/>
          <w:numId w:val="11"/>
        </w:numPr>
        <w:ind w:left="454" w:hanging="454"/>
      </w:pPr>
      <w:r>
        <w:t>First and foremost the two</w:t>
      </w:r>
      <w:r w:rsidR="006618F3">
        <w:t>-</w:t>
      </w:r>
      <w:r>
        <w:t xml:space="preserve">step approach is not what </w:t>
      </w:r>
      <w:r w:rsidR="00F80FDE">
        <w:t>t</w:t>
      </w:r>
      <w:r>
        <w:t xml:space="preserve">he language of the </w:t>
      </w:r>
      <w:r w:rsidR="00F80FDE">
        <w:t xml:space="preserve">Securities </w:t>
      </w:r>
      <w:r w:rsidR="00FA1F33">
        <w:t>envisage</w:t>
      </w:r>
      <w:r w:rsidR="00633856">
        <w:t xml:space="preserve">s.  </w:t>
      </w:r>
      <w:r w:rsidR="00FD2D09">
        <w:t xml:space="preserve">Where a base price year is used, as </w:t>
      </w:r>
      <w:r w:rsidR="009B23B3">
        <w:t>Professor Hubbard and Mr Davies agreed in their joint statement</w:t>
      </w:r>
      <w:r w:rsidR="00980C22">
        <w:t xml:space="preserve">, </w:t>
      </w:r>
      <w:r w:rsidR="009B23B3">
        <w:t xml:space="preserve">real GDP is </w:t>
      </w:r>
      <w:r w:rsidR="00D86AEE">
        <w:t>measured in constant prices</w:t>
      </w:r>
      <w:r w:rsidR="00FD2D09">
        <w:t>.  That is a measurement</w:t>
      </w:r>
      <w:r w:rsidR="00BC7857">
        <w:t xml:space="preserve"> w</w:t>
      </w:r>
      <w:r w:rsidR="009166E2">
        <w:t xml:space="preserve">hich </w:t>
      </w:r>
      <w:r w:rsidR="00BC7857">
        <w:t>imports the scope and methodology of the base price year, not merely the price</w:t>
      </w:r>
      <w:r w:rsidR="005E56B4">
        <w:t>s or values attributed to the different elements in the basket</w:t>
      </w:r>
      <w:r w:rsidR="003A36DA">
        <w:t xml:space="preserve">, because that is what is necessary to make it a constant in a way which enables growth to be measured using like with like.  </w:t>
      </w:r>
      <w:r w:rsidR="008B230A">
        <w:t xml:space="preserve">That </w:t>
      </w:r>
      <w:r w:rsidR="005E56B4">
        <w:t xml:space="preserve">is reflected in the language of the Securities.  </w:t>
      </w:r>
      <w:r w:rsidR="002F2D20">
        <w:t>Actual Real GDP is the GDP “</w:t>
      </w:r>
      <w:r w:rsidR="00C94CC6">
        <w:t xml:space="preserve">measured in constant prices for the Year of Base </w:t>
      </w:r>
      <w:r w:rsidR="00DF736B">
        <w:t>Prices</w:t>
      </w:r>
      <w:r w:rsidR="00C94CC6">
        <w:t>.</w:t>
      </w:r>
      <w:r w:rsidR="00EA2B09">
        <w:t>”</w:t>
      </w:r>
      <w:r w:rsidR="00DF736B">
        <w:t xml:space="preserve">  </w:t>
      </w:r>
      <w:r w:rsidR="002950EF">
        <w:t xml:space="preserve">If the YOBP is 1993, the </w:t>
      </w:r>
      <w:r w:rsidR="00465B27">
        <w:t xml:space="preserve">Actual Real GDP is GDP </w:t>
      </w:r>
      <w:r w:rsidR="00226588">
        <w:t>“</w:t>
      </w:r>
      <w:r w:rsidR="00465B27">
        <w:t xml:space="preserve">measured in constant </w:t>
      </w:r>
      <w:r w:rsidR="009070AD">
        <w:t xml:space="preserve">prices for </w:t>
      </w:r>
      <w:r w:rsidR="00226588">
        <w:t>[</w:t>
      </w:r>
      <w:r w:rsidR="009070AD">
        <w:t>1993</w:t>
      </w:r>
      <w:r w:rsidR="00226588">
        <w:t>]”</w:t>
      </w:r>
      <w:r w:rsidR="009070AD">
        <w:t xml:space="preserve">, which is the same as the expression used in the denominator of </w:t>
      </w:r>
      <w:r w:rsidR="008B230A">
        <w:t>t</w:t>
      </w:r>
      <w:r w:rsidR="009070AD">
        <w:t xml:space="preserve">he Adjustment Provision </w:t>
      </w:r>
      <w:bookmarkStart w:id="10" w:name="_Hlk168394604"/>
      <w:r w:rsidR="002D02E0">
        <w:t xml:space="preserve">“measured in </w:t>
      </w:r>
      <w:r w:rsidR="006D32C5">
        <w:t xml:space="preserve">constant </w:t>
      </w:r>
      <w:r w:rsidR="002D02E0">
        <w:t>1993 prices”</w:t>
      </w:r>
      <w:bookmarkEnd w:id="10"/>
      <w:r w:rsidR="002D02E0">
        <w:t xml:space="preserve">.  </w:t>
      </w:r>
      <w:r w:rsidR="008B230A">
        <w:t>Both require</w:t>
      </w:r>
      <w:r w:rsidR="00E15430">
        <w:t xml:space="preserve"> the constant price year, the base year, the YOBP, to be utilised which</w:t>
      </w:r>
      <w:r w:rsidR="006D32C5">
        <w:t xml:space="preserve"> </w:t>
      </w:r>
      <w:r w:rsidR="00E15430">
        <w:t>inv</w:t>
      </w:r>
      <w:r w:rsidR="006605B3">
        <w:t xml:space="preserve">olves </w:t>
      </w:r>
      <w:r w:rsidR="00E15430">
        <w:t xml:space="preserve">the scope and methodology of </w:t>
      </w:r>
      <w:r w:rsidR="004A6CEE">
        <w:t xml:space="preserve">that base year to represent a constant, not simply one element of it, namely the monetary value put on </w:t>
      </w:r>
      <w:r w:rsidR="006D32C5">
        <w:t xml:space="preserve">the </w:t>
      </w:r>
      <w:r w:rsidR="004A6CEE">
        <w:t xml:space="preserve">various aspects </w:t>
      </w:r>
      <w:r w:rsidR="006D32C5">
        <w:t xml:space="preserve">of </w:t>
      </w:r>
      <w:r w:rsidR="004A6CEE">
        <w:t xml:space="preserve">the basket which make up </w:t>
      </w:r>
      <w:r w:rsidR="006D32C5">
        <w:t xml:space="preserve">its scope.  </w:t>
      </w:r>
      <w:r w:rsidR="001E076C">
        <w:t xml:space="preserve">The essential fallacy in the Hubbard Deflator construction </w:t>
      </w:r>
      <w:r w:rsidR="00142DFE">
        <w:t>is to treat the word “prices” in the expression “measured in constant 1993 prices” as meaning something distinct from “constant prices”</w:t>
      </w:r>
      <w:r w:rsidR="00DF1772">
        <w:t xml:space="preserve">, and confined merely to </w:t>
      </w:r>
      <w:r w:rsidR="0021654E">
        <w:t xml:space="preserve">price in the lay sense of </w:t>
      </w:r>
      <w:bookmarkStart w:id="11" w:name="_Hlk168394774"/>
      <w:r w:rsidR="0021654E">
        <w:t>the monetary value of goods and services</w:t>
      </w:r>
      <w:bookmarkEnd w:id="11"/>
      <w:r w:rsidR="0021654E">
        <w:t>; whereas</w:t>
      </w:r>
      <w:r w:rsidR="00D84D99">
        <w:t xml:space="preserve"> the provision clearly uses “prices” as </w:t>
      </w:r>
      <w:r w:rsidR="00F04D43">
        <w:t>part of the concept of “constant prices”</w:t>
      </w:r>
      <w:r w:rsidR="00925BDF">
        <w:t>,</w:t>
      </w:r>
      <w:r w:rsidR="00F04D43">
        <w:t xml:space="preserve"> a concept which is not limited to the monetary value of goods and services</w:t>
      </w:r>
      <w:r w:rsidR="0021654E">
        <w:t xml:space="preserve">, </w:t>
      </w:r>
      <w:r w:rsidR="00F04D43">
        <w:t xml:space="preserve">but, </w:t>
      </w:r>
      <w:r w:rsidR="0021654E">
        <w:t>as the experts agreed</w:t>
      </w:r>
      <w:r w:rsidR="00F04D43">
        <w:t xml:space="preserve">, </w:t>
      </w:r>
      <w:r w:rsidR="005E4E70">
        <w:t xml:space="preserve">includes </w:t>
      </w:r>
      <w:r w:rsidR="00F04D43">
        <w:t>the entire scope and methodology of the year</w:t>
      </w:r>
      <w:r w:rsidR="007E1ACA">
        <w:t xml:space="preserve"> of constant prices identified.  </w:t>
      </w:r>
      <w:r w:rsidR="0021654E">
        <w:t xml:space="preserve"> </w:t>
      </w:r>
    </w:p>
    <w:p w14:paraId="117CF971" w14:textId="2B67FDCC" w:rsidR="00575748" w:rsidRDefault="006605B3" w:rsidP="00C7371D">
      <w:pPr>
        <w:pStyle w:val="ParaLevel1"/>
        <w:numPr>
          <w:ilvl w:val="0"/>
          <w:numId w:val="11"/>
        </w:numPr>
        <w:ind w:left="454" w:hanging="454"/>
      </w:pPr>
      <w:r>
        <w:t>Seco</w:t>
      </w:r>
      <w:r w:rsidR="00EB6A1B">
        <w:t>n</w:t>
      </w:r>
      <w:r>
        <w:t>dly, Professor Hubbard</w:t>
      </w:r>
      <w:r w:rsidR="00CD7EEE">
        <w:t xml:space="preserve">’s deflator </w:t>
      </w:r>
      <w:r w:rsidR="00693704">
        <w:t>does not do wh</w:t>
      </w:r>
      <w:r w:rsidR="00CC29DC">
        <w:t>a</w:t>
      </w:r>
      <w:r w:rsidR="00693704">
        <w:t>t the Republic says it is doing, namely simply strip</w:t>
      </w:r>
      <w:r w:rsidR="005C0F6E">
        <w:t>ping</w:t>
      </w:r>
      <w:r w:rsidR="00693704">
        <w:t xml:space="preserve"> out the effects of inflation by reference to I</w:t>
      </w:r>
      <w:r w:rsidR="00CD7EEE">
        <w:t xml:space="preserve">NDEC </w:t>
      </w:r>
      <w:r w:rsidR="00693704">
        <w:t>published</w:t>
      </w:r>
      <w:r w:rsidR="00DC22DE">
        <w:t xml:space="preserve"> data.  It is apparent both from Professor Hubbard’s report </w:t>
      </w:r>
      <w:r w:rsidR="00CD7EEE">
        <w:t xml:space="preserve">itself, and </w:t>
      </w:r>
      <w:r w:rsidR="00DC22DE">
        <w:t>the INDEC table he refere</w:t>
      </w:r>
      <w:r w:rsidR="007E5BC5">
        <w:t>n</w:t>
      </w:r>
      <w:r w:rsidR="00DC22DE">
        <w:t xml:space="preserve">ces as the one which he used, that the figures reflect </w:t>
      </w:r>
      <w:r w:rsidR="001A459B">
        <w:t xml:space="preserve">the effect of inflation in 2004 on the 1993 </w:t>
      </w:r>
      <w:r w:rsidR="003F44D2">
        <w:t xml:space="preserve">real GDP </w:t>
      </w:r>
      <w:r w:rsidR="003F44D2" w:rsidRPr="002A79E1">
        <w:rPr>
          <w:i/>
          <w:iCs/>
        </w:rPr>
        <w:t>measured in 1993 constant prices</w:t>
      </w:r>
      <w:r w:rsidR="003F44D2">
        <w:t>. It is therefore a measure identifying the price inflation in the basket of goods and services</w:t>
      </w:r>
      <w:r w:rsidR="00A345F5">
        <w:t xml:space="preserve"> co</w:t>
      </w:r>
      <w:r w:rsidR="002A79E1">
        <w:t>m</w:t>
      </w:r>
      <w:r w:rsidR="00A345F5">
        <w:t xml:space="preserve">prising the 1993 base price year scope, and the </w:t>
      </w:r>
      <w:r w:rsidR="003F6D29">
        <w:t>m</w:t>
      </w:r>
      <w:r w:rsidR="00A345F5">
        <w:t xml:space="preserve">ethodology applied to </w:t>
      </w:r>
      <w:r w:rsidR="00171FAD">
        <w:t xml:space="preserve">that basket.  It is not a measure of what has happened to price inflation between 1993 and 2004 in relation to the different basket of </w:t>
      </w:r>
      <w:r w:rsidR="003F6D29">
        <w:t xml:space="preserve">goods and services in the revised 2004 YOBP, which is what the Republic’s argument seeks to </w:t>
      </w:r>
      <w:r w:rsidR="00240808">
        <w:t>treat it as</w:t>
      </w:r>
      <w:r w:rsidR="00094BA8">
        <w:t xml:space="preserve"> </w:t>
      </w:r>
      <w:r w:rsidR="005C0F6E">
        <w:t xml:space="preserve">being </w:t>
      </w:r>
      <w:r w:rsidR="00094BA8">
        <w:t xml:space="preserve">so as to deflate GDP in 2004 YOBP.  </w:t>
      </w:r>
      <w:r w:rsidR="00240808">
        <w:t>To be fair to Professor Hubbard, he never suggested it was</w:t>
      </w:r>
      <w:r w:rsidR="008678A5">
        <w:t>,</w:t>
      </w:r>
      <w:r w:rsidR="00240808">
        <w:t xml:space="preserve"> and </w:t>
      </w:r>
      <w:r w:rsidR="00F346BF">
        <w:t>this deflator was de</w:t>
      </w:r>
      <w:r w:rsidR="00094BA8">
        <w:t>v</w:t>
      </w:r>
      <w:r w:rsidR="00F346BF">
        <w:t xml:space="preserve">ised by him as one way of addressing an issue of quantum, not by way of construction of the Adjustment Provision.  Accordingly even if the </w:t>
      </w:r>
      <w:r w:rsidR="00475590">
        <w:t>Adjustment Provision required a two</w:t>
      </w:r>
      <w:r w:rsidR="00D827BB">
        <w:t>-</w:t>
      </w:r>
      <w:r w:rsidR="00475590">
        <w:t xml:space="preserve">step approach, the second of which was to strip out price inflation </w:t>
      </w:r>
      <w:r w:rsidR="00783932">
        <w:t>from 1993 to 2004 for GDP expressed by reference to 2004 YOBP, with its 2004 scope and methodology, the Hubbard Deflator does not purport to do this</w:t>
      </w:r>
      <w:r w:rsidR="008351C4">
        <w:t xml:space="preserve"> but distorts it.  This distortion would be even greater in the case of multiple</w:t>
      </w:r>
      <w:r w:rsidR="004013E2">
        <w:t xml:space="preserve"> rebasings, in </w:t>
      </w:r>
      <w:r w:rsidR="003C20FD">
        <w:t>w</w:t>
      </w:r>
      <w:r w:rsidR="004013E2">
        <w:t>hich the Hubbard</w:t>
      </w:r>
      <w:r w:rsidR="005D3761">
        <w:t xml:space="preserve"> d</w:t>
      </w:r>
      <w:r w:rsidR="004013E2">
        <w:t>eflator would have to be applied in successive stages</w:t>
      </w:r>
      <w:r w:rsidR="00B40699">
        <w:t xml:space="preserve">, the first being a deflator from the </w:t>
      </w:r>
      <w:r w:rsidR="00CF0A95">
        <w:t xml:space="preserve">second rebasing </w:t>
      </w:r>
      <w:r w:rsidR="00B40699">
        <w:t xml:space="preserve">year in which Actual Real GDP was now expressed, </w:t>
      </w:r>
      <w:r w:rsidR="00CF0A95">
        <w:t>2015 in my earlier example</w:t>
      </w:r>
      <w:r w:rsidR="003C20FD">
        <w:t xml:space="preserve">, to 2004; and then from 2004 to 1993. At both stages the </w:t>
      </w:r>
      <w:r w:rsidR="00B37982">
        <w:t xml:space="preserve">figure used would not be a measure of price inflation for the basket and methodology of the base year to which it was being applied.  </w:t>
      </w:r>
    </w:p>
    <w:p w14:paraId="030B8CB2" w14:textId="4C68AAD4" w:rsidR="00B91CD5" w:rsidRDefault="00290D66" w:rsidP="00C7371D">
      <w:pPr>
        <w:pStyle w:val="ParaLevel1"/>
        <w:numPr>
          <w:ilvl w:val="0"/>
          <w:numId w:val="11"/>
        </w:numPr>
        <w:ind w:left="454" w:hanging="454"/>
      </w:pPr>
      <w:r>
        <w:t xml:space="preserve">Thirdly, the provision says nothing about how a deflator is to be calculated or used for the purposes the </w:t>
      </w:r>
      <w:r w:rsidR="003B5BB9">
        <w:t>R</w:t>
      </w:r>
      <w:r>
        <w:t xml:space="preserve">epublic suggests was intended.  </w:t>
      </w:r>
      <w:r w:rsidR="003B5BB9">
        <w:t xml:space="preserve">This would be </w:t>
      </w:r>
      <w:r w:rsidR="009830AD">
        <w:t xml:space="preserve">a construction giving rise to </w:t>
      </w:r>
      <w:r w:rsidR="009830AD">
        <w:lastRenderedPageBreak/>
        <w:t xml:space="preserve">uncertainty, and </w:t>
      </w:r>
      <w:r w:rsidR="003B5BB9">
        <w:t xml:space="preserve">a surprising omission in </w:t>
      </w:r>
      <w:r w:rsidR="005D20F4">
        <w:t>an Instrument which has taken care to define a GDP Deflat</w:t>
      </w:r>
      <w:r w:rsidR="00816740">
        <w:t>o</w:t>
      </w:r>
      <w:r w:rsidR="005D20F4">
        <w:t>r which is to be used for other purposes</w:t>
      </w:r>
      <w:r w:rsidR="009830AD">
        <w:t>.</w:t>
      </w:r>
    </w:p>
    <w:p w14:paraId="6CB3BDA9" w14:textId="48CD98E4" w:rsidR="00B17E48" w:rsidRPr="00575748" w:rsidRDefault="00F14E15" w:rsidP="00C7371D">
      <w:pPr>
        <w:pStyle w:val="ParaLevel1"/>
        <w:numPr>
          <w:ilvl w:val="0"/>
          <w:numId w:val="0"/>
        </w:numPr>
        <w:rPr>
          <w:b/>
          <w:bCs/>
        </w:rPr>
      </w:pPr>
      <w:r w:rsidRPr="00575748">
        <w:rPr>
          <w:b/>
          <w:bCs/>
        </w:rPr>
        <w:t>C</w:t>
      </w:r>
      <w:r w:rsidR="00D9378B">
        <w:rPr>
          <w:b/>
          <w:bCs/>
        </w:rPr>
        <w:t>on</w:t>
      </w:r>
      <w:r w:rsidRPr="00575748">
        <w:rPr>
          <w:b/>
          <w:bCs/>
        </w:rPr>
        <w:t xml:space="preserve">clusion </w:t>
      </w:r>
    </w:p>
    <w:p w14:paraId="7F9938DD" w14:textId="1D6CF985" w:rsidR="00575748" w:rsidRDefault="000927F8" w:rsidP="00C7371D">
      <w:pPr>
        <w:pStyle w:val="ParaLevel1"/>
        <w:numPr>
          <w:ilvl w:val="0"/>
          <w:numId w:val="11"/>
        </w:numPr>
        <w:ind w:left="454" w:hanging="454"/>
      </w:pPr>
      <w:r>
        <w:t xml:space="preserve">For these reasons, which in large part </w:t>
      </w:r>
      <w:r w:rsidR="006A5D7D">
        <w:t xml:space="preserve">reflect </w:t>
      </w:r>
      <w:r>
        <w:t>those given by the Judge, I would dismiss the appeal.</w:t>
      </w:r>
    </w:p>
    <w:p w14:paraId="1F40CFE5" w14:textId="4465A7A5" w:rsidR="00267790" w:rsidRDefault="00267790" w:rsidP="00C7371D">
      <w:pPr>
        <w:pStyle w:val="ParaLevel1"/>
        <w:numPr>
          <w:ilvl w:val="0"/>
          <w:numId w:val="0"/>
        </w:numPr>
        <w:ind w:left="720" w:hanging="720"/>
        <w:rPr>
          <w:b/>
          <w:bCs/>
        </w:rPr>
      </w:pPr>
      <w:r>
        <w:t xml:space="preserve"> </w:t>
      </w:r>
      <w:r w:rsidRPr="00267790">
        <w:rPr>
          <w:b/>
          <w:bCs/>
        </w:rPr>
        <w:t>LADY</w:t>
      </w:r>
      <w:r>
        <w:rPr>
          <w:b/>
          <w:bCs/>
        </w:rPr>
        <w:t xml:space="preserve"> JUSTICE FALK :</w:t>
      </w:r>
    </w:p>
    <w:p w14:paraId="611717E1" w14:textId="666E6CC4" w:rsidR="00267790" w:rsidRDefault="00EB2A46" w:rsidP="00C7371D">
      <w:pPr>
        <w:pStyle w:val="ParaLevel1"/>
        <w:numPr>
          <w:ilvl w:val="0"/>
          <w:numId w:val="11"/>
        </w:numPr>
        <w:ind w:left="454" w:hanging="454"/>
      </w:pPr>
      <w:r>
        <w:t>I agree</w:t>
      </w:r>
      <w:r w:rsidR="00816740">
        <w:t>.</w:t>
      </w:r>
    </w:p>
    <w:p w14:paraId="2A5A94D0" w14:textId="2C78DF37" w:rsidR="009702FE" w:rsidRDefault="009702FE" w:rsidP="00C7371D">
      <w:pPr>
        <w:pStyle w:val="ParaLevel1"/>
        <w:numPr>
          <w:ilvl w:val="0"/>
          <w:numId w:val="0"/>
        </w:numPr>
        <w:ind w:left="720" w:hanging="720"/>
        <w:rPr>
          <w:b/>
          <w:bCs/>
        </w:rPr>
      </w:pPr>
      <w:r>
        <w:rPr>
          <w:b/>
          <w:bCs/>
        </w:rPr>
        <w:t>LORD JUSTICE LEWISON :</w:t>
      </w:r>
    </w:p>
    <w:p w14:paraId="15A50897" w14:textId="354F8EAB" w:rsidR="00363739" w:rsidRPr="00EB2A46" w:rsidRDefault="00EB2A46" w:rsidP="00C7371D">
      <w:pPr>
        <w:pStyle w:val="ParaLevel1"/>
        <w:numPr>
          <w:ilvl w:val="0"/>
          <w:numId w:val="11"/>
        </w:numPr>
        <w:ind w:left="454" w:hanging="454"/>
      </w:pPr>
      <w:r w:rsidRPr="00EB2A46">
        <w:t>I also agree</w:t>
      </w:r>
      <w:r w:rsidR="00816740">
        <w:t>.</w:t>
      </w:r>
    </w:p>
    <w:p w14:paraId="4F99A641" w14:textId="1327FC7E" w:rsidR="001606C6" w:rsidRDefault="001606C6" w:rsidP="00C7371D">
      <w:pPr>
        <w:rPr>
          <w:szCs w:val="20"/>
        </w:rPr>
      </w:pPr>
      <w:r>
        <w:br w:type="page"/>
      </w:r>
    </w:p>
    <w:p w14:paraId="46B3C24E" w14:textId="2D176A38" w:rsidR="009702FE" w:rsidRPr="001606C6" w:rsidRDefault="00363739" w:rsidP="00C7371D">
      <w:pPr>
        <w:pStyle w:val="ParaLevel1"/>
        <w:numPr>
          <w:ilvl w:val="0"/>
          <w:numId w:val="0"/>
        </w:numPr>
        <w:rPr>
          <w:b/>
          <w:bCs/>
        </w:rPr>
      </w:pPr>
      <w:r>
        <w:lastRenderedPageBreak/>
        <w:tab/>
      </w:r>
      <w:r>
        <w:tab/>
      </w:r>
      <w:r>
        <w:tab/>
      </w:r>
      <w:r>
        <w:tab/>
      </w:r>
      <w:r>
        <w:tab/>
      </w:r>
      <w:r>
        <w:tab/>
      </w:r>
      <w:r w:rsidRPr="001606C6">
        <w:rPr>
          <w:b/>
          <w:bCs/>
        </w:rPr>
        <w:t>Annex 1</w:t>
      </w:r>
    </w:p>
    <w:p w14:paraId="5D3551B0" w14:textId="77777777" w:rsidR="00467B4B" w:rsidRDefault="00187BD1" w:rsidP="00C7371D">
      <w:pPr>
        <w:pStyle w:val="ParaLevel1"/>
        <w:numPr>
          <w:ilvl w:val="0"/>
          <w:numId w:val="0"/>
        </w:numPr>
        <w:ind w:left="567"/>
        <w:rPr>
          <w:b/>
          <w:bCs/>
        </w:rPr>
      </w:pPr>
      <w:r w:rsidRPr="00187BD1">
        <w:rPr>
          <w:b/>
          <w:bCs/>
        </w:rPr>
        <w:t>Payment</w:t>
      </w:r>
    </w:p>
    <w:p w14:paraId="65169652" w14:textId="548648C9" w:rsidR="00363739" w:rsidRPr="00467B4B" w:rsidRDefault="00B4661F" w:rsidP="00C7371D">
      <w:pPr>
        <w:pStyle w:val="ParaLevel1"/>
        <w:numPr>
          <w:ilvl w:val="0"/>
          <w:numId w:val="0"/>
        </w:numPr>
        <w:ind w:left="567"/>
        <w:rPr>
          <w:b/>
          <w:bCs/>
        </w:rPr>
      </w:pPr>
      <w:r>
        <w:rPr>
          <w:sz w:val="25"/>
          <w:szCs w:val="25"/>
        </w:rPr>
        <w:t>Subject to the provisions contained herein, THE REPUBLIC OF ARGENTINA (the “</w:t>
      </w:r>
      <w:r>
        <w:rPr>
          <w:sz w:val="25"/>
          <w:szCs w:val="25"/>
          <w:u w:val="single"/>
        </w:rPr>
        <w:t>Republic”</w:t>
      </w:r>
      <w:r>
        <w:rPr>
          <w:sz w:val="25"/>
          <w:szCs w:val="25"/>
        </w:rPr>
        <w:t xml:space="preserve">), for value received, hereby promises to pay </w:t>
      </w:r>
      <w:r w:rsidR="00E00A01">
        <w:rPr>
          <w:sz w:val="25"/>
          <w:szCs w:val="25"/>
        </w:rPr>
        <w:t xml:space="preserve">… </w:t>
      </w:r>
      <w:r>
        <w:rPr>
          <w:sz w:val="25"/>
          <w:szCs w:val="25"/>
        </w:rPr>
        <w:t>the Payment Amount (as defined in Paragraph 1(e) of the Terms and Conditions set forth on the reverse hereof (the “</w:t>
      </w:r>
      <w:r>
        <w:rPr>
          <w:sz w:val="25"/>
          <w:szCs w:val="25"/>
          <w:u w:val="single"/>
        </w:rPr>
        <w:t>Terms</w:t>
      </w:r>
      <w:r>
        <w:rPr>
          <w:sz w:val="25"/>
          <w:szCs w:val="25"/>
        </w:rPr>
        <w:t xml:space="preserve">”)) in accordance with the Terms. </w:t>
      </w:r>
      <w:r w:rsidR="00363739" w:rsidRPr="00363739">
        <w:t>The Payment Amount, if any, shall be payable on December 15 of each year following the relevant Reference Year (as defined in Paragraph l(e) of the Terms) (each, a "</w:t>
      </w:r>
      <w:r w:rsidR="00363739" w:rsidRPr="00363739">
        <w:rPr>
          <w:u w:val="single"/>
        </w:rPr>
        <w:t>Payment Date</w:t>
      </w:r>
      <w:r w:rsidR="00363739" w:rsidRPr="00363739">
        <w:t xml:space="preserve">"), commencing on December 15 2006 and terminating no later than </w:t>
      </w:r>
      <w:r w:rsidR="00E90348">
        <w:t>[the earlier of 15 December 20</w:t>
      </w:r>
      <w:r w:rsidR="0023224E">
        <w:t>35 or the Payment Cap being reached]</w:t>
      </w:r>
    </w:p>
    <w:p w14:paraId="2E91BA81" w14:textId="73DE9E83" w:rsidR="00363739" w:rsidRPr="00363739" w:rsidRDefault="00187BD1" w:rsidP="00C7371D">
      <w:pPr>
        <w:pStyle w:val="ParaLevel1"/>
        <w:numPr>
          <w:ilvl w:val="0"/>
          <w:numId w:val="0"/>
        </w:numPr>
        <w:ind w:left="567"/>
        <w:rPr>
          <w:b/>
          <w:bCs/>
        </w:rPr>
      </w:pPr>
      <w:r w:rsidRPr="00187BD1">
        <w:rPr>
          <w:b/>
          <w:bCs/>
        </w:rPr>
        <w:t>P</w:t>
      </w:r>
      <w:r w:rsidR="0023224E">
        <w:rPr>
          <w:b/>
          <w:bCs/>
        </w:rPr>
        <w:t>ayment Co</w:t>
      </w:r>
      <w:r w:rsidRPr="00187BD1">
        <w:rPr>
          <w:b/>
          <w:bCs/>
        </w:rPr>
        <w:t>nditions</w:t>
      </w:r>
    </w:p>
    <w:p w14:paraId="72D6E8DE" w14:textId="06047776" w:rsidR="00187BD1" w:rsidRPr="00363739" w:rsidRDefault="00187BD1" w:rsidP="00C7371D">
      <w:pPr>
        <w:pStyle w:val="ParaLevel1"/>
        <w:numPr>
          <w:ilvl w:val="0"/>
          <w:numId w:val="0"/>
        </w:numPr>
        <w:ind w:left="567"/>
      </w:pPr>
      <w:r w:rsidRPr="00363739">
        <w:t xml:space="preserve">Clause 2 (b) </w:t>
      </w:r>
      <w:bookmarkStart w:id="12" w:name="_Hlk167259993"/>
      <w:r w:rsidRPr="00363739">
        <w:t>Notwithstanding anything to the contrary hereunder, Holders of this Security shall not be entitled to receive any payment pursuant to this Security in respect of any Reference Year unless (i) Actual Real GDP for such Reference Year is greater than Base Case GDP for such Reference Year, (ii) Actual Real GDP Growth for such Reference Year is greater than Base Case GDP Growth for such Reference Year, and (iii) the aggregate amount of all payments made by the Republic hereunder, when added to the amount of such payment, does not exceed the Payment Cap.</w:t>
      </w:r>
    </w:p>
    <w:bookmarkEnd w:id="12"/>
    <w:p w14:paraId="57E9D587" w14:textId="07BC7D1E" w:rsidR="00187BD1" w:rsidRPr="00187BD1" w:rsidRDefault="00187BD1" w:rsidP="00C7371D">
      <w:pPr>
        <w:pStyle w:val="ParaLevel1"/>
        <w:numPr>
          <w:ilvl w:val="0"/>
          <w:numId w:val="0"/>
        </w:numPr>
        <w:ind w:left="567"/>
        <w:rPr>
          <w:b/>
          <w:bCs/>
        </w:rPr>
      </w:pPr>
      <w:r w:rsidRPr="00187BD1">
        <w:rPr>
          <w:b/>
          <w:bCs/>
        </w:rPr>
        <w:t>Definitions</w:t>
      </w:r>
    </w:p>
    <w:p w14:paraId="29F0A4FC" w14:textId="702E72DC" w:rsidR="00363739" w:rsidRPr="00363739" w:rsidRDefault="00363739" w:rsidP="00C7371D">
      <w:pPr>
        <w:pStyle w:val="ParaLevel1"/>
        <w:numPr>
          <w:ilvl w:val="0"/>
          <w:numId w:val="0"/>
        </w:numPr>
        <w:ind w:left="567"/>
      </w:pPr>
      <w:r w:rsidRPr="00363739">
        <w:t>"</w:t>
      </w:r>
      <w:r w:rsidRPr="00363739">
        <w:rPr>
          <w:u w:val="single"/>
        </w:rPr>
        <w:t>Actual Nominal GDP</w:t>
      </w:r>
      <w:r w:rsidRPr="00363739">
        <w:t>" means, for any Reference Year, an amount equal to Actual Real GDP for such Reference Year multiplied by the GDP Deflator for such Reference Year.</w:t>
      </w:r>
    </w:p>
    <w:p w14:paraId="727858A5" w14:textId="47F7DF5F" w:rsidR="00363739" w:rsidRPr="00363739" w:rsidRDefault="00363739" w:rsidP="00C7371D">
      <w:pPr>
        <w:pStyle w:val="ParaLevel1"/>
        <w:numPr>
          <w:ilvl w:val="0"/>
          <w:numId w:val="0"/>
        </w:numPr>
        <w:ind w:left="567"/>
      </w:pPr>
      <w:r w:rsidRPr="00363739">
        <w:t>"</w:t>
      </w:r>
      <w:r w:rsidRPr="00363739">
        <w:rPr>
          <w:u w:val="single"/>
        </w:rPr>
        <w:t>Actual Real GDP</w:t>
      </w:r>
      <w:r w:rsidRPr="00363739">
        <w:t>" means, for any Reference Year, the gross domestic product of</w:t>
      </w:r>
      <w:r w:rsidR="00187BD1">
        <w:t xml:space="preserve"> </w:t>
      </w:r>
      <w:r w:rsidRPr="00363739">
        <w:t>Argentina for such Reference Year measured in constant prices for the Year of Base Prices, as published by INDEC.</w:t>
      </w:r>
    </w:p>
    <w:p w14:paraId="0E9D20D4" w14:textId="47AF1582" w:rsidR="00363739" w:rsidRPr="00363739" w:rsidRDefault="00363739" w:rsidP="00C7371D">
      <w:pPr>
        <w:pStyle w:val="ParaLevel1"/>
        <w:numPr>
          <w:ilvl w:val="0"/>
          <w:numId w:val="0"/>
        </w:numPr>
        <w:ind w:left="567"/>
      </w:pPr>
      <w:r w:rsidRPr="00363739">
        <w:t>"</w:t>
      </w:r>
      <w:r w:rsidRPr="00363739">
        <w:rPr>
          <w:u w:val="single"/>
        </w:rPr>
        <w:t>Actual Real GDP Growth</w:t>
      </w:r>
      <w:r w:rsidRPr="00363739">
        <w:t xml:space="preserve">" means, for any Reference Year, the percentage change in Actual Real GDP for such Reference Year, as compared to Actual Real GDP for the  immediately preceding Reference Year; </w:t>
      </w:r>
      <w:r w:rsidRPr="00363739">
        <w:rPr>
          <w:i/>
          <w:iCs/>
        </w:rPr>
        <w:t xml:space="preserve">provided </w:t>
      </w:r>
      <w:r w:rsidRPr="00363739">
        <w:t>that</w:t>
      </w:r>
      <w:r w:rsidRPr="00363739">
        <w:rPr>
          <w:i/>
          <w:iCs/>
        </w:rPr>
        <w:t xml:space="preserve">, </w:t>
      </w:r>
      <w:r w:rsidRPr="00363739">
        <w:t>if the Year of Base Prices employed by INDEC for determining Actual Real GDP for such Reference Year and for the immediately preceding Reference Year shall differ, then Actual Real GDP for the immediately preceding Reference Year shall for this purposes be measured using constant prices for the Year of Base Prices applicable to the Reference Year in respect of which Actual Real GDP Growth is being determined.</w:t>
      </w:r>
    </w:p>
    <w:p w14:paraId="6E886645" w14:textId="169A28AA" w:rsidR="00363739" w:rsidRPr="00363739" w:rsidRDefault="00363739" w:rsidP="00C7371D">
      <w:pPr>
        <w:pStyle w:val="ParaLevel1"/>
        <w:numPr>
          <w:ilvl w:val="0"/>
          <w:numId w:val="0"/>
        </w:numPr>
        <w:ind w:left="567"/>
      </w:pPr>
      <w:r w:rsidRPr="00363739">
        <w:t>"</w:t>
      </w:r>
      <w:r w:rsidRPr="00363739">
        <w:rPr>
          <w:u w:val="single"/>
        </w:rPr>
        <w:t>Available Excess GDP</w:t>
      </w:r>
      <w:r w:rsidRPr="00363739">
        <w:t>" means, for any Reference Year, an amount in Argentine pesos</w:t>
      </w:r>
      <w:r w:rsidR="00187BD1">
        <w:t xml:space="preserve"> </w:t>
      </w:r>
      <w:r w:rsidRPr="00363739">
        <w:t>equal to (i) 5%</w:t>
      </w:r>
      <w:r w:rsidRPr="00363739">
        <w:rPr>
          <w:i/>
          <w:iCs/>
        </w:rPr>
        <w:t xml:space="preserve"> </w:t>
      </w:r>
      <w:r w:rsidRPr="00363739">
        <w:t xml:space="preserve">of Excess GDP for such Reference Year, </w:t>
      </w:r>
      <w:r w:rsidRPr="00363739">
        <w:rPr>
          <w:i/>
          <w:iCs/>
        </w:rPr>
        <w:t xml:space="preserve">multiplied </w:t>
      </w:r>
      <w:r w:rsidRPr="00363739">
        <w:t>by (ii) the Unit of Currency Coefficient.</w:t>
      </w:r>
    </w:p>
    <w:p w14:paraId="06F88634" w14:textId="4C55BC22" w:rsidR="00363739" w:rsidRPr="00C670A7" w:rsidRDefault="00363739" w:rsidP="00C7371D">
      <w:pPr>
        <w:pStyle w:val="ParaLevel1"/>
        <w:numPr>
          <w:ilvl w:val="0"/>
          <w:numId w:val="0"/>
        </w:numPr>
        <w:ind w:left="567"/>
        <w:rPr>
          <w:rFonts w:asciiTheme="majorBidi" w:hAnsiTheme="majorBidi" w:cstheme="majorBidi"/>
          <w:szCs w:val="24"/>
        </w:rPr>
      </w:pPr>
      <w:r w:rsidRPr="00363739">
        <w:t>"</w:t>
      </w:r>
      <w:r w:rsidRPr="00363739">
        <w:rPr>
          <w:u w:val="single"/>
        </w:rPr>
        <w:t>Base Case GDP</w:t>
      </w:r>
      <w:r w:rsidRPr="00363739">
        <w:t>" means, for any Reference Year, the amount set forth in the chart below</w:t>
      </w:r>
      <w:r w:rsidR="00642229">
        <w:t xml:space="preserve"> </w:t>
      </w:r>
      <w:r w:rsidRPr="00363739">
        <w:t>for such year: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42229" w:rsidRPr="00C670A7" w14:paraId="783E578B" w14:textId="77777777" w:rsidTr="00A11FC6">
        <w:tc>
          <w:tcPr>
            <w:tcW w:w="2254" w:type="dxa"/>
          </w:tcPr>
          <w:p w14:paraId="1620DD26" w14:textId="77777777" w:rsidR="00642229" w:rsidRPr="00C670A7" w:rsidRDefault="00642229" w:rsidP="00C7371D">
            <w:pPr>
              <w:autoSpaceDE w:val="0"/>
              <w:autoSpaceDN w:val="0"/>
              <w:adjustRightInd w:val="0"/>
              <w:rPr>
                <w:rFonts w:asciiTheme="majorBidi" w:hAnsiTheme="majorBidi" w:cstheme="majorBidi"/>
              </w:rPr>
            </w:pPr>
          </w:p>
          <w:p w14:paraId="05D0B242" w14:textId="77777777" w:rsidR="00642229" w:rsidRPr="00C670A7" w:rsidRDefault="00642229" w:rsidP="00C7371D">
            <w:pPr>
              <w:autoSpaceDE w:val="0"/>
              <w:autoSpaceDN w:val="0"/>
              <w:adjustRightInd w:val="0"/>
              <w:rPr>
                <w:rFonts w:asciiTheme="majorBidi" w:hAnsiTheme="majorBidi" w:cstheme="majorBidi"/>
              </w:rPr>
            </w:pPr>
          </w:p>
          <w:p w14:paraId="325341FA"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Reference Year</w:t>
            </w:r>
          </w:p>
        </w:tc>
        <w:tc>
          <w:tcPr>
            <w:tcW w:w="2254" w:type="dxa"/>
          </w:tcPr>
          <w:p w14:paraId="3F16EFE8"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Base Case GDP (in millions of constant 1993 pesos)</w:t>
            </w:r>
          </w:p>
        </w:tc>
        <w:tc>
          <w:tcPr>
            <w:tcW w:w="2254" w:type="dxa"/>
          </w:tcPr>
          <w:p w14:paraId="6DFE7A2F" w14:textId="77777777" w:rsidR="00642229" w:rsidRPr="00C670A7" w:rsidRDefault="00642229" w:rsidP="00C7371D">
            <w:pPr>
              <w:autoSpaceDE w:val="0"/>
              <w:autoSpaceDN w:val="0"/>
              <w:adjustRightInd w:val="0"/>
              <w:rPr>
                <w:rFonts w:asciiTheme="majorBidi" w:hAnsiTheme="majorBidi" w:cstheme="majorBidi"/>
              </w:rPr>
            </w:pPr>
          </w:p>
          <w:p w14:paraId="56A25449" w14:textId="77777777" w:rsidR="00642229" w:rsidRPr="00C670A7" w:rsidRDefault="00642229" w:rsidP="00C7371D">
            <w:pPr>
              <w:autoSpaceDE w:val="0"/>
              <w:autoSpaceDN w:val="0"/>
              <w:adjustRightInd w:val="0"/>
              <w:rPr>
                <w:rFonts w:asciiTheme="majorBidi" w:hAnsiTheme="majorBidi" w:cstheme="majorBidi"/>
              </w:rPr>
            </w:pPr>
          </w:p>
          <w:p w14:paraId="2C884E0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Reference Year</w:t>
            </w:r>
          </w:p>
        </w:tc>
        <w:tc>
          <w:tcPr>
            <w:tcW w:w="2254" w:type="dxa"/>
          </w:tcPr>
          <w:p w14:paraId="0427719D"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Base Case GDP (in millions of constant 1993 pesos)</w:t>
            </w:r>
          </w:p>
        </w:tc>
      </w:tr>
      <w:tr w:rsidR="00642229" w:rsidRPr="00C670A7" w14:paraId="4F0E4B42" w14:textId="77777777" w:rsidTr="00A11FC6">
        <w:tc>
          <w:tcPr>
            <w:tcW w:w="2254" w:type="dxa"/>
          </w:tcPr>
          <w:p w14:paraId="0AB16297" w14:textId="77777777" w:rsidR="00642229" w:rsidRPr="00C670A7" w:rsidRDefault="00642229" w:rsidP="00C7371D">
            <w:pPr>
              <w:autoSpaceDE w:val="0"/>
              <w:autoSpaceDN w:val="0"/>
              <w:adjustRightInd w:val="0"/>
              <w:rPr>
                <w:rFonts w:asciiTheme="majorBidi" w:hAnsiTheme="majorBidi" w:cstheme="majorBidi"/>
              </w:rPr>
            </w:pPr>
          </w:p>
        </w:tc>
        <w:tc>
          <w:tcPr>
            <w:tcW w:w="2254" w:type="dxa"/>
          </w:tcPr>
          <w:p w14:paraId="521FEE55" w14:textId="77777777" w:rsidR="00642229" w:rsidRPr="00C670A7" w:rsidRDefault="00642229" w:rsidP="00C7371D">
            <w:pPr>
              <w:autoSpaceDE w:val="0"/>
              <w:autoSpaceDN w:val="0"/>
              <w:adjustRightInd w:val="0"/>
              <w:rPr>
                <w:rFonts w:asciiTheme="majorBidi" w:hAnsiTheme="majorBidi" w:cstheme="majorBidi"/>
              </w:rPr>
            </w:pPr>
          </w:p>
        </w:tc>
        <w:tc>
          <w:tcPr>
            <w:tcW w:w="2254" w:type="dxa"/>
          </w:tcPr>
          <w:p w14:paraId="2E07048D" w14:textId="77777777" w:rsidR="00642229" w:rsidRPr="00C670A7" w:rsidRDefault="00642229" w:rsidP="00C7371D">
            <w:pPr>
              <w:autoSpaceDE w:val="0"/>
              <w:autoSpaceDN w:val="0"/>
              <w:adjustRightInd w:val="0"/>
              <w:rPr>
                <w:rFonts w:asciiTheme="majorBidi" w:hAnsiTheme="majorBidi" w:cstheme="majorBidi"/>
              </w:rPr>
            </w:pPr>
          </w:p>
        </w:tc>
        <w:tc>
          <w:tcPr>
            <w:tcW w:w="2254" w:type="dxa"/>
          </w:tcPr>
          <w:p w14:paraId="5E466E9C" w14:textId="77777777" w:rsidR="00642229" w:rsidRPr="00C670A7" w:rsidRDefault="00642229" w:rsidP="00C7371D">
            <w:pPr>
              <w:autoSpaceDE w:val="0"/>
              <w:autoSpaceDN w:val="0"/>
              <w:adjustRightInd w:val="0"/>
              <w:rPr>
                <w:rFonts w:asciiTheme="majorBidi" w:hAnsiTheme="majorBidi" w:cstheme="majorBidi"/>
              </w:rPr>
            </w:pPr>
          </w:p>
        </w:tc>
      </w:tr>
      <w:tr w:rsidR="00642229" w:rsidRPr="00C670A7" w14:paraId="085133AB" w14:textId="77777777" w:rsidTr="00A11FC6">
        <w:tc>
          <w:tcPr>
            <w:tcW w:w="2254" w:type="dxa"/>
          </w:tcPr>
          <w:p w14:paraId="726A1517"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2005</w:t>
            </w:r>
          </w:p>
        </w:tc>
        <w:tc>
          <w:tcPr>
            <w:tcW w:w="2254" w:type="dxa"/>
          </w:tcPr>
          <w:p w14:paraId="6AB805B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287,012.52</w:t>
            </w:r>
          </w:p>
        </w:tc>
        <w:tc>
          <w:tcPr>
            <w:tcW w:w="2254" w:type="dxa"/>
          </w:tcPr>
          <w:p w14:paraId="30BF5EB3"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2020</w:t>
            </w:r>
          </w:p>
        </w:tc>
        <w:tc>
          <w:tcPr>
            <w:tcW w:w="2254" w:type="dxa"/>
          </w:tcPr>
          <w:p w14:paraId="38A0B51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458,555.87</w:t>
            </w:r>
          </w:p>
        </w:tc>
      </w:tr>
      <w:tr w:rsidR="00642229" w:rsidRPr="00C670A7" w14:paraId="7504029A" w14:textId="77777777" w:rsidTr="00A11FC6">
        <w:tc>
          <w:tcPr>
            <w:tcW w:w="2254" w:type="dxa"/>
          </w:tcPr>
          <w:p w14:paraId="2E37CC96"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2006</w:t>
            </w:r>
          </w:p>
        </w:tc>
        <w:tc>
          <w:tcPr>
            <w:tcW w:w="2254" w:type="dxa"/>
          </w:tcPr>
          <w:p w14:paraId="2DB06970"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297,221.54</w:t>
            </w:r>
          </w:p>
        </w:tc>
        <w:tc>
          <w:tcPr>
            <w:tcW w:w="2254" w:type="dxa"/>
          </w:tcPr>
          <w:p w14:paraId="63C9CA7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2021</w:t>
            </w:r>
          </w:p>
        </w:tc>
        <w:tc>
          <w:tcPr>
            <w:tcW w:w="2254" w:type="dxa"/>
          </w:tcPr>
          <w:p w14:paraId="4F6872AC"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472,312.54</w:t>
            </w:r>
          </w:p>
        </w:tc>
      </w:tr>
      <w:tr w:rsidR="00642229" w:rsidRPr="00C670A7" w14:paraId="233FDCB0" w14:textId="77777777" w:rsidTr="00A11FC6">
        <w:tc>
          <w:tcPr>
            <w:tcW w:w="2254" w:type="dxa"/>
          </w:tcPr>
          <w:p w14:paraId="35E4D125"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2007</w:t>
            </w:r>
          </w:p>
        </w:tc>
        <w:tc>
          <w:tcPr>
            <w:tcW w:w="2254" w:type="dxa"/>
          </w:tcPr>
          <w:p w14:paraId="2638546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307,369.47</w:t>
            </w:r>
          </w:p>
        </w:tc>
        <w:tc>
          <w:tcPr>
            <w:tcW w:w="2254" w:type="dxa"/>
          </w:tcPr>
          <w:p w14:paraId="5A09E235"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2022</w:t>
            </w:r>
          </w:p>
        </w:tc>
        <w:tc>
          <w:tcPr>
            <w:tcW w:w="2254" w:type="dxa"/>
          </w:tcPr>
          <w:p w14:paraId="4837E458"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486,481.92</w:t>
            </w:r>
          </w:p>
        </w:tc>
      </w:tr>
      <w:tr w:rsidR="00642229" w:rsidRPr="00C670A7" w14:paraId="7A14660B" w14:textId="77777777" w:rsidTr="00A11FC6">
        <w:tc>
          <w:tcPr>
            <w:tcW w:w="2254" w:type="dxa"/>
          </w:tcPr>
          <w:p w14:paraId="640201C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2008</w:t>
            </w:r>
          </w:p>
        </w:tc>
        <w:tc>
          <w:tcPr>
            <w:tcW w:w="2254" w:type="dxa"/>
          </w:tcPr>
          <w:p w14:paraId="3C0C530B"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317,520.47</w:t>
            </w:r>
          </w:p>
        </w:tc>
        <w:tc>
          <w:tcPr>
            <w:tcW w:w="2254" w:type="dxa"/>
          </w:tcPr>
          <w:p w14:paraId="3FDA959A"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2023</w:t>
            </w:r>
          </w:p>
        </w:tc>
        <w:tc>
          <w:tcPr>
            <w:tcW w:w="2254" w:type="dxa"/>
          </w:tcPr>
          <w:p w14:paraId="3FAA0F29"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501,076.38</w:t>
            </w:r>
          </w:p>
        </w:tc>
      </w:tr>
      <w:tr w:rsidR="00642229" w:rsidRPr="00C670A7" w14:paraId="462594F1" w14:textId="77777777" w:rsidTr="00A11FC6">
        <w:tc>
          <w:tcPr>
            <w:tcW w:w="2254" w:type="dxa"/>
          </w:tcPr>
          <w:p w14:paraId="7B9B9F24"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2009</w:t>
            </w:r>
          </w:p>
        </w:tc>
        <w:tc>
          <w:tcPr>
            <w:tcW w:w="2254" w:type="dxa"/>
          </w:tcPr>
          <w:p w14:paraId="1C351EB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327,968.83</w:t>
            </w:r>
          </w:p>
        </w:tc>
        <w:tc>
          <w:tcPr>
            <w:tcW w:w="2254" w:type="dxa"/>
          </w:tcPr>
          <w:p w14:paraId="3CE73475"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2024</w:t>
            </w:r>
          </w:p>
        </w:tc>
        <w:tc>
          <w:tcPr>
            <w:tcW w:w="2254" w:type="dxa"/>
          </w:tcPr>
          <w:p w14:paraId="0CD44346"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516,108.67</w:t>
            </w:r>
          </w:p>
        </w:tc>
      </w:tr>
      <w:tr w:rsidR="00642229" w:rsidRPr="00C670A7" w14:paraId="5B1AAC02" w14:textId="77777777" w:rsidTr="00A11FC6">
        <w:tc>
          <w:tcPr>
            <w:tcW w:w="2254" w:type="dxa"/>
          </w:tcPr>
          <w:p w14:paraId="2ACFCA74"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2010</w:t>
            </w:r>
          </w:p>
        </w:tc>
        <w:tc>
          <w:tcPr>
            <w:tcW w:w="2254" w:type="dxa"/>
          </w:tcPr>
          <w:p w14:paraId="0096830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338,675.94</w:t>
            </w:r>
          </w:p>
        </w:tc>
        <w:tc>
          <w:tcPr>
            <w:tcW w:w="2254" w:type="dxa"/>
          </w:tcPr>
          <w:p w14:paraId="292CA66A"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2025</w:t>
            </w:r>
          </w:p>
        </w:tc>
        <w:tc>
          <w:tcPr>
            <w:tcW w:w="2254" w:type="dxa"/>
          </w:tcPr>
          <w:p w14:paraId="30F8FD50"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531,591.93</w:t>
            </w:r>
          </w:p>
        </w:tc>
      </w:tr>
      <w:tr w:rsidR="00642229" w:rsidRPr="00C670A7" w14:paraId="1BA9E62D" w14:textId="77777777" w:rsidTr="00A11FC6">
        <w:tc>
          <w:tcPr>
            <w:tcW w:w="2254" w:type="dxa"/>
          </w:tcPr>
          <w:p w14:paraId="2945A4ED"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2011</w:t>
            </w:r>
          </w:p>
        </w:tc>
        <w:tc>
          <w:tcPr>
            <w:tcW w:w="2254" w:type="dxa"/>
          </w:tcPr>
          <w:p w14:paraId="6FD4F24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349,720.39</w:t>
            </w:r>
          </w:p>
        </w:tc>
        <w:tc>
          <w:tcPr>
            <w:tcW w:w="2254" w:type="dxa"/>
          </w:tcPr>
          <w:p w14:paraId="5760B536"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2026</w:t>
            </w:r>
          </w:p>
        </w:tc>
        <w:tc>
          <w:tcPr>
            <w:tcW w:w="2254" w:type="dxa"/>
          </w:tcPr>
          <w:p w14:paraId="3414C3D7"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547,539.93</w:t>
            </w:r>
          </w:p>
        </w:tc>
      </w:tr>
      <w:tr w:rsidR="00642229" w:rsidRPr="00C670A7" w14:paraId="106EA9A9" w14:textId="77777777" w:rsidTr="00A11FC6">
        <w:tc>
          <w:tcPr>
            <w:tcW w:w="2254" w:type="dxa"/>
          </w:tcPr>
          <w:p w14:paraId="5FF0025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2012</w:t>
            </w:r>
          </w:p>
        </w:tc>
        <w:tc>
          <w:tcPr>
            <w:tcW w:w="2254" w:type="dxa"/>
          </w:tcPr>
          <w:p w14:paraId="1597CEEE"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361,124.97</w:t>
            </w:r>
          </w:p>
        </w:tc>
        <w:tc>
          <w:tcPr>
            <w:tcW w:w="2254" w:type="dxa"/>
          </w:tcPr>
          <w:p w14:paraId="7BEA40D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2027</w:t>
            </w:r>
          </w:p>
        </w:tc>
        <w:tc>
          <w:tcPr>
            <w:tcW w:w="2254" w:type="dxa"/>
          </w:tcPr>
          <w:p w14:paraId="64C5B99D"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563,965.88</w:t>
            </w:r>
          </w:p>
        </w:tc>
      </w:tr>
      <w:tr w:rsidR="00642229" w:rsidRPr="00C670A7" w14:paraId="333A00E5" w14:textId="77777777" w:rsidTr="00A11FC6">
        <w:tc>
          <w:tcPr>
            <w:tcW w:w="2254" w:type="dxa"/>
          </w:tcPr>
          <w:p w14:paraId="006F61E9"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2013</w:t>
            </w:r>
          </w:p>
        </w:tc>
        <w:tc>
          <w:tcPr>
            <w:tcW w:w="2254" w:type="dxa"/>
          </w:tcPr>
          <w:p w14:paraId="4C0BCCE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372,753.73</w:t>
            </w:r>
          </w:p>
        </w:tc>
        <w:tc>
          <w:tcPr>
            <w:tcW w:w="2254" w:type="dxa"/>
          </w:tcPr>
          <w:p w14:paraId="7BBFDE8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2028</w:t>
            </w:r>
          </w:p>
        </w:tc>
        <w:tc>
          <w:tcPr>
            <w:tcW w:w="2254" w:type="dxa"/>
          </w:tcPr>
          <w:p w14:paraId="0AC7EF75"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580,884.85</w:t>
            </w:r>
          </w:p>
        </w:tc>
      </w:tr>
      <w:tr w:rsidR="00642229" w:rsidRPr="00C670A7" w14:paraId="2B9D04F7" w14:textId="77777777" w:rsidTr="00A11FC6">
        <w:tc>
          <w:tcPr>
            <w:tcW w:w="2254" w:type="dxa"/>
          </w:tcPr>
          <w:p w14:paraId="53411D2B"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2014</w:t>
            </w:r>
          </w:p>
        </w:tc>
        <w:tc>
          <w:tcPr>
            <w:tcW w:w="2254" w:type="dxa"/>
          </w:tcPr>
          <w:p w14:paraId="0408DB82"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384,033.32</w:t>
            </w:r>
          </w:p>
        </w:tc>
        <w:tc>
          <w:tcPr>
            <w:tcW w:w="2254" w:type="dxa"/>
          </w:tcPr>
          <w:p w14:paraId="62D9B86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2029</w:t>
            </w:r>
          </w:p>
        </w:tc>
        <w:tc>
          <w:tcPr>
            <w:tcW w:w="2254" w:type="dxa"/>
          </w:tcPr>
          <w:p w14:paraId="55835D3E"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598,311.40</w:t>
            </w:r>
          </w:p>
        </w:tc>
      </w:tr>
      <w:tr w:rsidR="00642229" w:rsidRPr="00C670A7" w14:paraId="03FE53A3" w14:textId="77777777" w:rsidTr="00A11FC6">
        <w:tc>
          <w:tcPr>
            <w:tcW w:w="2254" w:type="dxa"/>
          </w:tcPr>
          <w:p w14:paraId="41D451B8"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2015</w:t>
            </w:r>
          </w:p>
        </w:tc>
        <w:tc>
          <w:tcPr>
            <w:tcW w:w="2254" w:type="dxa"/>
          </w:tcPr>
          <w:p w14:paraId="094FDF75"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395,554.32</w:t>
            </w:r>
          </w:p>
        </w:tc>
        <w:tc>
          <w:tcPr>
            <w:tcW w:w="2254" w:type="dxa"/>
          </w:tcPr>
          <w:p w14:paraId="583C3649"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2030</w:t>
            </w:r>
          </w:p>
        </w:tc>
        <w:tc>
          <w:tcPr>
            <w:tcW w:w="2254" w:type="dxa"/>
          </w:tcPr>
          <w:p w14:paraId="18FB83DC"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616,260.74</w:t>
            </w:r>
          </w:p>
        </w:tc>
      </w:tr>
      <w:tr w:rsidR="00642229" w:rsidRPr="00C670A7" w14:paraId="5BB671EA" w14:textId="77777777" w:rsidTr="00A11FC6">
        <w:tc>
          <w:tcPr>
            <w:tcW w:w="2254" w:type="dxa"/>
          </w:tcPr>
          <w:p w14:paraId="4EDB36FB"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2016</w:t>
            </w:r>
          </w:p>
        </w:tc>
        <w:tc>
          <w:tcPr>
            <w:tcW w:w="2254" w:type="dxa"/>
          </w:tcPr>
          <w:p w14:paraId="4AD91FD0"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407,420.95</w:t>
            </w:r>
          </w:p>
        </w:tc>
        <w:tc>
          <w:tcPr>
            <w:tcW w:w="2254" w:type="dxa"/>
          </w:tcPr>
          <w:p w14:paraId="06A6463C"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2031</w:t>
            </w:r>
          </w:p>
        </w:tc>
        <w:tc>
          <w:tcPr>
            <w:tcW w:w="2254" w:type="dxa"/>
          </w:tcPr>
          <w:p w14:paraId="33E10CD7"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634,748.56</w:t>
            </w:r>
          </w:p>
        </w:tc>
      </w:tr>
      <w:tr w:rsidR="00642229" w:rsidRPr="00C670A7" w14:paraId="695E8C32" w14:textId="77777777" w:rsidTr="00A11FC6">
        <w:tc>
          <w:tcPr>
            <w:tcW w:w="2254" w:type="dxa"/>
          </w:tcPr>
          <w:p w14:paraId="013D07BC"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2017</w:t>
            </w:r>
          </w:p>
        </w:tc>
        <w:tc>
          <w:tcPr>
            <w:tcW w:w="2254" w:type="dxa"/>
          </w:tcPr>
          <w:p w14:paraId="1D5E7617"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419,643.58</w:t>
            </w:r>
          </w:p>
        </w:tc>
        <w:tc>
          <w:tcPr>
            <w:tcW w:w="2254" w:type="dxa"/>
          </w:tcPr>
          <w:p w14:paraId="4BE50C13"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2032</w:t>
            </w:r>
          </w:p>
        </w:tc>
        <w:tc>
          <w:tcPr>
            <w:tcW w:w="2254" w:type="dxa"/>
          </w:tcPr>
          <w:p w14:paraId="2D0D1154"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653,791.02</w:t>
            </w:r>
          </w:p>
        </w:tc>
      </w:tr>
      <w:tr w:rsidR="00642229" w:rsidRPr="00C670A7" w14:paraId="30E57C8C" w14:textId="77777777" w:rsidTr="00A11FC6">
        <w:tc>
          <w:tcPr>
            <w:tcW w:w="2254" w:type="dxa"/>
          </w:tcPr>
          <w:p w14:paraId="6B353B58"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2018</w:t>
            </w:r>
          </w:p>
        </w:tc>
        <w:tc>
          <w:tcPr>
            <w:tcW w:w="2254" w:type="dxa"/>
          </w:tcPr>
          <w:p w14:paraId="74328F5C"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432,232.88</w:t>
            </w:r>
          </w:p>
        </w:tc>
        <w:tc>
          <w:tcPr>
            <w:tcW w:w="2254" w:type="dxa"/>
          </w:tcPr>
          <w:p w14:paraId="52B2A7F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2033</w:t>
            </w:r>
          </w:p>
        </w:tc>
        <w:tc>
          <w:tcPr>
            <w:tcW w:w="2254" w:type="dxa"/>
          </w:tcPr>
          <w:p w14:paraId="2AE1BB9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673,404.75</w:t>
            </w:r>
          </w:p>
        </w:tc>
      </w:tr>
      <w:tr w:rsidR="00642229" w:rsidRPr="00C670A7" w14:paraId="48FD580F" w14:textId="77777777" w:rsidTr="00A11FC6">
        <w:tc>
          <w:tcPr>
            <w:tcW w:w="2254" w:type="dxa"/>
          </w:tcPr>
          <w:p w14:paraId="6EE7DCA6"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2019</w:t>
            </w:r>
          </w:p>
        </w:tc>
        <w:tc>
          <w:tcPr>
            <w:tcW w:w="2254" w:type="dxa"/>
          </w:tcPr>
          <w:p w14:paraId="5008CBAF"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445,199.87</w:t>
            </w:r>
          </w:p>
        </w:tc>
        <w:tc>
          <w:tcPr>
            <w:tcW w:w="2254" w:type="dxa"/>
          </w:tcPr>
          <w:p w14:paraId="7C7ACA51"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2034</w:t>
            </w:r>
          </w:p>
        </w:tc>
        <w:tc>
          <w:tcPr>
            <w:tcW w:w="2254" w:type="dxa"/>
          </w:tcPr>
          <w:p w14:paraId="0DB08C26" w14:textId="77777777" w:rsidR="00642229" w:rsidRPr="00C670A7" w:rsidRDefault="00642229" w:rsidP="00C7371D">
            <w:pPr>
              <w:autoSpaceDE w:val="0"/>
              <w:autoSpaceDN w:val="0"/>
              <w:adjustRightInd w:val="0"/>
              <w:rPr>
                <w:rFonts w:asciiTheme="majorBidi" w:hAnsiTheme="majorBidi" w:cstheme="majorBidi"/>
              </w:rPr>
            </w:pPr>
            <w:r w:rsidRPr="00C670A7">
              <w:rPr>
                <w:rFonts w:asciiTheme="majorBidi" w:hAnsiTheme="majorBidi" w:cstheme="majorBidi"/>
              </w:rPr>
              <w:t>693,606.89</w:t>
            </w:r>
          </w:p>
        </w:tc>
      </w:tr>
    </w:tbl>
    <w:p w14:paraId="3A281184" w14:textId="77777777" w:rsidR="00642229" w:rsidRPr="00C670A7" w:rsidRDefault="00642229" w:rsidP="00C7371D">
      <w:pPr>
        <w:autoSpaceDE w:val="0"/>
        <w:autoSpaceDN w:val="0"/>
        <w:adjustRightInd w:val="0"/>
        <w:rPr>
          <w:rFonts w:asciiTheme="majorBidi" w:eastAsiaTheme="minorHAnsi" w:hAnsiTheme="majorBidi" w:cstheme="majorBidi"/>
        </w:rPr>
      </w:pPr>
    </w:p>
    <w:p w14:paraId="329FC880" w14:textId="77777777" w:rsidR="00363739" w:rsidRPr="00363739" w:rsidRDefault="00363739" w:rsidP="00C7371D">
      <w:pPr>
        <w:pStyle w:val="ParaLevel1"/>
        <w:numPr>
          <w:ilvl w:val="0"/>
          <w:numId w:val="0"/>
        </w:numPr>
        <w:ind w:left="567"/>
      </w:pPr>
      <w:r w:rsidRPr="00363739">
        <w:rPr>
          <w:i/>
          <w:iCs/>
        </w:rPr>
        <w:t xml:space="preserve">provided </w:t>
      </w:r>
      <w:r w:rsidRPr="00363739">
        <w:t>that, if the Year of Base Prices employed by INDEC for determining Actual Real GDP shall at any time be a calendar year other than the year 1993, then the Base Case GDP for each Reference Year shall be adjusted to reflect any such change in the Year of Base Prices by multiplying the Base Case GDP for such Reference Year (as set forth in chart above) by a fraction, the numerator of which shall be the Actual Real GDP for such Reference Year measured in constant prices of the Year of Base Prices, and the denominator of which shall be the Actual Real GDP for such Reference Year measured in constant 1993 prices.</w:t>
      </w:r>
    </w:p>
    <w:p w14:paraId="210C5931" w14:textId="2C474489" w:rsidR="00363739" w:rsidRDefault="00363739" w:rsidP="00C7371D">
      <w:pPr>
        <w:pStyle w:val="ParaLevel1"/>
        <w:numPr>
          <w:ilvl w:val="0"/>
          <w:numId w:val="0"/>
        </w:numPr>
        <w:ind w:left="567"/>
      </w:pPr>
      <w:r w:rsidRPr="00363739">
        <w:t>"</w:t>
      </w:r>
      <w:r w:rsidRPr="00363739">
        <w:rPr>
          <w:u w:val="single"/>
        </w:rPr>
        <w:t>Base Case GDP Growth</w:t>
      </w:r>
      <w:r w:rsidRPr="00363739">
        <w:t>" means, for any Reference Year, the percentage change</w:t>
      </w:r>
      <w:r w:rsidR="004F2C99">
        <w:t xml:space="preserve"> </w:t>
      </w:r>
      <w:r w:rsidRPr="00363739">
        <w:t>in</w:t>
      </w:r>
      <w:r w:rsidR="00130F5D">
        <w:t xml:space="preserve"> </w:t>
      </w:r>
      <w:r w:rsidRPr="00363739">
        <w:t xml:space="preserve">Base Case GDP for such Reference Year, as compared to Base Case GDP for the immediately preceding Reference Year, </w:t>
      </w:r>
      <w:r w:rsidRPr="00363739">
        <w:rPr>
          <w:i/>
          <w:iCs/>
        </w:rPr>
        <w:t xml:space="preserve">except that, </w:t>
      </w:r>
      <w:r w:rsidRPr="00363739">
        <w:t>solely for purposes of determining Base Case GDP Growth for the Reference Year 2005, the Republic shall assume a Base Case GDP for the year 2004 equal to Ps. 275,276.01 (in millions of constant 1993 pesos).</w:t>
      </w:r>
    </w:p>
    <w:p w14:paraId="631D6D51" w14:textId="0A0431BC" w:rsidR="00363739" w:rsidRPr="00363739" w:rsidRDefault="00363739" w:rsidP="00C7371D">
      <w:pPr>
        <w:pStyle w:val="ParaLevel1"/>
        <w:numPr>
          <w:ilvl w:val="0"/>
          <w:numId w:val="0"/>
        </w:numPr>
        <w:ind w:left="567"/>
      </w:pPr>
      <w:r w:rsidRPr="00363739">
        <w:t>"</w:t>
      </w:r>
      <w:r w:rsidRPr="00363739">
        <w:rPr>
          <w:u w:val="single"/>
        </w:rPr>
        <w:t>Excess GDP</w:t>
      </w:r>
      <w:r w:rsidRPr="00363739">
        <w:t>" means, for any Reference Year, the amount (expressed in billions of Argentine pesos), if any, by which Actual Nominal GDP for such Reference Year exceeds the Nominal Base Case GDP for such Reference Year. All calculations necessary to determine Excess GDP based on the information published by INDEC will be performed by the Ministry of Economy (as defined below), and such calculations shall be binding on the Trustee, the Registrar, the trustee paying agent and each other trustee paying agent and all Holders of this Security, absent bad faith, wilful misconduct or manifest error on the part of the Ministry of Economy.</w:t>
      </w:r>
    </w:p>
    <w:p w14:paraId="089431A3" w14:textId="77777777" w:rsidR="00363739" w:rsidRPr="00363739" w:rsidRDefault="00363739" w:rsidP="00C7371D">
      <w:pPr>
        <w:pStyle w:val="ParaLevel1"/>
        <w:numPr>
          <w:ilvl w:val="0"/>
          <w:numId w:val="0"/>
        </w:numPr>
        <w:ind w:left="567"/>
      </w:pPr>
      <w:r w:rsidRPr="00363739">
        <w:t>"</w:t>
      </w:r>
      <w:r w:rsidRPr="00363739">
        <w:rPr>
          <w:u w:val="single"/>
        </w:rPr>
        <w:t>GDP Deflator</w:t>
      </w:r>
      <w:r w:rsidRPr="00363739">
        <w:t>" means, for any Reference Year, the number that results from dividing (i) the gross domestic product of Argentina for such Reference Year measured at the current prices of such Reference Year, as published by INDEC, by (ii) the Actual Real GDP for such Reference Year.</w:t>
      </w:r>
    </w:p>
    <w:p w14:paraId="600B4047" w14:textId="2E19BE04" w:rsidR="00363739" w:rsidRDefault="00363739" w:rsidP="00C7371D">
      <w:pPr>
        <w:pStyle w:val="ParaLevel1"/>
        <w:numPr>
          <w:ilvl w:val="0"/>
          <w:numId w:val="0"/>
        </w:numPr>
        <w:ind w:left="567"/>
      </w:pPr>
      <w:r w:rsidRPr="00363739">
        <w:t>"</w:t>
      </w:r>
      <w:r w:rsidRPr="00363739">
        <w:rPr>
          <w:u w:val="single"/>
        </w:rPr>
        <w:t>Nominal Base Case GDP</w:t>
      </w:r>
      <w:r w:rsidRPr="00363739">
        <w:t>" means, for any Reference Year, an amount equal to Base</w:t>
      </w:r>
      <w:r>
        <w:t xml:space="preserve"> </w:t>
      </w:r>
      <w:r w:rsidRPr="00363739">
        <w:t>Case GDP for such Reference Year multiplied by the GDP Deflator for such Reference Year.</w:t>
      </w:r>
    </w:p>
    <w:p w14:paraId="68A9867E" w14:textId="5DF4AF78" w:rsidR="00363739" w:rsidRDefault="00363739" w:rsidP="00C7371D">
      <w:pPr>
        <w:pStyle w:val="ParaLevel1"/>
        <w:numPr>
          <w:ilvl w:val="0"/>
          <w:numId w:val="0"/>
        </w:numPr>
        <w:ind w:left="567"/>
      </w:pPr>
      <w:r w:rsidRPr="00363739">
        <w:lastRenderedPageBreak/>
        <w:t>"</w:t>
      </w:r>
      <w:r w:rsidRPr="00363739">
        <w:rPr>
          <w:u w:val="single"/>
        </w:rPr>
        <w:t>Payment Amount</w:t>
      </w:r>
      <w:r w:rsidRPr="00363739">
        <w:t xml:space="preserve">" means, for any Payment Date, an amount equal to (i) the Available Excess GDP (converted into euro) for the Reference Year corresponding to such Payment Date, multiplied by (ii) the notional amount of this Security outstanding as of such Payment Date; </w:t>
      </w:r>
      <w:r w:rsidRPr="00363739">
        <w:rPr>
          <w:i/>
          <w:iCs/>
        </w:rPr>
        <w:t xml:space="preserve">provided </w:t>
      </w:r>
      <w:r w:rsidRPr="00363739">
        <w:t xml:space="preserve">that, if for any Payment Date, the Payment Amount determined in accordance with the foregoing would, when added to all prior Payment Amounts paid by the Republic hereunder, exceed the Payment Cap, the Payment Amount for such Payment Date shall instead be an amount equal to the Payment Cap </w:t>
      </w:r>
      <w:r w:rsidRPr="00363739">
        <w:rPr>
          <w:i/>
          <w:iCs/>
        </w:rPr>
        <w:t xml:space="preserve">minus </w:t>
      </w:r>
      <w:r w:rsidRPr="00363739">
        <w:t>the sum of all such prior Payment Amounts. The Payment Amount shall be determined by the Ministry of Economy on the Calculation Date preceding the relevant Payment Date. All calculations made by the Ministry of Economy hereunder shall be binding on the Trustee, the Registrar, the trustee paying agent and each other trustee paying agent and all Holders of this Security, absent bad faith, wilful misconduct or manifest error on the part of the Ministry of Economy.</w:t>
      </w:r>
    </w:p>
    <w:p w14:paraId="0A98C9BE" w14:textId="2B39A59D" w:rsidR="00192D90" w:rsidRPr="00363739" w:rsidRDefault="00192D90" w:rsidP="00C7371D">
      <w:pPr>
        <w:pStyle w:val="ParaLevel1"/>
        <w:numPr>
          <w:ilvl w:val="0"/>
          <w:numId w:val="0"/>
        </w:numPr>
        <w:tabs>
          <w:tab w:val="left" w:pos="720"/>
        </w:tabs>
        <w:ind w:left="567"/>
      </w:pPr>
      <w:r w:rsidRPr="00F85709">
        <w:rPr>
          <w:u w:val="single"/>
        </w:rPr>
        <w:t>"Reference Year"</w:t>
      </w:r>
      <w:r>
        <w:t xml:space="preserve"> means any calendar year from and including the year 2005 to and including the year 2034.</w:t>
      </w:r>
    </w:p>
    <w:p w14:paraId="19101B6E" w14:textId="0E79BB43" w:rsidR="00363739" w:rsidRPr="00363739" w:rsidRDefault="00363739" w:rsidP="00C7371D">
      <w:pPr>
        <w:pStyle w:val="ParaLevel1"/>
        <w:numPr>
          <w:ilvl w:val="0"/>
          <w:numId w:val="0"/>
        </w:numPr>
        <w:ind w:left="567"/>
      </w:pPr>
      <w:r w:rsidRPr="00363739">
        <w:t>"</w:t>
      </w:r>
      <w:r w:rsidRPr="00363739">
        <w:rPr>
          <w:u w:val="single"/>
        </w:rPr>
        <w:t>Year of Base Prices</w:t>
      </w:r>
      <w:r w:rsidRPr="00363739">
        <w:t xml:space="preserve">" means the year 1993; </w:t>
      </w:r>
      <w:r w:rsidRPr="00363739">
        <w:rPr>
          <w:i/>
          <w:iCs/>
        </w:rPr>
        <w:t>provided</w:t>
      </w:r>
      <w:r w:rsidRPr="00363739">
        <w:t xml:space="preserve"> that if the calendar year employed by INDEC for purposes of determining Actual Real GDP shall at any time be a calendar year other than the year 1993, then the Year of Base Prices shall mean such other calendar year.</w:t>
      </w:r>
    </w:p>
    <w:p w14:paraId="5F110357" w14:textId="77777777" w:rsidR="00363739" w:rsidRPr="009702FE" w:rsidRDefault="00363739" w:rsidP="00C7371D">
      <w:pPr>
        <w:pStyle w:val="ParaLevel1"/>
        <w:numPr>
          <w:ilvl w:val="0"/>
          <w:numId w:val="0"/>
        </w:numPr>
      </w:pPr>
    </w:p>
    <w:sectPr w:rsidR="00363739" w:rsidRPr="009702FE" w:rsidSect="00C7371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E5A0" w14:textId="77777777" w:rsidR="002D738F" w:rsidRDefault="002D738F">
      <w:r>
        <w:separator/>
      </w:r>
    </w:p>
  </w:endnote>
  <w:endnote w:type="continuationSeparator" w:id="0">
    <w:p w14:paraId="68926BBB" w14:textId="77777777" w:rsidR="002D738F" w:rsidRDefault="002D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A46" w14:textId="77777777" w:rsidR="00C7371D" w:rsidRDefault="00C7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12E4"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4FCA" w14:textId="77777777" w:rsidR="00C7371D" w:rsidRDefault="00C737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03B2" w14:textId="77777777" w:rsidR="00C439A3" w:rsidRPr="00C7371D" w:rsidRDefault="00C439A3" w:rsidP="00C7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F5C0" w14:textId="77777777" w:rsidR="002D738F" w:rsidRDefault="002D738F">
      <w:r>
        <w:separator/>
      </w:r>
    </w:p>
  </w:footnote>
  <w:footnote w:type="continuationSeparator" w:id="0">
    <w:p w14:paraId="3812B191" w14:textId="77777777" w:rsidR="002D738F" w:rsidRDefault="002D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A732" w14:textId="77777777" w:rsidR="00C7371D" w:rsidRDefault="00C7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08C6" w14:textId="77777777" w:rsidR="00C7371D" w:rsidRDefault="00C7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768C" w14:textId="77777777" w:rsidR="00C7371D" w:rsidRDefault="00C737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68469053" w14:textId="77777777">
      <w:tc>
        <w:tcPr>
          <w:tcW w:w="4622" w:type="dxa"/>
        </w:tcPr>
        <w:p w14:paraId="225A6F9D" w14:textId="43D1B86F" w:rsidR="00C439A3" w:rsidRPr="00C7371D" w:rsidRDefault="00C7371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2789DB3" w14:textId="33CE0975" w:rsidR="00C439A3" w:rsidRDefault="002F43C9">
          <w:pPr>
            <w:pStyle w:val="Header"/>
            <w:jc w:val="right"/>
            <w:rPr>
              <w:rFonts w:ascii="Times New Roman" w:hAnsi="Times New Roman"/>
              <w:sz w:val="16"/>
            </w:rPr>
          </w:pPr>
          <w:r>
            <w:rPr>
              <w:rFonts w:ascii="Times New Roman" w:hAnsi="Times New Roman"/>
              <w:sz w:val="16"/>
            </w:rPr>
            <w:t xml:space="preserve">Palladian Partners v </w:t>
          </w:r>
          <w:r w:rsidR="00F620C5">
            <w:rPr>
              <w:rFonts w:ascii="Times New Roman" w:hAnsi="Times New Roman"/>
              <w:sz w:val="16"/>
            </w:rPr>
            <w:t>Republic of Argentina</w:t>
          </w:r>
        </w:p>
      </w:tc>
    </w:tr>
  </w:tbl>
  <w:p w14:paraId="761BB81D"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2C86B01"/>
    <w:multiLevelType w:val="multilevel"/>
    <w:tmpl w:val="707840BA"/>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474" w:hanging="22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A54A99"/>
    <w:multiLevelType w:val="multilevel"/>
    <w:tmpl w:val="0CCC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E7455"/>
    <w:multiLevelType w:val="hybridMultilevel"/>
    <w:tmpl w:val="2C1CA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62D2D"/>
    <w:multiLevelType w:val="multilevel"/>
    <w:tmpl w:val="8000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07871"/>
    <w:multiLevelType w:val="hybridMultilevel"/>
    <w:tmpl w:val="CE0ADE18"/>
    <w:lvl w:ilvl="0" w:tplc="C9E88872">
      <w:start w:val="1"/>
      <w:numFmt w:val="decimal"/>
      <w:lvlText w:val="(%1)"/>
      <w:lvlJc w:val="left"/>
      <w:pPr>
        <w:ind w:left="720" w:hanging="36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A3E18"/>
    <w:multiLevelType w:val="hybridMultilevel"/>
    <w:tmpl w:val="E844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B4FA6"/>
    <w:multiLevelType w:val="hybridMultilevel"/>
    <w:tmpl w:val="EF66DA9E"/>
    <w:lvl w:ilvl="0" w:tplc="C9E88872">
      <w:start w:val="1"/>
      <w:numFmt w:val="decimal"/>
      <w:lvlText w:val="(%1)"/>
      <w:lvlJc w:val="left"/>
      <w:pPr>
        <w:ind w:left="840" w:hanging="48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511390"/>
    <w:multiLevelType w:val="hybridMultilevel"/>
    <w:tmpl w:val="53D21F7E"/>
    <w:lvl w:ilvl="0" w:tplc="20885A3E">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60777"/>
    <w:multiLevelType w:val="hybridMultilevel"/>
    <w:tmpl w:val="9462F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223377018">
    <w:abstractNumId w:val="10"/>
  </w:num>
  <w:num w:numId="2" w16cid:durableId="816410537">
    <w:abstractNumId w:val="10"/>
  </w:num>
  <w:num w:numId="3" w16cid:durableId="1583028266">
    <w:abstractNumId w:val="10"/>
  </w:num>
  <w:num w:numId="4" w16cid:durableId="612128920">
    <w:abstractNumId w:val="10"/>
  </w:num>
  <w:num w:numId="5" w16cid:durableId="555165516">
    <w:abstractNumId w:val="10"/>
  </w:num>
  <w:num w:numId="6" w16cid:durableId="1403482988">
    <w:abstractNumId w:val="10"/>
  </w:num>
  <w:num w:numId="7" w16cid:durableId="487064667">
    <w:abstractNumId w:val="10"/>
  </w:num>
  <w:num w:numId="8" w16cid:durableId="706758774">
    <w:abstractNumId w:val="10"/>
  </w:num>
  <w:num w:numId="9" w16cid:durableId="621113402">
    <w:abstractNumId w:val="10"/>
  </w:num>
  <w:num w:numId="10" w16cid:durableId="1810123944">
    <w:abstractNumId w:val="0"/>
  </w:num>
  <w:num w:numId="11" w16cid:durableId="108623726">
    <w:abstractNumId w:val="1"/>
  </w:num>
  <w:num w:numId="12" w16cid:durableId="53506839">
    <w:abstractNumId w:val="3"/>
  </w:num>
  <w:num w:numId="13" w16cid:durableId="1840802218">
    <w:abstractNumId w:val="6"/>
  </w:num>
  <w:num w:numId="14" w16cid:durableId="617956581">
    <w:abstractNumId w:val="9"/>
  </w:num>
  <w:num w:numId="15" w16cid:durableId="1330057446">
    <w:abstractNumId w:val="4"/>
    <w:lvlOverride w:ilvl="0">
      <w:startOverride w:val="17"/>
    </w:lvlOverride>
  </w:num>
  <w:num w:numId="16" w16cid:durableId="1892645507">
    <w:abstractNumId w:val="2"/>
    <w:lvlOverride w:ilvl="0">
      <w:startOverride w:val="17"/>
    </w:lvlOverride>
  </w:num>
  <w:num w:numId="17" w16cid:durableId="86002469">
    <w:abstractNumId w:val="8"/>
  </w:num>
  <w:num w:numId="18" w16cid:durableId="1118177989">
    <w:abstractNumId w:val="7"/>
  </w:num>
  <w:num w:numId="19" w16cid:durableId="1153060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608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0E"/>
    <w:rsid w:val="000008B7"/>
    <w:rsid w:val="00001C31"/>
    <w:rsid w:val="00002064"/>
    <w:rsid w:val="00003701"/>
    <w:rsid w:val="0000392D"/>
    <w:rsid w:val="0000448F"/>
    <w:rsid w:val="000044C0"/>
    <w:rsid w:val="00005342"/>
    <w:rsid w:val="00006398"/>
    <w:rsid w:val="00010B72"/>
    <w:rsid w:val="00011755"/>
    <w:rsid w:val="0001271C"/>
    <w:rsid w:val="00013274"/>
    <w:rsid w:val="000136B0"/>
    <w:rsid w:val="0001390C"/>
    <w:rsid w:val="00013ACD"/>
    <w:rsid w:val="00013FF2"/>
    <w:rsid w:val="0001424F"/>
    <w:rsid w:val="00014EEA"/>
    <w:rsid w:val="000163B3"/>
    <w:rsid w:val="00016527"/>
    <w:rsid w:val="000176C3"/>
    <w:rsid w:val="00017D17"/>
    <w:rsid w:val="00017EAA"/>
    <w:rsid w:val="00017FE3"/>
    <w:rsid w:val="0002128C"/>
    <w:rsid w:val="00021412"/>
    <w:rsid w:val="00021A7A"/>
    <w:rsid w:val="00022679"/>
    <w:rsid w:val="0002291B"/>
    <w:rsid w:val="0002354E"/>
    <w:rsid w:val="00023A8D"/>
    <w:rsid w:val="00025EA9"/>
    <w:rsid w:val="00025F33"/>
    <w:rsid w:val="00026DD2"/>
    <w:rsid w:val="000301B8"/>
    <w:rsid w:val="000306A9"/>
    <w:rsid w:val="00030CE2"/>
    <w:rsid w:val="00031D93"/>
    <w:rsid w:val="00032299"/>
    <w:rsid w:val="0003247D"/>
    <w:rsid w:val="00033B5E"/>
    <w:rsid w:val="00035365"/>
    <w:rsid w:val="00035907"/>
    <w:rsid w:val="00035A89"/>
    <w:rsid w:val="00035B12"/>
    <w:rsid w:val="00036944"/>
    <w:rsid w:val="00036E3E"/>
    <w:rsid w:val="00037EE1"/>
    <w:rsid w:val="00040EE6"/>
    <w:rsid w:val="00040F94"/>
    <w:rsid w:val="000420A0"/>
    <w:rsid w:val="0004256E"/>
    <w:rsid w:val="00042AAF"/>
    <w:rsid w:val="0004388A"/>
    <w:rsid w:val="00043D48"/>
    <w:rsid w:val="000446F4"/>
    <w:rsid w:val="00044939"/>
    <w:rsid w:val="000449A7"/>
    <w:rsid w:val="00044C79"/>
    <w:rsid w:val="00044D87"/>
    <w:rsid w:val="00045564"/>
    <w:rsid w:val="00045D1F"/>
    <w:rsid w:val="000466F7"/>
    <w:rsid w:val="00046FDA"/>
    <w:rsid w:val="00050090"/>
    <w:rsid w:val="00051954"/>
    <w:rsid w:val="000539AE"/>
    <w:rsid w:val="00053B2A"/>
    <w:rsid w:val="00054F2D"/>
    <w:rsid w:val="00055FFD"/>
    <w:rsid w:val="00061366"/>
    <w:rsid w:val="00061C2C"/>
    <w:rsid w:val="00061C30"/>
    <w:rsid w:val="000620F4"/>
    <w:rsid w:val="00064D97"/>
    <w:rsid w:val="0006557B"/>
    <w:rsid w:val="00065AA9"/>
    <w:rsid w:val="00065FC8"/>
    <w:rsid w:val="000660E2"/>
    <w:rsid w:val="0006760F"/>
    <w:rsid w:val="00070F3A"/>
    <w:rsid w:val="00071CB0"/>
    <w:rsid w:val="00071CD1"/>
    <w:rsid w:val="0007214F"/>
    <w:rsid w:val="00072874"/>
    <w:rsid w:val="00074080"/>
    <w:rsid w:val="000740CA"/>
    <w:rsid w:val="00074B20"/>
    <w:rsid w:val="00074DDF"/>
    <w:rsid w:val="00075148"/>
    <w:rsid w:val="00075DAC"/>
    <w:rsid w:val="00076576"/>
    <w:rsid w:val="00076816"/>
    <w:rsid w:val="00077AA5"/>
    <w:rsid w:val="00081CFA"/>
    <w:rsid w:val="000831DB"/>
    <w:rsid w:val="00083A2D"/>
    <w:rsid w:val="00084CAF"/>
    <w:rsid w:val="000856A6"/>
    <w:rsid w:val="000871FA"/>
    <w:rsid w:val="0009201F"/>
    <w:rsid w:val="000921B3"/>
    <w:rsid w:val="000927F8"/>
    <w:rsid w:val="000928A1"/>
    <w:rsid w:val="00092AD0"/>
    <w:rsid w:val="00092BAD"/>
    <w:rsid w:val="000940C7"/>
    <w:rsid w:val="00094BA8"/>
    <w:rsid w:val="00096811"/>
    <w:rsid w:val="000979D1"/>
    <w:rsid w:val="00097B32"/>
    <w:rsid w:val="00097E1E"/>
    <w:rsid w:val="000A0501"/>
    <w:rsid w:val="000A08B9"/>
    <w:rsid w:val="000A1450"/>
    <w:rsid w:val="000A2A6E"/>
    <w:rsid w:val="000A2D90"/>
    <w:rsid w:val="000A408B"/>
    <w:rsid w:val="000A437E"/>
    <w:rsid w:val="000A58F6"/>
    <w:rsid w:val="000A6834"/>
    <w:rsid w:val="000A7AC9"/>
    <w:rsid w:val="000B08C6"/>
    <w:rsid w:val="000B13C1"/>
    <w:rsid w:val="000B2FB1"/>
    <w:rsid w:val="000B38A5"/>
    <w:rsid w:val="000B41B5"/>
    <w:rsid w:val="000B6341"/>
    <w:rsid w:val="000B6608"/>
    <w:rsid w:val="000B67A2"/>
    <w:rsid w:val="000B6E11"/>
    <w:rsid w:val="000B7A1E"/>
    <w:rsid w:val="000C1AC2"/>
    <w:rsid w:val="000C27BA"/>
    <w:rsid w:val="000C32B3"/>
    <w:rsid w:val="000C48B4"/>
    <w:rsid w:val="000C5258"/>
    <w:rsid w:val="000C6590"/>
    <w:rsid w:val="000C75FE"/>
    <w:rsid w:val="000C7BCF"/>
    <w:rsid w:val="000D0399"/>
    <w:rsid w:val="000D0CB6"/>
    <w:rsid w:val="000D1D5E"/>
    <w:rsid w:val="000D4A55"/>
    <w:rsid w:val="000D4C19"/>
    <w:rsid w:val="000D5DF7"/>
    <w:rsid w:val="000D60E8"/>
    <w:rsid w:val="000D6302"/>
    <w:rsid w:val="000D69C9"/>
    <w:rsid w:val="000E0475"/>
    <w:rsid w:val="000E0650"/>
    <w:rsid w:val="000E0BF2"/>
    <w:rsid w:val="000E1519"/>
    <w:rsid w:val="000E2635"/>
    <w:rsid w:val="000E2B22"/>
    <w:rsid w:val="000E2CB9"/>
    <w:rsid w:val="000E5496"/>
    <w:rsid w:val="000E5C28"/>
    <w:rsid w:val="000E776D"/>
    <w:rsid w:val="000E7EBD"/>
    <w:rsid w:val="000F023E"/>
    <w:rsid w:val="000F0DA7"/>
    <w:rsid w:val="000F15FB"/>
    <w:rsid w:val="000F1E69"/>
    <w:rsid w:val="000F1E9B"/>
    <w:rsid w:val="000F23CA"/>
    <w:rsid w:val="000F252A"/>
    <w:rsid w:val="000F3025"/>
    <w:rsid w:val="000F3B84"/>
    <w:rsid w:val="000F3C1E"/>
    <w:rsid w:val="000F3D94"/>
    <w:rsid w:val="000F5D1F"/>
    <w:rsid w:val="000F6A69"/>
    <w:rsid w:val="000F6C90"/>
    <w:rsid w:val="000F740B"/>
    <w:rsid w:val="000F7457"/>
    <w:rsid w:val="000F7558"/>
    <w:rsid w:val="000F770B"/>
    <w:rsid w:val="000F7DD7"/>
    <w:rsid w:val="00100BE8"/>
    <w:rsid w:val="00100F56"/>
    <w:rsid w:val="00101051"/>
    <w:rsid w:val="00101F97"/>
    <w:rsid w:val="001024B6"/>
    <w:rsid w:val="00102552"/>
    <w:rsid w:val="00103132"/>
    <w:rsid w:val="00103E31"/>
    <w:rsid w:val="00105A2B"/>
    <w:rsid w:val="00105CEF"/>
    <w:rsid w:val="00105DCD"/>
    <w:rsid w:val="00105ED1"/>
    <w:rsid w:val="00106780"/>
    <w:rsid w:val="00106B25"/>
    <w:rsid w:val="00107AA2"/>
    <w:rsid w:val="00110BC6"/>
    <w:rsid w:val="001113FE"/>
    <w:rsid w:val="00111C50"/>
    <w:rsid w:val="001124D0"/>
    <w:rsid w:val="00112DC7"/>
    <w:rsid w:val="00113575"/>
    <w:rsid w:val="00115C1D"/>
    <w:rsid w:val="001164F7"/>
    <w:rsid w:val="00117C06"/>
    <w:rsid w:val="00120A0B"/>
    <w:rsid w:val="001211E4"/>
    <w:rsid w:val="00121777"/>
    <w:rsid w:val="00122D3D"/>
    <w:rsid w:val="001244A0"/>
    <w:rsid w:val="00124600"/>
    <w:rsid w:val="00126746"/>
    <w:rsid w:val="0012695F"/>
    <w:rsid w:val="00130B25"/>
    <w:rsid w:val="00130F5D"/>
    <w:rsid w:val="00131A9C"/>
    <w:rsid w:val="00133493"/>
    <w:rsid w:val="00133C9D"/>
    <w:rsid w:val="00135BFF"/>
    <w:rsid w:val="00135CA6"/>
    <w:rsid w:val="00135EA1"/>
    <w:rsid w:val="001370F9"/>
    <w:rsid w:val="00137ECC"/>
    <w:rsid w:val="001406DD"/>
    <w:rsid w:val="001419A4"/>
    <w:rsid w:val="00141DBE"/>
    <w:rsid w:val="00141EBE"/>
    <w:rsid w:val="00142DBC"/>
    <w:rsid w:val="00142DFE"/>
    <w:rsid w:val="001430AE"/>
    <w:rsid w:val="00143261"/>
    <w:rsid w:val="00143AD5"/>
    <w:rsid w:val="00144BF3"/>
    <w:rsid w:val="00146DEE"/>
    <w:rsid w:val="001502BF"/>
    <w:rsid w:val="001549AE"/>
    <w:rsid w:val="00154DB1"/>
    <w:rsid w:val="00155252"/>
    <w:rsid w:val="00155513"/>
    <w:rsid w:val="00155CBB"/>
    <w:rsid w:val="00156046"/>
    <w:rsid w:val="00156075"/>
    <w:rsid w:val="00156772"/>
    <w:rsid w:val="0015700F"/>
    <w:rsid w:val="00157F0E"/>
    <w:rsid w:val="001600D0"/>
    <w:rsid w:val="001606C6"/>
    <w:rsid w:val="00160C9D"/>
    <w:rsid w:val="00161018"/>
    <w:rsid w:val="001624D2"/>
    <w:rsid w:val="00162C8A"/>
    <w:rsid w:val="00163AF5"/>
    <w:rsid w:val="00164649"/>
    <w:rsid w:val="00165506"/>
    <w:rsid w:val="00165C8C"/>
    <w:rsid w:val="0016732E"/>
    <w:rsid w:val="0017026A"/>
    <w:rsid w:val="0017051B"/>
    <w:rsid w:val="00171267"/>
    <w:rsid w:val="00171398"/>
    <w:rsid w:val="00171689"/>
    <w:rsid w:val="00171F86"/>
    <w:rsid w:val="00171FAD"/>
    <w:rsid w:val="001721BA"/>
    <w:rsid w:val="001738F6"/>
    <w:rsid w:val="00174791"/>
    <w:rsid w:val="00174FF8"/>
    <w:rsid w:val="0017511D"/>
    <w:rsid w:val="0017513C"/>
    <w:rsid w:val="00176557"/>
    <w:rsid w:val="00177CB3"/>
    <w:rsid w:val="0018118C"/>
    <w:rsid w:val="001812F4"/>
    <w:rsid w:val="0018242B"/>
    <w:rsid w:val="00182973"/>
    <w:rsid w:val="0018323B"/>
    <w:rsid w:val="00183338"/>
    <w:rsid w:val="00183BD2"/>
    <w:rsid w:val="001854BC"/>
    <w:rsid w:val="00185773"/>
    <w:rsid w:val="00185983"/>
    <w:rsid w:val="00186495"/>
    <w:rsid w:val="00186EAF"/>
    <w:rsid w:val="00186F38"/>
    <w:rsid w:val="0018721E"/>
    <w:rsid w:val="00187311"/>
    <w:rsid w:val="00187BD1"/>
    <w:rsid w:val="0019153D"/>
    <w:rsid w:val="00191C17"/>
    <w:rsid w:val="00192D90"/>
    <w:rsid w:val="00192EEE"/>
    <w:rsid w:val="00193537"/>
    <w:rsid w:val="00193D30"/>
    <w:rsid w:val="001942E6"/>
    <w:rsid w:val="00196B7E"/>
    <w:rsid w:val="00196FCA"/>
    <w:rsid w:val="00197471"/>
    <w:rsid w:val="001977A1"/>
    <w:rsid w:val="00197C89"/>
    <w:rsid w:val="001A0A75"/>
    <w:rsid w:val="001A10F5"/>
    <w:rsid w:val="001A11FE"/>
    <w:rsid w:val="001A12DF"/>
    <w:rsid w:val="001A1602"/>
    <w:rsid w:val="001A1A5B"/>
    <w:rsid w:val="001A1CDF"/>
    <w:rsid w:val="001A2440"/>
    <w:rsid w:val="001A459B"/>
    <w:rsid w:val="001A49B1"/>
    <w:rsid w:val="001A5451"/>
    <w:rsid w:val="001A5F4D"/>
    <w:rsid w:val="001A6B2B"/>
    <w:rsid w:val="001B024B"/>
    <w:rsid w:val="001B02B2"/>
    <w:rsid w:val="001B090A"/>
    <w:rsid w:val="001B0943"/>
    <w:rsid w:val="001B1007"/>
    <w:rsid w:val="001B12BA"/>
    <w:rsid w:val="001B188E"/>
    <w:rsid w:val="001B23D4"/>
    <w:rsid w:val="001B255A"/>
    <w:rsid w:val="001B317C"/>
    <w:rsid w:val="001B3B68"/>
    <w:rsid w:val="001B3DF4"/>
    <w:rsid w:val="001B3ECD"/>
    <w:rsid w:val="001B73BD"/>
    <w:rsid w:val="001B750E"/>
    <w:rsid w:val="001C08BB"/>
    <w:rsid w:val="001C092F"/>
    <w:rsid w:val="001C0C38"/>
    <w:rsid w:val="001C2456"/>
    <w:rsid w:val="001C2749"/>
    <w:rsid w:val="001C33A5"/>
    <w:rsid w:val="001C3402"/>
    <w:rsid w:val="001C3A46"/>
    <w:rsid w:val="001C48C4"/>
    <w:rsid w:val="001C5288"/>
    <w:rsid w:val="001C58B5"/>
    <w:rsid w:val="001C64CF"/>
    <w:rsid w:val="001C719F"/>
    <w:rsid w:val="001C7490"/>
    <w:rsid w:val="001D240A"/>
    <w:rsid w:val="001D2C99"/>
    <w:rsid w:val="001D46A8"/>
    <w:rsid w:val="001D578F"/>
    <w:rsid w:val="001D640E"/>
    <w:rsid w:val="001D7425"/>
    <w:rsid w:val="001D76D3"/>
    <w:rsid w:val="001D7D73"/>
    <w:rsid w:val="001D7E05"/>
    <w:rsid w:val="001E0419"/>
    <w:rsid w:val="001E076C"/>
    <w:rsid w:val="001E08FA"/>
    <w:rsid w:val="001E1277"/>
    <w:rsid w:val="001E1694"/>
    <w:rsid w:val="001E1EB1"/>
    <w:rsid w:val="001E37B7"/>
    <w:rsid w:val="001E3ED0"/>
    <w:rsid w:val="001E402C"/>
    <w:rsid w:val="001E5325"/>
    <w:rsid w:val="001E552E"/>
    <w:rsid w:val="001E630D"/>
    <w:rsid w:val="001E64E5"/>
    <w:rsid w:val="001E7CDA"/>
    <w:rsid w:val="001E7EE3"/>
    <w:rsid w:val="001F0B90"/>
    <w:rsid w:val="001F0EA8"/>
    <w:rsid w:val="001F100F"/>
    <w:rsid w:val="001F1A89"/>
    <w:rsid w:val="001F1AC6"/>
    <w:rsid w:val="001F1AE0"/>
    <w:rsid w:val="001F4662"/>
    <w:rsid w:val="001F6156"/>
    <w:rsid w:val="001F6CE9"/>
    <w:rsid w:val="001F7394"/>
    <w:rsid w:val="00203A80"/>
    <w:rsid w:val="00203B0B"/>
    <w:rsid w:val="00203C3C"/>
    <w:rsid w:val="00203C72"/>
    <w:rsid w:val="0020450D"/>
    <w:rsid w:val="002046C9"/>
    <w:rsid w:val="002048C0"/>
    <w:rsid w:val="002051B6"/>
    <w:rsid w:val="002063B8"/>
    <w:rsid w:val="00207ECB"/>
    <w:rsid w:val="0021046F"/>
    <w:rsid w:val="00210BD9"/>
    <w:rsid w:val="00212907"/>
    <w:rsid w:val="002139BD"/>
    <w:rsid w:val="00213F7F"/>
    <w:rsid w:val="002158BD"/>
    <w:rsid w:val="00215D67"/>
    <w:rsid w:val="00216537"/>
    <w:rsid w:val="0021654E"/>
    <w:rsid w:val="00216800"/>
    <w:rsid w:val="00216B21"/>
    <w:rsid w:val="002202C0"/>
    <w:rsid w:val="0022055C"/>
    <w:rsid w:val="0022087A"/>
    <w:rsid w:val="0022090A"/>
    <w:rsid w:val="00220AF5"/>
    <w:rsid w:val="0022342F"/>
    <w:rsid w:val="002235D9"/>
    <w:rsid w:val="002239B4"/>
    <w:rsid w:val="00223E59"/>
    <w:rsid w:val="00225685"/>
    <w:rsid w:val="0022653F"/>
    <w:rsid w:val="00226588"/>
    <w:rsid w:val="002272DF"/>
    <w:rsid w:val="00227A8B"/>
    <w:rsid w:val="00227FDD"/>
    <w:rsid w:val="00230254"/>
    <w:rsid w:val="00230A49"/>
    <w:rsid w:val="00231550"/>
    <w:rsid w:val="0023224E"/>
    <w:rsid w:val="002322AD"/>
    <w:rsid w:val="00232D0A"/>
    <w:rsid w:val="002332A8"/>
    <w:rsid w:val="00233325"/>
    <w:rsid w:val="00233473"/>
    <w:rsid w:val="00233831"/>
    <w:rsid w:val="002370EC"/>
    <w:rsid w:val="00237597"/>
    <w:rsid w:val="00240544"/>
    <w:rsid w:val="00240808"/>
    <w:rsid w:val="00240CB0"/>
    <w:rsid w:val="00242F13"/>
    <w:rsid w:val="0024391B"/>
    <w:rsid w:val="00245956"/>
    <w:rsid w:val="00245CB3"/>
    <w:rsid w:val="00245EAD"/>
    <w:rsid w:val="002461BD"/>
    <w:rsid w:val="0024703B"/>
    <w:rsid w:val="002500B8"/>
    <w:rsid w:val="002501E1"/>
    <w:rsid w:val="0025027D"/>
    <w:rsid w:val="00250E76"/>
    <w:rsid w:val="00252230"/>
    <w:rsid w:val="002522C9"/>
    <w:rsid w:val="002528F7"/>
    <w:rsid w:val="00255215"/>
    <w:rsid w:val="00255C64"/>
    <w:rsid w:val="00255F53"/>
    <w:rsid w:val="00256018"/>
    <w:rsid w:val="0025612A"/>
    <w:rsid w:val="00256372"/>
    <w:rsid w:val="00257042"/>
    <w:rsid w:val="00257819"/>
    <w:rsid w:val="002601BC"/>
    <w:rsid w:val="002608F7"/>
    <w:rsid w:val="00261F47"/>
    <w:rsid w:val="002620D4"/>
    <w:rsid w:val="00263188"/>
    <w:rsid w:val="002636AF"/>
    <w:rsid w:val="00263759"/>
    <w:rsid w:val="00263785"/>
    <w:rsid w:val="00264DE4"/>
    <w:rsid w:val="00264FBD"/>
    <w:rsid w:val="002650E1"/>
    <w:rsid w:val="0026548D"/>
    <w:rsid w:val="0026667A"/>
    <w:rsid w:val="00266952"/>
    <w:rsid w:val="00266EEB"/>
    <w:rsid w:val="00267790"/>
    <w:rsid w:val="00267A25"/>
    <w:rsid w:val="002717DB"/>
    <w:rsid w:val="00271A79"/>
    <w:rsid w:val="0027205A"/>
    <w:rsid w:val="00272845"/>
    <w:rsid w:val="00272E42"/>
    <w:rsid w:val="0027342F"/>
    <w:rsid w:val="0027357E"/>
    <w:rsid w:val="0027383D"/>
    <w:rsid w:val="00273C9C"/>
    <w:rsid w:val="00274AF7"/>
    <w:rsid w:val="00274C9E"/>
    <w:rsid w:val="0027541C"/>
    <w:rsid w:val="0027745D"/>
    <w:rsid w:val="0027771F"/>
    <w:rsid w:val="00280109"/>
    <w:rsid w:val="002813BA"/>
    <w:rsid w:val="002818A3"/>
    <w:rsid w:val="00281D1D"/>
    <w:rsid w:val="00281D64"/>
    <w:rsid w:val="0028280E"/>
    <w:rsid w:val="002829A1"/>
    <w:rsid w:val="002832CC"/>
    <w:rsid w:val="002834E4"/>
    <w:rsid w:val="00283584"/>
    <w:rsid w:val="00284D7A"/>
    <w:rsid w:val="00285151"/>
    <w:rsid w:val="00286EFD"/>
    <w:rsid w:val="0028786B"/>
    <w:rsid w:val="00290A1D"/>
    <w:rsid w:val="00290A2A"/>
    <w:rsid w:val="00290D66"/>
    <w:rsid w:val="0029102E"/>
    <w:rsid w:val="002930F6"/>
    <w:rsid w:val="002933C2"/>
    <w:rsid w:val="002936DB"/>
    <w:rsid w:val="00293E2C"/>
    <w:rsid w:val="0029474F"/>
    <w:rsid w:val="002950E2"/>
    <w:rsid w:val="002950EF"/>
    <w:rsid w:val="00295122"/>
    <w:rsid w:val="002954DA"/>
    <w:rsid w:val="002956EF"/>
    <w:rsid w:val="00296A20"/>
    <w:rsid w:val="00296BE8"/>
    <w:rsid w:val="00297B10"/>
    <w:rsid w:val="00297F14"/>
    <w:rsid w:val="002A0017"/>
    <w:rsid w:val="002A13F4"/>
    <w:rsid w:val="002A1DAB"/>
    <w:rsid w:val="002A271A"/>
    <w:rsid w:val="002A3632"/>
    <w:rsid w:val="002A3D45"/>
    <w:rsid w:val="002A42C4"/>
    <w:rsid w:val="002A4611"/>
    <w:rsid w:val="002A6A3C"/>
    <w:rsid w:val="002A71E3"/>
    <w:rsid w:val="002A79E1"/>
    <w:rsid w:val="002A7A4A"/>
    <w:rsid w:val="002B0ACF"/>
    <w:rsid w:val="002B2354"/>
    <w:rsid w:val="002B3552"/>
    <w:rsid w:val="002B3C2F"/>
    <w:rsid w:val="002B3F6C"/>
    <w:rsid w:val="002B4823"/>
    <w:rsid w:val="002B4F6C"/>
    <w:rsid w:val="002B5693"/>
    <w:rsid w:val="002B5941"/>
    <w:rsid w:val="002B6F7F"/>
    <w:rsid w:val="002B7638"/>
    <w:rsid w:val="002B7CB0"/>
    <w:rsid w:val="002B7D12"/>
    <w:rsid w:val="002C174C"/>
    <w:rsid w:val="002C1CA7"/>
    <w:rsid w:val="002C1D2F"/>
    <w:rsid w:val="002C24A6"/>
    <w:rsid w:val="002C26A7"/>
    <w:rsid w:val="002C3EA9"/>
    <w:rsid w:val="002C48EA"/>
    <w:rsid w:val="002C4D41"/>
    <w:rsid w:val="002C4FD6"/>
    <w:rsid w:val="002C508B"/>
    <w:rsid w:val="002C576A"/>
    <w:rsid w:val="002C5957"/>
    <w:rsid w:val="002C6708"/>
    <w:rsid w:val="002C7B57"/>
    <w:rsid w:val="002C7FCB"/>
    <w:rsid w:val="002D02E0"/>
    <w:rsid w:val="002D04E1"/>
    <w:rsid w:val="002D3515"/>
    <w:rsid w:val="002D360D"/>
    <w:rsid w:val="002D3C26"/>
    <w:rsid w:val="002D5FAB"/>
    <w:rsid w:val="002D6190"/>
    <w:rsid w:val="002D6E31"/>
    <w:rsid w:val="002D738D"/>
    <w:rsid w:val="002D738F"/>
    <w:rsid w:val="002D7667"/>
    <w:rsid w:val="002E02A7"/>
    <w:rsid w:val="002E0469"/>
    <w:rsid w:val="002E0879"/>
    <w:rsid w:val="002E0918"/>
    <w:rsid w:val="002E1709"/>
    <w:rsid w:val="002E2CA8"/>
    <w:rsid w:val="002E3228"/>
    <w:rsid w:val="002E3384"/>
    <w:rsid w:val="002E53B3"/>
    <w:rsid w:val="002E5880"/>
    <w:rsid w:val="002E5A0A"/>
    <w:rsid w:val="002E7680"/>
    <w:rsid w:val="002E77C7"/>
    <w:rsid w:val="002F0355"/>
    <w:rsid w:val="002F03B9"/>
    <w:rsid w:val="002F0684"/>
    <w:rsid w:val="002F07A9"/>
    <w:rsid w:val="002F16C6"/>
    <w:rsid w:val="002F1D12"/>
    <w:rsid w:val="002F20C8"/>
    <w:rsid w:val="002F2D20"/>
    <w:rsid w:val="002F302E"/>
    <w:rsid w:val="002F3213"/>
    <w:rsid w:val="002F43C9"/>
    <w:rsid w:val="002F4AD7"/>
    <w:rsid w:val="002F4B6A"/>
    <w:rsid w:val="002F4B82"/>
    <w:rsid w:val="002F57DA"/>
    <w:rsid w:val="002F64CE"/>
    <w:rsid w:val="002F6B0F"/>
    <w:rsid w:val="002F766D"/>
    <w:rsid w:val="003006C2"/>
    <w:rsid w:val="00301782"/>
    <w:rsid w:val="00302C15"/>
    <w:rsid w:val="00302DD5"/>
    <w:rsid w:val="00303067"/>
    <w:rsid w:val="00303670"/>
    <w:rsid w:val="00303C73"/>
    <w:rsid w:val="00305F6A"/>
    <w:rsid w:val="0030705D"/>
    <w:rsid w:val="00307297"/>
    <w:rsid w:val="00307A91"/>
    <w:rsid w:val="00307CBE"/>
    <w:rsid w:val="003105A4"/>
    <w:rsid w:val="003105ED"/>
    <w:rsid w:val="00311C3B"/>
    <w:rsid w:val="00312B86"/>
    <w:rsid w:val="003135DC"/>
    <w:rsid w:val="003138AA"/>
    <w:rsid w:val="00313B97"/>
    <w:rsid w:val="00314378"/>
    <w:rsid w:val="00314E82"/>
    <w:rsid w:val="00316993"/>
    <w:rsid w:val="00317224"/>
    <w:rsid w:val="0032261D"/>
    <w:rsid w:val="00324055"/>
    <w:rsid w:val="003242EB"/>
    <w:rsid w:val="003250EB"/>
    <w:rsid w:val="00327F03"/>
    <w:rsid w:val="003309BA"/>
    <w:rsid w:val="0033229B"/>
    <w:rsid w:val="00332BB5"/>
    <w:rsid w:val="00333AB6"/>
    <w:rsid w:val="003400F8"/>
    <w:rsid w:val="003407F1"/>
    <w:rsid w:val="003414D9"/>
    <w:rsid w:val="003416AB"/>
    <w:rsid w:val="003430CC"/>
    <w:rsid w:val="00343356"/>
    <w:rsid w:val="00343507"/>
    <w:rsid w:val="00343FD0"/>
    <w:rsid w:val="00344CB4"/>
    <w:rsid w:val="00351404"/>
    <w:rsid w:val="003514EB"/>
    <w:rsid w:val="00352791"/>
    <w:rsid w:val="00352C3B"/>
    <w:rsid w:val="00352E17"/>
    <w:rsid w:val="00353B27"/>
    <w:rsid w:val="003542A7"/>
    <w:rsid w:val="00354EF1"/>
    <w:rsid w:val="0035509A"/>
    <w:rsid w:val="003554AA"/>
    <w:rsid w:val="00355D1A"/>
    <w:rsid w:val="00355FCC"/>
    <w:rsid w:val="00356A7F"/>
    <w:rsid w:val="0035701B"/>
    <w:rsid w:val="003603CC"/>
    <w:rsid w:val="00361357"/>
    <w:rsid w:val="00363739"/>
    <w:rsid w:val="00364D5B"/>
    <w:rsid w:val="003650B3"/>
    <w:rsid w:val="00365C1A"/>
    <w:rsid w:val="003677CE"/>
    <w:rsid w:val="0037034F"/>
    <w:rsid w:val="0037078A"/>
    <w:rsid w:val="00370951"/>
    <w:rsid w:val="00372578"/>
    <w:rsid w:val="00372DEB"/>
    <w:rsid w:val="00373786"/>
    <w:rsid w:val="00373F2C"/>
    <w:rsid w:val="00375F2B"/>
    <w:rsid w:val="00376DD6"/>
    <w:rsid w:val="0038022D"/>
    <w:rsid w:val="0038091D"/>
    <w:rsid w:val="00380928"/>
    <w:rsid w:val="00380EF0"/>
    <w:rsid w:val="003812A7"/>
    <w:rsid w:val="00381D9B"/>
    <w:rsid w:val="00381EE2"/>
    <w:rsid w:val="00382AD0"/>
    <w:rsid w:val="0038330E"/>
    <w:rsid w:val="00383EED"/>
    <w:rsid w:val="003840F6"/>
    <w:rsid w:val="0038475E"/>
    <w:rsid w:val="00384CF9"/>
    <w:rsid w:val="003855FA"/>
    <w:rsid w:val="003864B2"/>
    <w:rsid w:val="00387737"/>
    <w:rsid w:val="00387B3E"/>
    <w:rsid w:val="00387D78"/>
    <w:rsid w:val="003903B3"/>
    <w:rsid w:val="00390B6E"/>
    <w:rsid w:val="00391736"/>
    <w:rsid w:val="00391766"/>
    <w:rsid w:val="00391BC9"/>
    <w:rsid w:val="00392FEE"/>
    <w:rsid w:val="00394737"/>
    <w:rsid w:val="00394CAF"/>
    <w:rsid w:val="00395E0C"/>
    <w:rsid w:val="00396C88"/>
    <w:rsid w:val="003A10C2"/>
    <w:rsid w:val="003A2884"/>
    <w:rsid w:val="003A2F05"/>
    <w:rsid w:val="003A36DA"/>
    <w:rsid w:val="003A3FEE"/>
    <w:rsid w:val="003A5237"/>
    <w:rsid w:val="003A617A"/>
    <w:rsid w:val="003A71F3"/>
    <w:rsid w:val="003A7613"/>
    <w:rsid w:val="003A79B9"/>
    <w:rsid w:val="003A79DC"/>
    <w:rsid w:val="003B10DC"/>
    <w:rsid w:val="003B14AC"/>
    <w:rsid w:val="003B1D13"/>
    <w:rsid w:val="003B1DE7"/>
    <w:rsid w:val="003B3120"/>
    <w:rsid w:val="003B3574"/>
    <w:rsid w:val="003B3A90"/>
    <w:rsid w:val="003B5BB9"/>
    <w:rsid w:val="003B6349"/>
    <w:rsid w:val="003B6F8D"/>
    <w:rsid w:val="003C06D8"/>
    <w:rsid w:val="003C0EA9"/>
    <w:rsid w:val="003C20FD"/>
    <w:rsid w:val="003C2C0B"/>
    <w:rsid w:val="003C35D2"/>
    <w:rsid w:val="003C3A44"/>
    <w:rsid w:val="003C44B8"/>
    <w:rsid w:val="003C4850"/>
    <w:rsid w:val="003C4BAD"/>
    <w:rsid w:val="003C522C"/>
    <w:rsid w:val="003C54E6"/>
    <w:rsid w:val="003C56A4"/>
    <w:rsid w:val="003C6A77"/>
    <w:rsid w:val="003C7D41"/>
    <w:rsid w:val="003D03A3"/>
    <w:rsid w:val="003D054E"/>
    <w:rsid w:val="003D22DB"/>
    <w:rsid w:val="003D2963"/>
    <w:rsid w:val="003D2E2F"/>
    <w:rsid w:val="003D3C28"/>
    <w:rsid w:val="003D4F77"/>
    <w:rsid w:val="003D53D7"/>
    <w:rsid w:val="003D5C53"/>
    <w:rsid w:val="003D6388"/>
    <w:rsid w:val="003D667A"/>
    <w:rsid w:val="003D6CCC"/>
    <w:rsid w:val="003E32F4"/>
    <w:rsid w:val="003E3A53"/>
    <w:rsid w:val="003E4142"/>
    <w:rsid w:val="003E4ABD"/>
    <w:rsid w:val="003E67E8"/>
    <w:rsid w:val="003E7370"/>
    <w:rsid w:val="003E7C59"/>
    <w:rsid w:val="003F0624"/>
    <w:rsid w:val="003F1B0F"/>
    <w:rsid w:val="003F3B4A"/>
    <w:rsid w:val="003F44D2"/>
    <w:rsid w:val="003F506D"/>
    <w:rsid w:val="003F5B4B"/>
    <w:rsid w:val="003F5E63"/>
    <w:rsid w:val="003F66D0"/>
    <w:rsid w:val="003F6D29"/>
    <w:rsid w:val="003F78F1"/>
    <w:rsid w:val="004013E2"/>
    <w:rsid w:val="00401427"/>
    <w:rsid w:val="00401649"/>
    <w:rsid w:val="00401F38"/>
    <w:rsid w:val="004023E9"/>
    <w:rsid w:val="00403382"/>
    <w:rsid w:val="004036D3"/>
    <w:rsid w:val="00404193"/>
    <w:rsid w:val="00404F9F"/>
    <w:rsid w:val="0040505B"/>
    <w:rsid w:val="0040512D"/>
    <w:rsid w:val="00405EB9"/>
    <w:rsid w:val="00406207"/>
    <w:rsid w:val="00407150"/>
    <w:rsid w:val="00410D44"/>
    <w:rsid w:val="004112B4"/>
    <w:rsid w:val="00412A96"/>
    <w:rsid w:val="00412F0C"/>
    <w:rsid w:val="004136B6"/>
    <w:rsid w:val="004146C4"/>
    <w:rsid w:val="00414E06"/>
    <w:rsid w:val="00415B15"/>
    <w:rsid w:val="00416A48"/>
    <w:rsid w:val="004170FD"/>
    <w:rsid w:val="00417C36"/>
    <w:rsid w:val="00417DBF"/>
    <w:rsid w:val="004210F5"/>
    <w:rsid w:val="0042212E"/>
    <w:rsid w:val="00423789"/>
    <w:rsid w:val="00425705"/>
    <w:rsid w:val="00425A54"/>
    <w:rsid w:val="00427F84"/>
    <w:rsid w:val="00430026"/>
    <w:rsid w:val="00430809"/>
    <w:rsid w:val="0043136A"/>
    <w:rsid w:val="0043178C"/>
    <w:rsid w:val="004322E1"/>
    <w:rsid w:val="00432506"/>
    <w:rsid w:val="004339E9"/>
    <w:rsid w:val="00437330"/>
    <w:rsid w:val="0043761E"/>
    <w:rsid w:val="00437BF8"/>
    <w:rsid w:val="00440BFB"/>
    <w:rsid w:val="00443C51"/>
    <w:rsid w:val="00445F50"/>
    <w:rsid w:val="00446158"/>
    <w:rsid w:val="00446AC7"/>
    <w:rsid w:val="004500B1"/>
    <w:rsid w:val="00450ADE"/>
    <w:rsid w:val="0045131F"/>
    <w:rsid w:val="00452BFF"/>
    <w:rsid w:val="00452C8D"/>
    <w:rsid w:val="0045405D"/>
    <w:rsid w:val="00454792"/>
    <w:rsid w:val="00457868"/>
    <w:rsid w:val="004605F4"/>
    <w:rsid w:val="00460BF2"/>
    <w:rsid w:val="00460FE4"/>
    <w:rsid w:val="00461022"/>
    <w:rsid w:val="004638C9"/>
    <w:rsid w:val="00465B27"/>
    <w:rsid w:val="0046633F"/>
    <w:rsid w:val="00466BFF"/>
    <w:rsid w:val="00466C1E"/>
    <w:rsid w:val="004674C1"/>
    <w:rsid w:val="00467B4B"/>
    <w:rsid w:val="004716E8"/>
    <w:rsid w:val="004717D9"/>
    <w:rsid w:val="00471BB5"/>
    <w:rsid w:val="004721A9"/>
    <w:rsid w:val="00473CAE"/>
    <w:rsid w:val="00473ED4"/>
    <w:rsid w:val="0047507F"/>
    <w:rsid w:val="00475590"/>
    <w:rsid w:val="00475E87"/>
    <w:rsid w:val="00476041"/>
    <w:rsid w:val="00476388"/>
    <w:rsid w:val="00476699"/>
    <w:rsid w:val="00476B5F"/>
    <w:rsid w:val="00476FBB"/>
    <w:rsid w:val="00477155"/>
    <w:rsid w:val="004805C3"/>
    <w:rsid w:val="004810E2"/>
    <w:rsid w:val="0048114E"/>
    <w:rsid w:val="0048327C"/>
    <w:rsid w:val="00483440"/>
    <w:rsid w:val="004835E8"/>
    <w:rsid w:val="00483692"/>
    <w:rsid w:val="00483A39"/>
    <w:rsid w:val="00483F6C"/>
    <w:rsid w:val="0048559C"/>
    <w:rsid w:val="00486945"/>
    <w:rsid w:val="004871A1"/>
    <w:rsid w:val="00487300"/>
    <w:rsid w:val="004904C8"/>
    <w:rsid w:val="004906A7"/>
    <w:rsid w:val="004908D3"/>
    <w:rsid w:val="004914F6"/>
    <w:rsid w:val="00491814"/>
    <w:rsid w:val="00491860"/>
    <w:rsid w:val="004919B6"/>
    <w:rsid w:val="00492142"/>
    <w:rsid w:val="00494240"/>
    <w:rsid w:val="00495021"/>
    <w:rsid w:val="00495074"/>
    <w:rsid w:val="00495232"/>
    <w:rsid w:val="00496361"/>
    <w:rsid w:val="00496643"/>
    <w:rsid w:val="004974CD"/>
    <w:rsid w:val="00497AB5"/>
    <w:rsid w:val="00497E23"/>
    <w:rsid w:val="00497F20"/>
    <w:rsid w:val="004A0113"/>
    <w:rsid w:val="004A0662"/>
    <w:rsid w:val="004A1512"/>
    <w:rsid w:val="004A4264"/>
    <w:rsid w:val="004A4747"/>
    <w:rsid w:val="004A486F"/>
    <w:rsid w:val="004A54B4"/>
    <w:rsid w:val="004A6CEE"/>
    <w:rsid w:val="004A7B89"/>
    <w:rsid w:val="004B0215"/>
    <w:rsid w:val="004B0555"/>
    <w:rsid w:val="004B1685"/>
    <w:rsid w:val="004B1749"/>
    <w:rsid w:val="004B1AFD"/>
    <w:rsid w:val="004B1F42"/>
    <w:rsid w:val="004B27BF"/>
    <w:rsid w:val="004B2E14"/>
    <w:rsid w:val="004B34A7"/>
    <w:rsid w:val="004B3973"/>
    <w:rsid w:val="004B3C29"/>
    <w:rsid w:val="004B3F7C"/>
    <w:rsid w:val="004B4573"/>
    <w:rsid w:val="004B499D"/>
    <w:rsid w:val="004C12E9"/>
    <w:rsid w:val="004C1F67"/>
    <w:rsid w:val="004C1FF6"/>
    <w:rsid w:val="004C2017"/>
    <w:rsid w:val="004C4D39"/>
    <w:rsid w:val="004C5BF1"/>
    <w:rsid w:val="004C5E22"/>
    <w:rsid w:val="004C7491"/>
    <w:rsid w:val="004C7924"/>
    <w:rsid w:val="004D099B"/>
    <w:rsid w:val="004D0B22"/>
    <w:rsid w:val="004D1201"/>
    <w:rsid w:val="004D17B3"/>
    <w:rsid w:val="004D34DC"/>
    <w:rsid w:val="004D3D81"/>
    <w:rsid w:val="004D45D2"/>
    <w:rsid w:val="004D4859"/>
    <w:rsid w:val="004D4A27"/>
    <w:rsid w:val="004D6C3B"/>
    <w:rsid w:val="004D6E26"/>
    <w:rsid w:val="004E05F7"/>
    <w:rsid w:val="004E0697"/>
    <w:rsid w:val="004E1A07"/>
    <w:rsid w:val="004E1B05"/>
    <w:rsid w:val="004E238F"/>
    <w:rsid w:val="004E2763"/>
    <w:rsid w:val="004E3169"/>
    <w:rsid w:val="004E3564"/>
    <w:rsid w:val="004E378A"/>
    <w:rsid w:val="004E3AB9"/>
    <w:rsid w:val="004E4408"/>
    <w:rsid w:val="004E493A"/>
    <w:rsid w:val="004E52B7"/>
    <w:rsid w:val="004E52FA"/>
    <w:rsid w:val="004E65CA"/>
    <w:rsid w:val="004E6F9F"/>
    <w:rsid w:val="004F13DF"/>
    <w:rsid w:val="004F182B"/>
    <w:rsid w:val="004F1DBB"/>
    <w:rsid w:val="004F2C99"/>
    <w:rsid w:val="004F35E6"/>
    <w:rsid w:val="004F3DE7"/>
    <w:rsid w:val="004F48E5"/>
    <w:rsid w:val="004F5A6D"/>
    <w:rsid w:val="004F5BF8"/>
    <w:rsid w:val="004F60B5"/>
    <w:rsid w:val="004F78CA"/>
    <w:rsid w:val="004F7E19"/>
    <w:rsid w:val="0050044D"/>
    <w:rsid w:val="00500A14"/>
    <w:rsid w:val="00500C84"/>
    <w:rsid w:val="005015F6"/>
    <w:rsid w:val="005017E0"/>
    <w:rsid w:val="00502468"/>
    <w:rsid w:val="00502D57"/>
    <w:rsid w:val="00503907"/>
    <w:rsid w:val="00503A69"/>
    <w:rsid w:val="00503BAD"/>
    <w:rsid w:val="00504D7A"/>
    <w:rsid w:val="0050544E"/>
    <w:rsid w:val="005063E6"/>
    <w:rsid w:val="00506EE2"/>
    <w:rsid w:val="005112A8"/>
    <w:rsid w:val="005132E4"/>
    <w:rsid w:val="00514870"/>
    <w:rsid w:val="00514A3F"/>
    <w:rsid w:val="00514C3F"/>
    <w:rsid w:val="0051506F"/>
    <w:rsid w:val="00515741"/>
    <w:rsid w:val="00515A22"/>
    <w:rsid w:val="00516079"/>
    <w:rsid w:val="00517EEB"/>
    <w:rsid w:val="00521A7E"/>
    <w:rsid w:val="005227A6"/>
    <w:rsid w:val="00522BA8"/>
    <w:rsid w:val="00522EF2"/>
    <w:rsid w:val="00522F8F"/>
    <w:rsid w:val="0052388A"/>
    <w:rsid w:val="00524D95"/>
    <w:rsid w:val="00525A3E"/>
    <w:rsid w:val="00525F6F"/>
    <w:rsid w:val="00526724"/>
    <w:rsid w:val="0052726B"/>
    <w:rsid w:val="00527F7B"/>
    <w:rsid w:val="00530044"/>
    <w:rsid w:val="00530174"/>
    <w:rsid w:val="00531693"/>
    <w:rsid w:val="00531EE2"/>
    <w:rsid w:val="0053387D"/>
    <w:rsid w:val="00535F04"/>
    <w:rsid w:val="00535F2C"/>
    <w:rsid w:val="00536CFF"/>
    <w:rsid w:val="005376BE"/>
    <w:rsid w:val="00537884"/>
    <w:rsid w:val="00541BE7"/>
    <w:rsid w:val="005423CF"/>
    <w:rsid w:val="005427B2"/>
    <w:rsid w:val="005431E8"/>
    <w:rsid w:val="00544411"/>
    <w:rsid w:val="0054494E"/>
    <w:rsid w:val="00547B16"/>
    <w:rsid w:val="00547E39"/>
    <w:rsid w:val="005508EE"/>
    <w:rsid w:val="0055140C"/>
    <w:rsid w:val="0055329D"/>
    <w:rsid w:val="00555157"/>
    <w:rsid w:val="005559CA"/>
    <w:rsid w:val="00555D3F"/>
    <w:rsid w:val="00555FD4"/>
    <w:rsid w:val="005572CB"/>
    <w:rsid w:val="00557966"/>
    <w:rsid w:val="00557A83"/>
    <w:rsid w:val="00560F12"/>
    <w:rsid w:val="00560F5F"/>
    <w:rsid w:val="00561C28"/>
    <w:rsid w:val="005621EC"/>
    <w:rsid w:val="005623D6"/>
    <w:rsid w:val="0056364A"/>
    <w:rsid w:val="00563EB4"/>
    <w:rsid w:val="0056501F"/>
    <w:rsid w:val="00567B8A"/>
    <w:rsid w:val="00567E65"/>
    <w:rsid w:val="0057034C"/>
    <w:rsid w:val="00570912"/>
    <w:rsid w:val="005709DA"/>
    <w:rsid w:val="005734D5"/>
    <w:rsid w:val="00574D1B"/>
    <w:rsid w:val="00575748"/>
    <w:rsid w:val="00575A1F"/>
    <w:rsid w:val="00576112"/>
    <w:rsid w:val="00576608"/>
    <w:rsid w:val="005773F1"/>
    <w:rsid w:val="00577458"/>
    <w:rsid w:val="00577A52"/>
    <w:rsid w:val="00580091"/>
    <w:rsid w:val="005824E9"/>
    <w:rsid w:val="005833AE"/>
    <w:rsid w:val="005833C8"/>
    <w:rsid w:val="0058356E"/>
    <w:rsid w:val="005840FD"/>
    <w:rsid w:val="00586212"/>
    <w:rsid w:val="0058726F"/>
    <w:rsid w:val="0058796A"/>
    <w:rsid w:val="00587C60"/>
    <w:rsid w:val="00590413"/>
    <w:rsid w:val="00592691"/>
    <w:rsid w:val="00592872"/>
    <w:rsid w:val="00593FEF"/>
    <w:rsid w:val="00595489"/>
    <w:rsid w:val="00595D61"/>
    <w:rsid w:val="00595E1B"/>
    <w:rsid w:val="00596040"/>
    <w:rsid w:val="005964CE"/>
    <w:rsid w:val="0059652E"/>
    <w:rsid w:val="005965DF"/>
    <w:rsid w:val="00597020"/>
    <w:rsid w:val="00597339"/>
    <w:rsid w:val="005974CE"/>
    <w:rsid w:val="00597607"/>
    <w:rsid w:val="00597D8E"/>
    <w:rsid w:val="005A1209"/>
    <w:rsid w:val="005A1398"/>
    <w:rsid w:val="005A1BC0"/>
    <w:rsid w:val="005A2289"/>
    <w:rsid w:val="005A2D3A"/>
    <w:rsid w:val="005A2E10"/>
    <w:rsid w:val="005A2E2D"/>
    <w:rsid w:val="005A4901"/>
    <w:rsid w:val="005A4EFB"/>
    <w:rsid w:val="005A51EC"/>
    <w:rsid w:val="005A70F9"/>
    <w:rsid w:val="005A7587"/>
    <w:rsid w:val="005A7AA2"/>
    <w:rsid w:val="005B0C71"/>
    <w:rsid w:val="005B1EBC"/>
    <w:rsid w:val="005B29B6"/>
    <w:rsid w:val="005B2A95"/>
    <w:rsid w:val="005B4D0C"/>
    <w:rsid w:val="005B57BE"/>
    <w:rsid w:val="005B6CB2"/>
    <w:rsid w:val="005B6E62"/>
    <w:rsid w:val="005C0343"/>
    <w:rsid w:val="005C0CC4"/>
    <w:rsid w:val="005C0F26"/>
    <w:rsid w:val="005C0F6E"/>
    <w:rsid w:val="005C10FC"/>
    <w:rsid w:val="005C22F6"/>
    <w:rsid w:val="005C28E3"/>
    <w:rsid w:val="005C562C"/>
    <w:rsid w:val="005C7287"/>
    <w:rsid w:val="005C72DA"/>
    <w:rsid w:val="005C73C5"/>
    <w:rsid w:val="005D0B88"/>
    <w:rsid w:val="005D1863"/>
    <w:rsid w:val="005D1CDC"/>
    <w:rsid w:val="005D20F4"/>
    <w:rsid w:val="005D3456"/>
    <w:rsid w:val="005D3761"/>
    <w:rsid w:val="005D4C86"/>
    <w:rsid w:val="005D52B2"/>
    <w:rsid w:val="005D5B1B"/>
    <w:rsid w:val="005D7A08"/>
    <w:rsid w:val="005E0139"/>
    <w:rsid w:val="005E01A0"/>
    <w:rsid w:val="005E02D3"/>
    <w:rsid w:val="005E02E8"/>
    <w:rsid w:val="005E1128"/>
    <w:rsid w:val="005E1632"/>
    <w:rsid w:val="005E1BED"/>
    <w:rsid w:val="005E2CAC"/>
    <w:rsid w:val="005E3726"/>
    <w:rsid w:val="005E4E70"/>
    <w:rsid w:val="005E555F"/>
    <w:rsid w:val="005E56B4"/>
    <w:rsid w:val="005E5894"/>
    <w:rsid w:val="005E5B02"/>
    <w:rsid w:val="005E6600"/>
    <w:rsid w:val="005E6709"/>
    <w:rsid w:val="005E7D47"/>
    <w:rsid w:val="005F09C1"/>
    <w:rsid w:val="005F0B67"/>
    <w:rsid w:val="005F0E06"/>
    <w:rsid w:val="005F1A9D"/>
    <w:rsid w:val="005F1EEE"/>
    <w:rsid w:val="005F38B3"/>
    <w:rsid w:val="005F4E46"/>
    <w:rsid w:val="005F5ACF"/>
    <w:rsid w:val="005F68FD"/>
    <w:rsid w:val="005F771F"/>
    <w:rsid w:val="005F777A"/>
    <w:rsid w:val="005F7D67"/>
    <w:rsid w:val="00600429"/>
    <w:rsid w:val="00601582"/>
    <w:rsid w:val="0060217B"/>
    <w:rsid w:val="00602325"/>
    <w:rsid w:val="006024D4"/>
    <w:rsid w:val="00603145"/>
    <w:rsid w:val="0060316F"/>
    <w:rsid w:val="0060380D"/>
    <w:rsid w:val="00603BE6"/>
    <w:rsid w:val="006041D5"/>
    <w:rsid w:val="0060504A"/>
    <w:rsid w:val="006061F9"/>
    <w:rsid w:val="006062A2"/>
    <w:rsid w:val="006062DC"/>
    <w:rsid w:val="00606362"/>
    <w:rsid w:val="00606540"/>
    <w:rsid w:val="0060705E"/>
    <w:rsid w:val="00607665"/>
    <w:rsid w:val="00607AD2"/>
    <w:rsid w:val="00607BA6"/>
    <w:rsid w:val="00611076"/>
    <w:rsid w:val="00611278"/>
    <w:rsid w:val="00612281"/>
    <w:rsid w:val="00612D04"/>
    <w:rsid w:val="00615410"/>
    <w:rsid w:val="00617449"/>
    <w:rsid w:val="00617733"/>
    <w:rsid w:val="00620855"/>
    <w:rsid w:val="00622B8C"/>
    <w:rsid w:val="00622BA2"/>
    <w:rsid w:val="00622CF0"/>
    <w:rsid w:val="0062449C"/>
    <w:rsid w:val="006251C8"/>
    <w:rsid w:val="00625274"/>
    <w:rsid w:val="006300DC"/>
    <w:rsid w:val="00630D50"/>
    <w:rsid w:val="00632E50"/>
    <w:rsid w:val="00633856"/>
    <w:rsid w:val="0063417A"/>
    <w:rsid w:val="00634849"/>
    <w:rsid w:val="00635420"/>
    <w:rsid w:val="0063578F"/>
    <w:rsid w:val="0063579E"/>
    <w:rsid w:val="006361AE"/>
    <w:rsid w:val="00636212"/>
    <w:rsid w:val="0063635E"/>
    <w:rsid w:val="006363F1"/>
    <w:rsid w:val="00636E94"/>
    <w:rsid w:val="00642229"/>
    <w:rsid w:val="006429B5"/>
    <w:rsid w:val="00642FBE"/>
    <w:rsid w:val="006432FF"/>
    <w:rsid w:val="006434B8"/>
    <w:rsid w:val="00643569"/>
    <w:rsid w:val="006448A3"/>
    <w:rsid w:val="00645DD2"/>
    <w:rsid w:val="00646B5D"/>
    <w:rsid w:val="00647AB4"/>
    <w:rsid w:val="0065074A"/>
    <w:rsid w:val="00653A7B"/>
    <w:rsid w:val="0065478C"/>
    <w:rsid w:val="00654851"/>
    <w:rsid w:val="006550B4"/>
    <w:rsid w:val="006605B3"/>
    <w:rsid w:val="006618F3"/>
    <w:rsid w:val="00662CFF"/>
    <w:rsid w:val="00663277"/>
    <w:rsid w:val="00663491"/>
    <w:rsid w:val="006636B3"/>
    <w:rsid w:val="006637AF"/>
    <w:rsid w:val="00663C15"/>
    <w:rsid w:val="006647D0"/>
    <w:rsid w:val="00665223"/>
    <w:rsid w:val="00665420"/>
    <w:rsid w:val="00665AC3"/>
    <w:rsid w:val="00665AF9"/>
    <w:rsid w:val="00666029"/>
    <w:rsid w:val="00666374"/>
    <w:rsid w:val="0066679F"/>
    <w:rsid w:val="00666CFC"/>
    <w:rsid w:val="006700A7"/>
    <w:rsid w:val="00672AC7"/>
    <w:rsid w:val="006731EA"/>
    <w:rsid w:val="006732A7"/>
    <w:rsid w:val="006733C8"/>
    <w:rsid w:val="00674485"/>
    <w:rsid w:val="006764BA"/>
    <w:rsid w:val="006767DF"/>
    <w:rsid w:val="00676913"/>
    <w:rsid w:val="00676E31"/>
    <w:rsid w:val="00681621"/>
    <w:rsid w:val="00681909"/>
    <w:rsid w:val="00681C9E"/>
    <w:rsid w:val="00681CD0"/>
    <w:rsid w:val="00683019"/>
    <w:rsid w:val="006832CC"/>
    <w:rsid w:val="00683B96"/>
    <w:rsid w:val="00683F4A"/>
    <w:rsid w:val="006843E6"/>
    <w:rsid w:val="0068454D"/>
    <w:rsid w:val="006847D8"/>
    <w:rsid w:val="00684C74"/>
    <w:rsid w:val="00685AE4"/>
    <w:rsid w:val="00686AFE"/>
    <w:rsid w:val="00687001"/>
    <w:rsid w:val="006877E6"/>
    <w:rsid w:val="00690AB2"/>
    <w:rsid w:val="0069156F"/>
    <w:rsid w:val="00691B62"/>
    <w:rsid w:val="00692578"/>
    <w:rsid w:val="00693704"/>
    <w:rsid w:val="006942B8"/>
    <w:rsid w:val="006943E6"/>
    <w:rsid w:val="00694905"/>
    <w:rsid w:val="006953FC"/>
    <w:rsid w:val="00695FF1"/>
    <w:rsid w:val="006A00E1"/>
    <w:rsid w:val="006A0BBD"/>
    <w:rsid w:val="006A0F20"/>
    <w:rsid w:val="006A1916"/>
    <w:rsid w:val="006A1CF7"/>
    <w:rsid w:val="006A1E0E"/>
    <w:rsid w:val="006A24A8"/>
    <w:rsid w:val="006A2696"/>
    <w:rsid w:val="006A2A1D"/>
    <w:rsid w:val="006A2B8D"/>
    <w:rsid w:val="006A35B5"/>
    <w:rsid w:val="006A4EAC"/>
    <w:rsid w:val="006A4EB3"/>
    <w:rsid w:val="006A4FC4"/>
    <w:rsid w:val="006A501D"/>
    <w:rsid w:val="006A5D7D"/>
    <w:rsid w:val="006A5DD4"/>
    <w:rsid w:val="006A61AD"/>
    <w:rsid w:val="006A722A"/>
    <w:rsid w:val="006A761B"/>
    <w:rsid w:val="006A76AD"/>
    <w:rsid w:val="006A78BF"/>
    <w:rsid w:val="006B008E"/>
    <w:rsid w:val="006B066D"/>
    <w:rsid w:val="006B07A6"/>
    <w:rsid w:val="006B10B9"/>
    <w:rsid w:val="006B26D4"/>
    <w:rsid w:val="006B2D56"/>
    <w:rsid w:val="006B30B6"/>
    <w:rsid w:val="006B43CD"/>
    <w:rsid w:val="006B46BE"/>
    <w:rsid w:val="006B5374"/>
    <w:rsid w:val="006B5ADD"/>
    <w:rsid w:val="006B6917"/>
    <w:rsid w:val="006B78D4"/>
    <w:rsid w:val="006C0F00"/>
    <w:rsid w:val="006C1030"/>
    <w:rsid w:val="006C1C56"/>
    <w:rsid w:val="006C3562"/>
    <w:rsid w:val="006C3A66"/>
    <w:rsid w:val="006C40C5"/>
    <w:rsid w:val="006C4261"/>
    <w:rsid w:val="006C43B2"/>
    <w:rsid w:val="006C6C94"/>
    <w:rsid w:val="006C6D42"/>
    <w:rsid w:val="006C74FB"/>
    <w:rsid w:val="006D0B5D"/>
    <w:rsid w:val="006D245E"/>
    <w:rsid w:val="006D2946"/>
    <w:rsid w:val="006D2B74"/>
    <w:rsid w:val="006D32C5"/>
    <w:rsid w:val="006D3EB1"/>
    <w:rsid w:val="006D442C"/>
    <w:rsid w:val="006D499B"/>
    <w:rsid w:val="006D5048"/>
    <w:rsid w:val="006D5D53"/>
    <w:rsid w:val="006D6A1E"/>
    <w:rsid w:val="006D799B"/>
    <w:rsid w:val="006D7EAE"/>
    <w:rsid w:val="006E1A2A"/>
    <w:rsid w:val="006E1E80"/>
    <w:rsid w:val="006E233E"/>
    <w:rsid w:val="006E2670"/>
    <w:rsid w:val="006E4A22"/>
    <w:rsid w:val="006E66BC"/>
    <w:rsid w:val="006E67F5"/>
    <w:rsid w:val="006E79C6"/>
    <w:rsid w:val="006F08F6"/>
    <w:rsid w:val="006F0E2B"/>
    <w:rsid w:val="006F2853"/>
    <w:rsid w:val="006F299F"/>
    <w:rsid w:val="006F3591"/>
    <w:rsid w:val="006F3BB6"/>
    <w:rsid w:val="006F3EA4"/>
    <w:rsid w:val="006F4A67"/>
    <w:rsid w:val="006F55B0"/>
    <w:rsid w:val="006F615B"/>
    <w:rsid w:val="006F6DB6"/>
    <w:rsid w:val="006F730A"/>
    <w:rsid w:val="00700262"/>
    <w:rsid w:val="0070213D"/>
    <w:rsid w:val="007026A4"/>
    <w:rsid w:val="007028F6"/>
    <w:rsid w:val="00702FA4"/>
    <w:rsid w:val="00703116"/>
    <w:rsid w:val="007035B7"/>
    <w:rsid w:val="007039DB"/>
    <w:rsid w:val="00704D22"/>
    <w:rsid w:val="00704DE2"/>
    <w:rsid w:val="00704F60"/>
    <w:rsid w:val="007063F9"/>
    <w:rsid w:val="0070694D"/>
    <w:rsid w:val="00707734"/>
    <w:rsid w:val="0071016D"/>
    <w:rsid w:val="00712846"/>
    <w:rsid w:val="00713086"/>
    <w:rsid w:val="00713219"/>
    <w:rsid w:val="0071339A"/>
    <w:rsid w:val="00713951"/>
    <w:rsid w:val="007144E2"/>
    <w:rsid w:val="00714FB8"/>
    <w:rsid w:val="00716157"/>
    <w:rsid w:val="00716304"/>
    <w:rsid w:val="00716E83"/>
    <w:rsid w:val="007171AD"/>
    <w:rsid w:val="00717825"/>
    <w:rsid w:val="00717916"/>
    <w:rsid w:val="00717A0F"/>
    <w:rsid w:val="00717BD0"/>
    <w:rsid w:val="00720A2B"/>
    <w:rsid w:val="007217F9"/>
    <w:rsid w:val="007220E5"/>
    <w:rsid w:val="00722540"/>
    <w:rsid w:val="00722D33"/>
    <w:rsid w:val="00722E15"/>
    <w:rsid w:val="007245A6"/>
    <w:rsid w:val="00724616"/>
    <w:rsid w:val="00724C21"/>
    <w:rsid w:val="00726429"/>
    <w:rsid w:val="007266C7"/>
    <w:rsid w:val="0072689C"/>
    <w:rsid w:val="007269E4"/>
    <w:rsid w:val="00727CDF"/>
    <w:rsid w:val="00727EBD"/>
    <w:rsid w:val="0073067E"/>
    <w:rsid w:val="007362CB"/>
    <w:rsid w:val="00736DC5"/>
    <w:rsid w:val="00741A14"/>
    <w:rsid w:val="00742D0E"/>
    <w:rsid w:val="00742EA0"/>
    <w:rsid w:val="00743A9D"/>
    <w:rsid w:val="00744981"/>
    <w:rsid w:val="0074530E"/>
    <w:rsid w:val="00746139"/>
    <w:rsid w:val="00750179"/>
    <w:rsid w:val="00750523"/>
    <w:rsid w:val="00750F63"/>
    <w:rsid w:val="00751243"/>
    <w:rsid w:val="00752406"/>
    <w:rsid w:val="007537C3"/>
    <w:rsid w:val="00753D3B"/>
    <w:rsid w:val="00753F92"/>
    <w:rsid w:val="00754684"/>
    <w:rsid w:val="0075534E"/>
    <w:rsid w:val="00755365"/>
    <w:rsid w:val="00755A13"/>
    <w:rsid w:val="007570B7"/>
    <w:rsid w:val="007571DC"/>
    <w:rsid w:val="0076049F"/>
    <w:rsid w:val="00760A21"/>
    <w:rsid w:val="00762C96"/>
    <w:rsid w:val="0076438A"/>
    <w:rsid w:val="00765030"/>
    <w:rsid w:val="00765506"/>
    <w:rsid w:val="00765CAD"/>
    <w:rsid w:val="00765CFC"/>
    <w:rsid w:val="00765DEB"/>
    <w:rsid w:val="00767270"/>
    <w:rsid w:val="007672BF"/>
    <w:rsid w:val="007679B8"/>
    <w:rsid w:val="00772BD2"/>
    <w:rsid w:val="00773ECB"/>
    <w:rsid w:val="007752C8"/>
    <w:rsid w:val="00775DC9"/>
    <w:rsid w:val="0077693A"/>
    <w:rsid w:val="007773DB"/>
    <w:rsid w:val="00781170"/>
    <w:rsid w:val="00781779"/>
    <w:rsid w:val="00781953"/>
    <w:rsid w:val="00782A59"/>
    <w:rsid w:val="00783140"/>
    <w:rsid w:val="00783932"/>
    <w:rsid w:val="00786191"/>
    <w:rsid w:val="007863F5"/>
    <w:rsid w:val="007866BB"/>
    <w:rsid w:val="00786BD1"/>
    <w:rsid w:val="00791189"/>
    <w:rsid w:val="0079342F"/>
    <w:rsid w:val="00793B8C"/>
    <w:rsid w:val="00795941"/>
    <w:rsid w:val="00795B21"/>
    <w:rsid w:val="007964CD"/>
    <w:rsid w:val="00796522"/>
    <w:rsid w:val="00796B30"/>
    <w:rsid w:val="00796DA4"/>
    <w:rsid w:val="00796EB8"/>
    <w:rsid w:val="007971D6"/>
    <w:rsid w:val="0079755D"/>
    <w:rsid w:val="00797BE7"/>
    <w:rsid w:val="007A1721"/>
    <w:rsid w:val="007A1ABF"/>
    <w:rsid w:val="007A2518"/>
    <w:rsid w:val="007A2AF0"/>
    <w:rsid w:val="007A37A1"/>
    <w:rsid w:val="007A3F05"/>
    <w:rsid w:val="007A7321"/>
    <w:rsid w:val="007B0286"/>
    <w:rsid w:val="007B1014"/>
    <w:rsid w:val="007B1C56"/>
    <w:rsid w:val="007B3AA9"/>
    <w:rsid w:val="007B3DB7"/>
    <w:rsid w:val="007B3E90"/>
    <w:rsid w:val="007B3FB7"/>
    <w:rsid w:val="007B4BD1"/>
    <w:rsid w:val="007B5053"/>
    <w:rsid w:val="007B722E"/>
    <w:rsid w:val="007B735D"/>
    <w:rsid w:val="007B78DE"/>
    <w:rsid w:val="007B7D39"/>
    <w:rsid w:val="007B7F5B"/>
    <w:rsid w:val="007C056F"/>
    <w:rsid w:val="007C0EA7"/>
    <w:rsid w:val="007C2FE3"/>
    <w:rsid w:val="007C3D10"/>
    <w:rsid w:val="007C3EA9"/>
    <w:rsid w:val="007C4515"/>
    <w:rsid w:val="007C477B"/>
    <w:rsid w:val="007C4ADB"/>
    <w:rsid w:val="007C74C4"/>
    <w:rsid w:val="007C784D"/>
    <w:rsid w:val="007D283D"/>
    <w:rsid w:val="007D49D3"/>
    <w:rsid w:val="007D4C5D"/>
    <w:rsid w:val="007D5FC6"/>
    <w:rsid w:val="007D670B"/>
    <w:rsid w:val="007D6C86"/>
    <w:rsid w:val="007D72C0"/>
    <w:rsid w:val="007D7404"/>
    <w:rsid w:val="007E0137"/>
    <w:rsid w:val="007E0ED5"/>
    <w:rsid w:val="007E1ACA"/>
    <w:rsid w:val="007E343C"/>
    <w:rsid w:val="007E37E1"/>
    <w:rsid w:val="007E490A"/>
    <w:rsid w:val="007E494B"/>
    <w:rsid w:val="007E5BC5"/>
    <w:rsid w:val="007E5D98"/>
    <w:rsid w:val="007E610D"/>
    <w:rsid w:val="007E6AE3"/>
    <w:rsid w:val="007E7209"/>
    <w:rsid w:val="007E7AC1"/>
    <w:rsid w:val="007F0320"/>
    <w:rsid w:val="007F356F"/>
    <w:rsid w:val="007F45AF"/>
    <w:rsid w:val="007F4860"/>
    <w:rsid w:val="007F4F95"/>
    <w:rsid w:val="007F5C1D"/>
    <w:rsid w:val="007F732F"/>
    <w:rsid w:val="007F753C"/>
    <w:rsid w:val="007F78C2"/>
    <w:rsid w:val="008005FB"/>
    <w:rsid w:val="00801104"/>
    <w:rsid w:val="00801EF8"/>
    <w:rsid w:val="00802598"/>
    <w:rsid w:val="00804567"/>
    <w:rsid w:val="00804CBB"/>
    <w:rsid w:val="008055BC"/>
    <w:rsid w:val="00805BDA"/>
    <w:rsid w:val="008061C9"/>
    <w:rsid w:val="0080637F"/>
    <w:rsid w:val="008103BD"/>
    <w:rsid w:val="00811386"/>
    <w:rsid w:val="008113E6"/>
    <w:rsid w:val="00811844"/>
    <w:rsid w:val="00811F2F"/>
    <w:rsid w:val="00812122"/>
    <w:rsid w:val="008129B6"/>
    <w:rsid w:val="008129DB"/>
    <w:rsid w:val="00812C66"/>
    <w:rsid w:val="00812E7B"/>
    <w:rsid w:val="008139A3"/>
    <w:rsid w:val="00813A1C"/>
    <w:rsid w:val="00814A3D"/>
    <w:rsid w:val="00814EC0"/>
    <w:rsid w:val="008152CF"/>
    <w:rsid w:val="0081656D"/>
    <w:rsid w:val="00816740"/>
    <w:rsid w:val="008200D3"/>
    <w:rsid w:val="00820309"/>
    <w:rsid w:val="008206DC"/>
    <w:rsid w:val="00821386"/>
    <w:rsid w:val="0082291C"/>
    <w:rsid w:val="008234DF"/>
    <w:rsid w:val="00824169"/>
    <w:rsid w:val="008243B6"/>
    <w:rsid w:val="00825393"/>
    <w:rsid w:val="008262EC"/>
    <w:rsid w:val="00826B01"/>
    <w:rsid w:val="00826D93"/>
    <w:rsid w:val="00827E42"/>
    <w:rsid w:val="00830514"/>
    <w:rsid w:val="0083081C"/>
    <w:rsid w:val="00831081"/>
    <w:rsid w:val="00831152"/>
    <w:rsid w:val="00832F26"/>
    <w:rsid w:val="00832F71"/>
    <w:rsid w:val="00833032"/>
    <w:rsid w:val="008336A2"/>
    <w:rsid w:val="00833ED5"/>
    <w:rsid w:val="00834030"/>
    <w:rsid w:val="008351C4"/>
    <w:rsid w:val="00835EE1"/>
    <w:rsid w:val="00836E79"/>
    <w:rsid w:val="0083778E"/>
    <w:rsid w:val="00842E4C"/>
    <w:rsid w:val="00843254"/>
    <w:rsid w:val="00843330"/>
    <w:rsid w:val="00843548"/>
    <w:rsid w:val="00843E21"/>
    <w:rsid w:val="00844B9F"/>
    <w:rsid w:val="008459E0"/>
    <w:rsid w:val="008460BC"/>
    <w:rsid w:val="00846433"/>
    <w:rsid w:val="00847DE1"/>
    <w:rsid w:val="008502BC"/>
    <w:rsid w:val="008504B6"/>
    <w:rsid w:val="008509B1"/>
    <w:rsid w:val="008510BC"/>
    <w:rsid w:val="00851349"/>
    <w:rsid w:val="0085178D"/>
    <w:rsid w:val="008525B3"/>
    <w:rsid w:val="008533B5"/>
    <w:rsid w:val="008552FA"/>
    <w:rsid w:val="00855B35"/>
    <w:rsid w:val="008576D7"/>
    <w:rsid w:val="00860BB5"/>
    <w:rsid w:val="00861E30"/>
    <w:rsid w:val="00863434"/>
    <w:rsid w:val="00863682"/>
    <w:rsid w:val="008636B8"/>
    <w:rsid w:val="00864C3D"/>
    <w:rsid w:val="00864EAC"/>
    <w:rsid w:val="00865EBD"/>
    <w:rsid w:val="00866481"/>
    <w:rsid w:val="00866D4A"/>
    <w:rsid w:val="00867122"/>
    <w:rsid w:val="00867493"/>
    <w:rsid w:val="0086783C"/>
    <w:rsid w:val="008678A5"/>
    <w:rsid w:val="0087083B"/>
    <w:rsid w:val="00870AAC"/>
    <w:rsid w:val="00870D43"/>
    <w:rsid w:val="00871033"/>
    <w:rsid w:val="00871BF8"/>
    <w:rsid w:val="0087289B"/>
    <w:rsid w:val="008738EA"/>
    <w:rsid w:val="008739A9"/>
    <w:rsid w:val="00873A00"/>
    <w:rsid w:val="00873BC7"/>
    <w:rsid w:val="00874D36"/>
    <w:rsid w:val="00875148"/>
    <w:rsid w:val="00875B1D"/>
    <w:rsid w:val="008764DE"/>
    <w:rsid w:val="00877E75"/>
    <w:rsid w:val="008802AD"/>
    <w:rsid w:val="00883266"/>
    <w:rsid w:val="00883ABC"/>
    <w:rsid w:val="00883F04"/>
    <w:rsid w:val="00884FBF"/>
    <w:rsid w:val="00885B82"/>
    <w:rsid w:val="00885CE6"/>
    <w:rsid w:val="00885CFC"/>
    <w:rsid w:val="008862F9"/>
    <w:rsid w:val="0088783D"/>
    <w:rsid w:val="00890791"/>
    <w:rsid w:val="0089134E"/>
    <w:rsid w:val="00891BEC"/>
    <w:rsid w:val="00891C6C"/>
    <w:rsid w:val="00891EBF"/>
    <w:rsid w:val="00893BAA"/>
    <w:rsid w:val="00894022"/>
    <w:rsid w:val="0089631D"/>
    <w:rsid w:val="00896796"/>
    <w:rsid w:val="008974DC"/>
    <w:rsid w:val="00897BF2"/>
    <w:rsid w:val="00897E97"/>
    <w:rsid w:val="008A12D6"/>
    <w:rsid w:val="008A1C7A"/>
    <w:rsid w:val="008A1D9E"/>
    <w:rsid w:val="008A1E32"/>
    <w:rsid w:val="008A20D3"/>
    <w:rsid w:val="008A31CA"/>
    <w:rsid w:val="008A329D"/>
    <w:rsid w:val="008A34F6"/>
    <w:rsid w:val="008A44B9"/>
    <w:rsid w:val="008A6122"/>
    <w:rsid w:val="008A612C"/>
    <w:rsid w:val="008A6147"/>
    <w:rsid w:val="008A62C0"/>
    <w:rsid w:val="008A632A"/>
    <w:rsid w:val="008A6BE7"/>
    <w:rsid w:val="008B0C57"/>
    <w:rsid w:val="008B230A"/>
    <w:rsid w:val="008B5F4C"/>
    <w:rsid w:val="008B77F3"/>
    <w:rsid w:val="008B7D3D"/>
    <w:rsid w:val="008C02AD"/>
    <w:rsid w:val="008C12C1"/>
    <w:rsid w:val="008C19C5"/>
    <w:rsid w:val="008C2355"/>
    <w:rsid w:val="008C34B7"/>
    <w:rsid w:val="008C35C5"/>
    <w:rsid w:val="008C3BE8"/>
    <w:rsid w:val="008C468F"/>
    <w:rsid w:val="008C53B7"/>
    <w:rsid w:val="008D24B0"/>
    <w:rsid w:val="008D3422"/>
    <w:rsid w:val="008D5637"/>
    <w:rsid w:val="008D5B17"/>
    <w:rsid w:val="008D5CF2"/>
    <w:rsid w:val="008D5D20"/>
    <w:rsid w:val="008D5D40"/>
    <w:rsid w:val="008D67A7"/>
    <w:rsid w:val="008D76E6"/>
    <w:rsid w:val="008D7DED"/>
    <w:rsid w:val="008D7F31"/>
    <w:rsid w:val="008E011F"/>
    <w:rsid w:val="008E03A1"/>
    <w:rsid w:val="008E0705"/>
    <w:rsid w:val="008E3251"/>
    <w:rsid w:val="008E3EB0"/>
    <w:rsid w:val="008E40D3"/>
    <w:rsid w:val="008E4EB2"/>
    <w:rsid w:val="008E541A"/>
    <w:rsid w:val="008E5F32"/>
    <w:rsid w:val="008E6340"/>
    <w:rsid w:val="008E6446"/>
    <w:rsid w:val="008E6782"/>
    <w:rsid w:val="008E76CE"/>
    <w:rsid w:val="008E7B6B"/>
    <w:rsid w:val="008F0587"/>
    <w:rsid w:val="008F14A6"/>
    <w:rsid w:val="008F14E8"/>
    <w:rsid w:val="008F197A"/>
    <w:rsid w:val="008F3F65"/>
    <w:rsid w:val="008F4AD7"/>
    <w:rsid w:val="008F5AEA"/>
    <w:rsid w:val="008F5E73"/>
    <w:rsid w:val="008F78CC"/>
    <w:rsid w:val="008F7AA9"/>
    <w:rsid w:val="0090008B"/>
    <w:rsid w:val="009002A5"/>
    <w:rsid w:val="00901F1A"/>
    <w:rsid w:val="00902A36"/>
    <w:rsid w:val="00903243"/>
    <w:rsid w:val="0090384A"/>
    <w:rsid w:val="00903A3E"/>
    <w:rsid w:val="00904909"/>
    <w:rsid w:val="00904995"/>
    <w:rsid w:val="00904B30"/>
    <w:rsid w:val="00904F79"/>
    <w:rsid w:val="009057CF"/>
    <w:rsid w:val="00905854"/>
    <w:rsid w:val="00905987"/>
    <w:rsid w:val="009070AD"/>
    <w:rsid w:val="009103CD"/>
    <w:rsid w:val="009107E5"/>
    <w:rsid w:val="009109BC"/>
    <w:rsid w:val="00910D12"/>
    <w:rsid w:val="0091188D"/>
    <w:rsid w:val="009118D7"/>
    <w:rsid w:val="00911F23"/>
    <w:rsid w:val="009123DF"/>
    <w:rsid w:val="0091322B"/>
    <w:rsid w:val="00913582"/>
    <w:rsid w:val="00913C85"/>
    <w:rsid w:val="00914948"/>
    <w:rsid w:val="0091544E"/>
    <w:rsid w:val="00915F0A"/>
    <w:rsid w:val="00915FD6"/>
    <w:rsid w:val="009161BC"/>
    <w:rsid w:val="009166E2"/>
    <w:rsid w:val="00917F7B"/>
    <w:rsid w:val="00921188"/>
    <w:rsid w:val="00921955"/>
    <w:rsid w:val="009226BC"/>
    <w:rsid w:val="009245A2"/>
    <w:rsid w:val="009252AB"/>
    <w:rsid w:val="00925BDF"/>
    <w:rsid w:val="009264BF"/>
    <w:rsid w:val="0093057B"/>
    <w:rsid w:val="0093090E"/>
    <w:rsid w:val="009310D6"/>
    <w:rsid w:val="00931320"/>
    <w:rsid w:val="00931B6D"/>
    <w:rsid w:val="00933A6B"/>
    <w:rsid w:val="009343AD"/>
    <w:rsid w:val="00934FB5"/>
    <w:rsid w:val="009351B5"/>
    <w:rsid w:val="009356EB"/>
    <w:rsid w:val="009365B1"/>
    <w:rsid w:val="00936C04"/>
    <w:rsid w:val="00936C31"/>
    <w:rsid w:val="00936E15"/>
    <w:rsid w:val="00937AB3"/>
    <w:rsid w:val="00937BE1"/>
    <w:rsid w:val="00941FDC"/>
    <w:rsid w:val="009428DB"/>
    <w:rsid w:val="00942E33"/>
    <w:rsid w:val="00943C9D"/>
    <w:rsid w:val="00944D83"/>
    <w:rsid w:val="00945228"/>
    <w:rsid w:val="009460BA"/>
    <w:rsid w:val="009465A8"/>
    <w:rsid w:val="0094715A"/>
    <w:rsid w:val="00947668"/>
    <w:rsid w:val="009505C1"/>
    <w:rsid w:val="00951AAA"/>
    <w:rsid w:val="00951E51"/>
    <w:rsid w:val="009520E8"/>
    <w:rsid w:val="00954E86"/>
    <w:rsid w:val="00956961"/>
    <w:rsid w:val="00956BD1"/>
    <w:rsid w:val="0095730C"/>
    <w:rsid w:val="00957A3B"/>
    <w:rsid w:val="0096117E"/>
    <w:rsid w:val="0096121F"/>
    <w:rsid w:val="009612B2"/>
    <w:rsid w:val="0096197E"/>
    <w:rsid w:val="00961BB4"/>
    <w:rsid w:val="0096219E"/>
    <w:rsid w:val="00963507"/>
    <w:rsid w:val="009669EE"/>
    <w:rsid w:val="00966CF7"/>
    <w:rsid w:val="00967F52"/>
    <w:rsid w:val="009702FE"/>
    <w:rsid w:val="00970A0B"/>
    <w:rsid w:val="00971A5A"/>
    <w:rsid w:val="00973898"/>
    <w:rsid w:val="00973C73"/>
    <w:rsid w:val="00973F2D"/>
    <w:rsid w:val="00975BEC"/>
    <w:rsid w:val="00976966"/>
    <w:rsid w:val="00976A92"/>
    <w:rsid w:val="00977EA5"/>
    <w:rsid w:val="0098012C"/>
    <w:rsid w:val="00980545"/>
    <w:rsid w:val="00980C22"/>
    <w:rsid w:val="00980F47"/>
    <w:rsid w:val="00983053"/>
    <w:rsid w:val="009830AD"/>
    <w:rsid w:val="00984039"/>
    <w:rsid w:val="009840B9"/>
    <w:rsid w:val="009841B8"/>
    <w:rsid w:val="0098519A"/>
    <w:rsid w:val="00985490"/>
    <w:rsid w:val="009857D9"/>
    <w:rsid w:val="0098591A"/>
    <w:rsid w:val="00985A60"/>
    <w:rsid w:val="00985C87"/>
    <w:rsid w:val="00985F24"/>
    <w:rsid w:val="00985F84"/>
    <w:rsid w:val="00986D22"/>
    <w:rsid w:val="009879D2"/>
    <w:rsid w:val="00987F0C"/>
    <w:rsid w:val="0099036E"/>
    <w:rsid w:val="0099149B"/>
    <w:rsid w:val="009914A6"/>
    <w:rsid w:val="00991AEA"/>
    <w:rsid w:val="00992ECD"/>
    <w:rsid w:val="00993487"/>
    <w:rsid w:val="00993EFA"/>
    <w:rsid w:val="0099435D"/>
    <w:rsid w:val="00994857"/>
    <w:rsid w:val="0099490F"/>
    <w:rsid w:val="00994D1A"/>
    <w:rsid w:val="00996E57"/>
    <w:rsid w:val="00997C02"/>
    <w:rsid w:val="00997CA9"/>
    <w:rsid w:val="009A0409"/>
    <w:rsid w:val="009A0756"/>
    <w:rsid w:val="009A13A5"/>
    <w:rsid w:val="009A1D29"/>
    <w:rsid w:val="009A3DC9"/>
    <w:rsid w:val="009A3FAA"/>
    <w:rsid w:val="009A432A"/>
    <w:rsid w:val="009A4CF5"/>
    <w:rsid w:val="009A52A4"/>
    <w:rsid w:val="009A5755"/>
    <w:rsid w:val="009A5A1B"/>
    <w:rsid w:val="009A603F"/>
    <w:rsid w:val="009A60EC"/>
    <w:rsid w:val="009A6E77"/>
    <w:rsid w:val="009A7258"/>
    <w:rsid w:val="009A7B6D"/>
    <w:rsid w:val="009B0607"/>
    <w:rsid w:val="009B0D97"/>
    <w:rsid w:val="009B135C"/>
    <w:rsid w:val="009B182F"/>
    <w:rsid w:val="009B1AF7"/>
    <w:rsid w:val="009B23B3"/>
    <w:rsid w:val="009B26E5"/>
    <w:rsid w:val="009B2863"/>
    <w:rsid w:val="009B2BA4"/>
    <w:rsid w:val="009B3875"/>
    <w:rsid w:val="009B3EA4"/>
    <w:rsid w:val="009B5BC5"/>
    <w:rsid w:val="009B7202"/>
    <w:rsid w:val="009C09DC"/>
    <w:rsid w:val="009C0DED"/>
    <w:rsid w:val="009C2534"/>
    <w:rsid w:val="009C2E45"/>
    <w:rsid w:val="009C3292"/>
    <w:rsid w:val="009C4116"/>
    <w:rsid w:val="009C4A74"/>
    <w:rsid w:val="009C5207"/>
    <w:rsid w:val="009C55E8"/>
    <w:rsid w:val="009C5A14"/>
    <w:rsid w:val="009C5A53"/>
    <w:rsid w:val="009C6B4A"/>
    <w:rsid w:val="009C703B"/>
    <w:rsid w:val="009D036B"/>
    <w:rsid w:val="009D10ED"/>
    <w:rsid w:val="009D139F"/>
    <w:rsid w:val="009D224D"/>
    <w:rsid w:val="009D2AC9"/>
    <w:rsid w:val="009D6A93"/>
    <w:rsid w:val="009E05D9"/>
    <w:rsid w:val="009E1C75"/>
    <w:rsid w:val="009E1CF6"/>
    <w:rsid w:val="009E1E7A"/>
    <w:rsid w:val="009E325C"/>
    <w:rsid w:val="009E37B0"/>
    <w:rsid w:val="009E3CF3"/>
    <w:rsid w:val="009E40FA"/>
    <w:rsid w:val="009E5D81"/>
    <w:rsid w:val="009E62FE"/>
    <w:rsid w:val="009E63E2"/>
    <w:rsid w:val="009E6D5B"/>
    <w:rsid w:val="009E7B7A"/>
    <w:rsid w:val="009E7DDC"/>
    <w:rsid w:val="009E7FAA"/>
    <w:rsid w:val="009F00DC"/>
    <w:rsid w:val="009F0B7A"/>
    <w:rsid w:val="009F0F34"/>
    <w:rsid w:val="009F2BB8"/>
    <w:rsid w:val="009F2C27"/>
    <w:rsid w:val="009F2E34"/>
    <w:rsid w:val="009F5B6A"/>
    <w:rsid w:val="009F5BB4"/>
    <w:rsid w:val="009F6AB3"/>
    <w:rsid w:val="009F6F73"/>
    <w:rsid w:val="009F75CE"/>
    <w:rsid w:val="00A00024"/>
    <w:rsid w:val="00A00F81"/>
    <w:rsid w:val="00A0165F"/>
    <w:rsid w:val="00A02276"/>
    <w:rsid w:val="00A02C5B"/>
    <w:rsid w:val="00A02C85"/>
    <w:rsid w:val="00A02D1B"/>
    <w:rsid w:val="00A04137"/>
    <w:rsid w:val="00A04BAB"/>
    <w:rsid w:val="00A058C6"/>
    <w:rsid w:val="00A071F9"/>
    <w:rsid w:val="00A07559"/>
    <w:rsid w:val="00A0764C"/>
    <w:rsid w:val="00A07651"/>
    <w:rsid w:val="00A07E86"/>
    <w:rsid w:val="00A10CAF"/>
    <w:rsid w:val="00A1157D"/>
    <w:rsid w:val="00A11AA4"/>
    <w:rsid w:val="00A12BFE"/>
    <w:rsid w:val="00A12D0E"/>
    <w:rsid w:val="00A15160"/>
    <w:rsid w:val="00A153BC"/>
    <w:rsid w:val="00A177F5"/>
    <w:rsid w:val="00A177FE"/>
    <w:rsid w:val="00A20197"/>
    <w:rsid w:val="00A205FD"/>
    <w:rsid w:val="00A2156E"/>
    <w:rsid w:val="00A21A06"/>
    <w:rsid w:val="00A2449D"/>
    <w:rsid w:val="00A248B1"/>
    <w:rsid w:val="00A255EF"/>
    <w:rsid w:val="00A2565A"/>
    <w:rsid w:val="00A30153"/>
    <w:rsid w:val="00A302E0"/>
    <w:rsid w:val="00A315A8"/>
    <w:rsid w:val="00A31FEC"/>
    <w:rsid w:val="00A32043"/>
    <w:rsid w:val="00A33BB6"/>
    <w:rsid w:val="00A33C78"/>
    <w:rsid w:val="00A345F5"/>
    <w:rsid w:val="00A34F84"/>
    <w:rsid w:val="00A3560E"/>
    <w:rsid w:val="00A35A3D"/>
    <w:rsid w:val="00A35DDA"/>
    <w:rsid w:val="00A363B7"/>
    <w:rsid w:val="00A37F77"/>
    <w:rsid w:val="00A40AF0"/>
    <w:rsid w:val="00A412E2"/>
    <w:rsid w:val="00A41E17"/>
    <w:rsid w:val="00A426BC"/>
    <w:rsid w:val="00A428B6"/>
    <w:rsid w:val="00A44AB3"/>
    <w:rsid w:val="00A44E8C"/>
    <w:rsid w:val="00A44FB5"/>
    <w:rsid w:val="00A4618C"/>
    <w:rsid w:val="00A462B1"/>
    <w:rsid w:val="00A47CDF"/>
    <w:rsid w:val="00A5079C"/>
    <w:rsid w:val="00A5147C"/>
    <w:rsid w:val="00A523DC"/>
    <w:rsid w:val="00A52450"/>
    <w:rsid w:val="00A52C14"/>
    <w:rsid w:val="00A53451"/>
    <w:rsid w:val="00A53B63"/>
    <w:rsid w:val="00A5460D"/>
    <w:rsid w:val="00A5498D"/>
    <w:rsid w:val="00A556A2"/>
    <w:rsid w:val="00A56078"/>
    <w:rsid w:val="00A56824"/>
    <w:rsid w:val="00A569E8"/>
    <w:rsid w:val="00A56B2A"/>
    <w:rsid w:val="00A57845"/>
    <w:rsid w:val="00A57EA5"/>
    <w:rsid w:val="00A57F40"/>
    <w:rsid w:val="00A6045C"/>
    <w:rsid w:val="00A6045F"/>
    <w:rsid w:val="00A608F8"/>
    <w:rsid w:val="00A61327"/>
    <w:rsid w:val="00A616C9"/>
    <w:rsid w:val="00A61BBC"/>
    <w:rsid w:val="00A63807"/>
    <w:rsid w:val="00A653C8"/>
    <w:rsid w:val="00A65892"/>
    <w:rsid w:val="00A65A28"/>
    <w:rsid w:val="00A65AD9"/>
    <w:rsid w:val="00A66880"/>
    <w:rsid w:val="00A66A18"/>
    <w:rsid w:val="00A6746F"/>
    <w:rsid w:val="00A6766C"/>
    <w:rsid w:val="00A71055"/>
    <w:rsid w:val="00A7259D"/>
    <w:rsid w:val="00A72744"/>
    <w:rsid w:val="00A7295C"/>
    <w:rsid w:val="00A72F95"/>
    <w:rsid w:val="00A7392A"/>
    <w:rsid w:val="00A74F70"/>
    <w:rsid w:val="00A75070"/>
    <w:rsid w:val="00A751F3"/>
    <w:rsid w:val="00A755EE"/>
    <w:rsid w:val="00A75E8F"/>
    <w:rsid w:val="00A76202"/>
    <w:rsid w:val="00A776F4"/>
    <w:rsid w:val="00A80327"/>
    <w:rsid w:val="00A80367"/>
    <w:rsid w:val="00A805D8"/>
    <w:rsid w:val="00A81D0C"/>
    <w:rsid w:val="00A81F24"/>
    <w:rsid w:val="00A82563"/>
    <w:rsid w:val="00A83213"/>
    <w:rsid w:val="00A8415F"/>
    <w:rsid w:val="00A84A18"/>
    <w:rsid w:val="00A855CE"/>
    <w:rsid w:val="00A85CA9"/>
    <w:rsid w:val="00A8644F"/>
    <w:rsid w:val="00A86809"/>
    <w:rsid w:val="00A8696B"/>
    <w:rsid w:val="00A86D00"/>
    <w:rsid w:val="00A86E35"/>
    <w:rsid w:val="00A86F27"/>
    <w:rsid w:val="00A91922"/>
    <w:rsid w:val="00A9283E"/>
    <w:rsid w:val="00A92CB8"/>
    <w:rsid w:val="00A93077"/>
    <w:rsid w:val="00A950CA"/>
    <w:rsid w:val="00A956AE"/>
    <w:rsid w:val="00A95A0A"/>
    <w:rsid w:val="00A969AE"/>
    <w:rsid w:val="00A97430"/>
    <w:rsid w:val="00AA01AF"/>
    <w:rsid w:val="00AA0368"/>
    <w:rsid w:val="00AA069C"/>
    <w:rsid w:val="00AA096B"/>
    <w:rsid w:val="00AA0974"/>
    <w:rsid w:val="00AA0CAF"/>
    <w:rsid w:val="00AA234E"/>
    <w:rsid w:val="00AA2C04"/>
    <w:rsid w:val="00AA363E"/>
    <w:rsid w:val="00AA3664"/>
    <w:rsid w:val="00AA3CCB"/>
    <w:rsid w:val="00AA408F"/>
    <w:rsid w:val="00AA40AD"/>
    <w:rsid w:val="00AA4F66"/>
    <w:rsid w:val="00AA5B19"/>
    <w:rsid w:val="00AA5FA2"/>
    <w:rsid w:val="00AA6034"/>
    <w:rsid w:val="00AA6C95"/>
    <w:rsid w:val="00AA7181"/>
    <w:rsid w:val="00AB012A"/>
    <w:rsid w:val="00AB03B5"/>
    <w:rsid w:val="00AB095E"/>
    <w:rsid w:val="00AB0A12"/>
    <w:rsid w:val="00AB36EA"/>
    <w:rsid w:val="00AB402A"/>
    <w:rsid w:val="00AB6187"/>
    <w:rsid w:val="00AB62C2"/>
    <w:rsid w:val="00AB7DE5"/>
    <w:rsid w:val="00AC019A"/>
    <w:rsid w:val="00AC0AF5"/>
    <w:rsid w:val="00AC0C96"/>
    <w:rsid w:val="00AC18AF"/>
    <w:rsid w:val="00AC1AFE"/>
    <w:rsid w:val="00AC1C31"/>
    <w:rsid w:val="00AC3E29"/>
    <w:rsid w:val="00AC502B"/>
    <w:rsid w:val="00AC5210"/>
    <w:rsid w:val="00AC5AA4"/>
    <w:rsid w:val="00AC71CE"/>
    <w:rsid w:val="00AD04B9"/>
    <w:rsid w:val="00AD106E"/>
    <w:rsid w:val="00AD163E"/>
    <w:rsid w:val="00AD28BA"/>
    <w:rsid w:val="00AD31DE"/>
    <w:rsid w:val="00AD336E"/>
    <w:rsid w:val="00AD356D"/>
    <w:rsid w:val="00AD62E7"/>
    <w:rsid w:val="00AD63E4"/>
    <w:rsid w:val="00AD6BBF"/>
    <w:rsid w:val="00AD7445"/>
    <w:rsid w:val="00AE0E70"/>
    <w:rsid w:val="00AE26EE"/>
    <w:rsid w:val="00AE2AB2"/>
    <w:rsid w:val="00AE31BC"/>
    <w:rsid w:val="00AE3862"/>
    <w:rsid w:val="00AE4177"/>
    <w:rsid w:val="00AE48CF"/>
    <w:rsid w:val="00AE5E4C"/>
    <w:rsid w:val="00AE6203"/>
    <w:rsid w:val="00AE6663"/>
    <w:rsid w:val="00AF01FC"/>
    <w:rsid w:val="00AF033E"/>
    <w:rsid w:val="00AF1A47"/>
    <w:rsid w:val="00AF300A"/>
    <w:rsid w:val="00AF342A"/>
    <w:rsid w:val="00AF434A"/>
    <w:rsid w:val="00AF4F62"/>
    <w:rsid w:val="00AF5396"/>
    <w:rsid w:val="00AF5DE8"/>
    <w:rsid w:val="00AF6981"/>
    <w:rsid w:val="00AF6DDE"/>
    <w:rsid w:val="00AF6FB1"/>
    <w:rsid w:val="00AF7661"/>
    <w:rsid w:val="00AF7AC2"/>
    <w:rsid w:val="00AF7DD2"/>
    <w:rsid w:val="00AF7FB6"/>
    <w:rsid w:val="00B0043E"/>
    <w:rsid w:val="00B008A1"/>
    <w:rsid w:val="00B00B8B"/>
    <w:rsid w:val="00B00CB9"/>
    <w:rsid w:val="00B00EC4"/>
    <w:rsid w:val="00B01110"/>
    <w:rsid w:val="00B016E4"/>
    <w:rsid w:val="00B0170A"/>
    <w:rsid w:val="00B02132"/>
    <w:rsid w:val="00B03DD2"/>
    <w:rsid w:val="00B058EF"/>
    <w:rsid w:val="00B05A8C"/>
    <w:rsid w:val="00B05EA8"/>
    <w:rsid w:val="00B067F3"/>
    <w:rsid w:val="00B102B8"/>
    <w:rsid w:val="00B10325"/>
    <w:rsid w:val="00B10C4E"/>
    <w:rsid w:val="00B10D21"/>
    <w:rsid w:val="00B11111"/>
    <w:rsid w:val="00B13450"/>
    <w:rsid w:val="00B13518"/>
    <w:rsid w:val="00B13561"/>
    <w:rsid w:val="00B14BA5"/>
    <w:rsid w:val="00B151D0"/>
    <w:rsid w:val="00B15AE6"/>
    <w:rsid w:val="00B15FD1"/>
    <w:rsid w:val="00B167F0"/>
    <w:rsid w:val="00B17784"/>
    <w:rsid w:val="00B17E12"/>
    <w:rsid w:val="00B17E48"/>
    <w:rsid w:val="00B21549"/>
    <w:rsid w:val="00B21AB8"/>
    <w:rsid w:val="00B21D65"/>
    <w:rsid w:val="00B22566"/>
    <w:rsid w:val="00B22F8C"/>
    <w:rsid w:val="00B247F9"/>
    <w:rsid w:val="00B249C3"/>
    <w:rsid w:val="00B24C1C"/>
    <w:rsid w:val="00B25770"/>
    <w:rsid w:val="00B259E6"/>
    <w:rsid w:val="00B25D19"/>
    <w:rsid w:val="00B25E2F"/>
    <w:rsid w:val="00B26510"/>
    <w:rsid w:val="00B269A5"/>
    <w:rsid w:val="00B26A51"/>
    <w:rsid w:val="00B26DC3"/>
    <w:rsid w:val="00B27074"/>
    <w:rsid w:val="00B27F16"/>
    <w:rsid w:val="00B30C1B"/>
    <w:rsid w:val="00B31B99"/>
    <w:rsid w:val="00B321ED"/>
    <w:rsid w:val="00B3609D"/>
    <w:rsid w:val="00B362A1"/>
    <w:rsid w:val="00B36B01"/>
    <w:rsid w:val="00B36BA9"/>
    <w:rsid w:val="00B37982"/>
    <w:rsid w:val="00B40281"/>
    <w:rsid w:val="00B40699"/>
    <w:rsid w:val="00B40816"/>
    <w:rsid w:val="00B41849"/>
    <w:rsid w:val="00B42D3B"/>
    <w:rsid w:val="00B441AD"/>
    <w:rsid w:val="00B45427"/>
    <w:rsid w:val="00B45FFE"/>
    <w:rsid w:val="00B460D1"/>
    <w:rsid w:val="00B46385"/>
    <w:rsid w:val="00B4661F"/>
    <w:rsid w:val="00B468C9"/>
    <w:rsid w:val="00B47F4B"/>
    <w:rsid w:val="00B5017B"/>
    <w:rsid w:val="00B50AE0"/>
    <w:rsid w:val="00B50D2F"/>
    <w:rsid w:val="00B51254"/>
    <w:rsid w:val="00B5180F"/>
    <w:rsid w:val="00B523F0"/>
    <w:rsid w:val="00B52443"/>
    <w:rsid w:val="00B54921"/>
    <w:rsid w:val="00B54D28"/>
    <w:rsid w:val="00B556D3"/>
    <w:rsid w:val="00B55B6C"/>
    <w:rsid w:val="00B55FE8"/>
    <w:rsid w:val="00B56C5C"/>
    <w:rsid w:val="00B601AF"/>
    <w:rsid w:val="00B60C13"/>
    <w:rsid w:val="00B615EC"/>
    <w:rsid w:val="00B61937"/>
    <w:rsid w:val="00B64542"/>
    <w:rsid w:val="00B648A2"/>
    <w:rsid w:val="00B64CF2"/>
    <w:rsid w:val="00B64FA0"/>
    <w:rsid w:val="00B66D2B"/>
    <w:rsid w:val="00B66E64"/>
    <w:rsid w:val="00B70122"/>
    <w:rsid w:val="00B708C8"/>
    <w:rsid w:val="00B70AB9"/>
    <w:rsid w:val="00B710B8"/>
    <w:rsid w:val="00B710BA"/>
    <w:rsid w:val="00B715A3"/>
    <w:rsid w:val="00B715C2"/>
    <w:rsid w:val="00B71F2C"/>
    <w:rsid w:val="00B75C92"/>
    <w:rsid w:val="00B765C3"/>
    <w:rsid w:val="00B772AB"/>
    <w:rsid w:val="00B772AC"/>
    <w:rsid w:val="00B80AA3"/>
    <w:rsid w:val="00B8150F"/>
    <w:rsid w:val="00B81A93"/>
    <w:rsid w:val="00B821C7"/>
    <w:rsid w:val="00B84E62"/>
    <w:rsid w:val="00B85038"/>
    <w:rsid w:val="00B8560B"/>
    <w:rsid w:val="00B862B4"/>
    <w:rsid w:val="00B8709B"/>
    <w:rsid w:val="00B87DE7"/>
    <w:rsid w:val="00B87E0E"/>
    <w:rsid w:val="00B902B3"/>
    <w:rsid w:val="00B90602"/>
    <w:rsid w:val="00B910C8"/>
    <w:rsid w:val="00B91A4A"/>
    <w:rsid w:val="00B91AE0"/>
    <w:rsid w:val="00B91CD5"/>
    <w:rsid w:val="00B92C51"/>
    <w:rsid w:val="00B93159"/>
    <w:rsid w:val="00B934D8"/>
    <w:rsid w:val="00B94F6A"/>
    <w:rsid w:val="00B95CF6"/>
    <w:rsid w:val="00BA0185"/>
    <w:rsid w:val="00BA079B"/>
    <w:rsid w:val="00BA1FAE"/>
    <w:rsid w:val="00BA2BB2"/>
    <w:rsid w:val="00BA3D65"/>
    <w:rsid w:val="00BA535F"/>
    <w:rsid w:val="00BA5735"/>
    <w:rsid w:val="00BA5B03"/>
    <w:rsid w:val="00BA6AC3"/>
    <w:rsid w:val="00BA6BA8"/>
    <w:rsid w:val="00BA72BC"/>
    <w:rsid w:val="00BA763C"/>
    <w:rsid w:val="00BB145D"/>
    <w:rsid w:val="00BB1807"/>
    <w:rsid w:val="00BB1946"/>
    <w:rsid w:val="00BB2249"/>
    <w:rsid w:val="00BB302D"/>
    <w:rsid w:val="00BB3B2F"/>
    <w:rsid w:val="00BB4C54"/>
    <w:rsid w:val="00BB7046"/>
    <w:rsid w:val="00BB7C95"/>
    <w:rsid w:val="00BC0015"/>
    <w:rsid w:val="00BC07DF"/>
    <w:rsid w:val="00BC0E75"/>
    <w:rsid w:val="00BC1270"/>
    <w:rsid w:val="00BC12A2"/>
    <w:rsid w:val="00BC6088"/>
    <w:rsid w:val="00BC7857"/>
    <w:rsid w:val="00BC7986"/>
    <w:rsid w:val="00BD0CD5"/>
    <w:rsid w:val="00BD22C4"/>
    <w:rsid w:val="00BD27BB"/>
    <w:rsid w:val="00BD31DB"/>
    <w:rsid w:val="00BD3A9B"/>
    <w:rsid w:val="00BD4E81"/>
    <w:rsid w:val="00BD5954"/>
    <w:rsid w:val="00BD74E2"/>
    <w:rsid w:val="00BD7BAB"/>
    <w:rsid w:val="00BE145A"/>
    <w:rsid w:val="00BE1F81"/>
    <w:rsid w:val="00BE2F0E"/>
    <w:rsid w:val="00BE3A44"/>
    <w:rsid w:val="00BE667B"/>
    <w:rsid w:val="00BE6BAD"/>
    <w:rsid w:val="00BE79D5"/>
    <w:rsid w:val="00BF1764"/>
    <w:rsid w:val="00BF251D"/>
    <w:rsid w:val="00BF2AD8"/>
    <w:rsid w:val="00BF5560"/>
    <w:rsid w:val="00BF5D4A"/>
    <w:rsid w:val="00BF63D6"/>
    <w:rsid w:val="00BF7150"/>
    <w:rsid w:val="00BF7460"/>
    <w:rsid w:val="00C00D1D"/>
    <w:rsid w:val="00C00F20"/>
    <w:rsid w:val="00C00FCA"/>
    <w:rsid w:val="00C011E4"/>
    <w:rsid w:val="00C01426"/>
    <w:rsid w:val="00C0157F"/>
    <w:rsid w:val="00C0212F"/>
    <w:rsid w:val="00C02BAB"/>
    <w:rsid w:val="00C034FC"/>
    <w:rsid w:val="00C065B6"/>
    <w:rsid w:val="00C071FF"/>
    <w:rsid w:val="00C10EF1"/>
    <w:rsid w:val="00C11671"/>
    <w:rsid w:val="00C1234A"/>
    <w:rsid w:val="00C12408"/>
    <w:rsid w:val="00C12719"/>
    <w:rsid w:val="00C15E11"/>
    <w:rsid w:val="00C15F2D"/>
    <w:rsid w:val="00C162BB"/>
    <w:rsid w:val="00C16F27"/>
    <w:rsid w:val="00C175B5"/>
    <w:rsid w:val="00C176C5"/>
    <w:rsid w:val="00C219AC"/>
    <w:rsid w:val="00C2476E"/>
    <w:rsid w:val="00C25444"/>
    <w:rsid w:val="00C26C15"/>
    <w:rsid w:val="00C279C6"/>
    <w:rsid w:val="00C279F3"/>
    <w:rsid w:val="00C30430"/>
    <w:rsid w:val="00C31B7B"/>
    <w:rsid w:val="00C31DDE"/>
    <w:rsid w:val="00C3236D"/>
    <w:rsid w:val="00C32896"/>
    <w:rsid w:val="00C33276"/>
    <w:rsid w:val="00C33ADD"/>
    <w:rsid w:val="00C33E12"/>
    <w:rsid w:val="00C34CFB"/>
    <w:rsid w:val="00C35165"/>
    <w:rsid w:val="00C354EA"/>
    <w:rsid w:val="00C35D62"/>
    <w:rsid w:val="00C370AC"/>
    <w:rsid w:val="00C4065F"/>
    <w:rsid w:val="00C40C4B"/>
    <w:rsid w:val="00C42F9B"/>
    <w:rsid w:val="00C439A3"/>
    <w:rsid w:val="00C43C4E"/>
    <w:rsid w:val="00C43C8D"/>
    <w:rsid w:val="00C45F1D"/>
    <w:rsid w:val="00C509CA"/>
    <w:rsid w:val="00C52887"/>
    <w:rsid w:val="00C52B94"/>
    <w:rsid w:val="00C53692"/>
    <w:rsid w:val="00C5382A"/>
    <w:rsid w:val="00C54050"/>
    <w:rsid w:val="00C54C31"/>
    <w:rsid w:val="00C54C4F"/>
    <w:rsid w:val="00C55370"/>
    <w:rsid w:val="00C554F8"/>
    <w:rsid w:val="00C55A44"/>
    <w:rsid w:val="00C55ADF"/>
    <w:rsid w:val="00C55E27"/>
    <w:rsid w:val="00C562B9"/>
    <w:rsid w:val="00C56AB1"/>
    <w:rsid w:val="00C6123B"/>
    <w:rsid w:val="00C626D9"/>
    <w:rsid w:val="00C62E3A"/>
    <w:rsid w:val="00C6412F"/>
    <w:rsid w:val="00C648EA"/>
    <w:rsid w:val="00C65394"/>
    <w:rsid w:val="00C65B29"/>
    <w:rsid w:val="00C65C50"/>
    <w:rsid w:val="00C65CBE"/>
    <w:rsid w:val="00C662F9"/>
    <w:rsid w:val="00C670A7"/>
    <w:rsid w:val="00C708F3"/>
    <w:rsid w:val="00C7110D"/>
    <w:rsid w:val="00C71172"/>
    <w:rsid w:val="00C71FC8"/>
    <w:rsid w:val="00C72D84"/>
    <w:rsid w:val="00C7371D"/>
    <w:rsid w:val="00C73B05"/>
    <w:rsid w:val="00C73C13"/>
    <w:rsid w:val="00C7554D"/>
    <w:rsid w:val="00C75D17"/>
    <w:rsid w:val="00C764CD"/>
    <w:rsid w:val="00C77F2F"/>
    <w:rsid w:val="00C8079D"/>
    <w:rsid w:val="00C8096B"/>
    <w:rsid w:val="00C80ACF"/>
    <w:rsid w:val="00C81247"/>
    <w:rsid w:val="00C813FE"/>
    <w:rsid w:val="00C81694"/>
    <w:rsid w:val="00C82139"/>
    <w:rsid w:val="00C8337A"/>
    <w:rsid w:val="00C8534A"/>
    <w:rsid w:val="00C87048"/>
    <w:rsid w:val="00C871CB"/>
    <w:rsid w:val="00C8752E"/>
    <w:rsid w:val="00C87C78"/>
    <w:rsid w:val="00C906A9"/>
    <w:rsid w:val="00C90818"/>
    <w:rsid w:val="00C92236"/>
    <w:rsid w:val="00C92AA8"/>
    <w:rsid w:val="00C932CC"/>
    <w:rsid w:val="00C93DAF"/>
    <w:rsid w:val="00C94CC6"/>
    <w:rsid w:val="00C96765"/>
    <w:rsid w:val="00C97C8F"/>
    <w:rsid w:val="00CA08ED"/>
    <w:rsid w:val="00CA11F1"/>
    <w:rsid w:val="00CA1798"/>
    <w:rsid w:val="00CA4E3E"/>
    <w:rsid w:val="00CA5652"/>
    <w:rsid w:val="00CA6249"/>
    <w:rsid w:val="00CA7A32"/>
    <w:rsid w:val="00CA7C8F"/>
    <w:rsid w:val="00CA7ECA"/>
    <w:rsid w:val="00CB0254"/>
    <w:rsid w:val="00CB04E2"/>
    <w:rsid w:val="00CB084A"/>
    <w:rsid w:val="00CB1805"/>
    <w:rsid w:val="00CB2C57"/>
    <w:rsid w:val="00CB34F3"/>
    <w:rsid w:val="00CB41C4"/>
    <w:rsid w:val="00CB4A17"/>
    <w:rsid w:val="00CB4EEE"/>
    <w:rsid w:val="00CC08BE"/>
    <w:rsid w:val="00CC0FCC"/>
    <w:rsid w:val="00CC24E4"/>
    <w:rsid w:val="00CC29DC"/>
    <w:rsid w:val="00CC3C0B"/>
    <w:rsid w:val="00CC3C7C"/>
    <w:rsid w:val="00CC3F42"/>
    <w:rsid w:val="00CC4291"/>
    <w:rsid w:val="00CC4463"/>
    <w:rsid w:val="00CC5149"/>
    <w:rsid w:val="00CC704E"/>
    <w:rsid w:val="00CC7353"/>
    <w:rsid w:val="00CD00C2"/>
    <w:rsid w:val="00CD0313"/>
    <w:rsid w:val="00CD037E"/>
    <w:rsid w:val="00CD1A0C"/>
    <w:rsid w:val="00CD1D23"/>
    <w:rsid w:val="00CD4958"/>
    <w:rsid w:val="00CD4A8B"/>
    <w:rsid w:val="00CD4F85"/>
    <w:rsid w:val="00CD5467"/>
    <w:rsid w:val="00CD59FF"/>
    <w:rsid w:val="00CD620C"/>
    <w:rsid w:val="00CD70ED"/>
    <w:rsid w:val="00CD7EEE"/>
    <w:rsid w:val="00CE0038"/>
    <w:rsid w:val="00CE0490"/>
    <w:rsid w:val="00CE0716"/>
    <w:rsid w:val="00CE07F7"/>
    <w:rsid w:val="00CE086D"/>
    <w:rsid w:val="00CE1A88"/>
    <w:rsid w:val="00CE1FD3"/>
    <w:rsid w:val="00CE28D5"/>
    <w:rsid w:val="00CE2D58"/>
    <w:rsid w:val="00CE33EF"/>
    <w:rsid w:val="00CE5904"/>
    <w:rsid w:val="00CE5A01"/>
    <w:rsid w:val="00CE67D1"/>
    <w:rsid w:val="00CE6881"/>
    <w:rsid w:val="00CE6ACB"/>
    <w:rsid w:val="00CE6BD1"/>
    <w:rsid w:val="00CE7B45"/>
    <w:rsid w:val="00CF0A95"/>
    <w:rsid w:val="00CF233A"/>
    <w:rsid w:val="00CF2E5B"/>
    <w:rsid w:val="00CF4F3D"/>
    <w:rsid w:val="00CF6367"/>
    <w:rsid w:val="00CF74D6"/>
    <w:rsid w:val="00CF7DC6"/>
    <w:rsid w:val="00CF7F74"/>
    <w:rsid w:val="00D0328D"/>
    <w:rsid w:val="00D06A54"/>
    <w:rsid w:val="00D0701D"/>
    <w:rsid w:val="00D070FB"/>
    <w:rsid w:val="00D076AD"/>
    <w:rsid w:val="00D07A7C"/>
    <w:rsid w:val="00D07D5A"/>
    <w:rsid w:val="00D119F1"/>
    <w:rsid w:val="00D11B28"/>
    <w:rsid w:val="00D12B6B"/>
    <w:rsid w:val="00D12C7C"/>
    <w:rsid w:val="00D12F3B"/>
    <w:rsid w:val="00D13B1A"/>
    <w:rsid w:val="00D13D3C"/>
    <w:rsid w:val="00D14128"/>
    <w:rsid w:val="00D151E9"/>
    <w:rsid w:val="00D15325"/>
    <w:rsid w:val="00D15CCF"/>
    <w:rsid w:val="00D15D5E"/>
    <w:rsid w:val="00D15DEA"/>
    <w:rsid w:val="00D16EF9"/>
    <w:rsid w:val="00D172BC"/>
    <w:rsid w:val="00D20026"/>
    <w:rsid w:val="00D20BB2"/>
    <w:rsid w:val="00D218F8"/>
    <w:rsid w:val="00D21E5E"/>
    <w:rsid w:val="00D23241"/>
    <w:rsid w:val="00D234B4"/>
    <w:rsid w:val="00D24638"/>
    <w:rsid w:val="00D24B53"/>
    <w:rsid w:val="00D26661"/>
    <w:rsid w:val="00D26C83"/>
    <w:rsid w:val="00D30C06"/>
    <w:rsid w:val="00D31CED"/>
    <w:rsid w:val="00D3269C"/>
    <w:rsid w:val="00D32CE6"/>
    <w:rsid w:val="00D36C94"/>
    <w:rsid w:val="00D372BA"/>
    <w:rsid w:val="00D40A7C"/>
    <w:rsid w:val="00D41507"/>
    <w:rsid w:val="00D417D8"/>
    <w:rsid w:val="00D41DCE"/>
    <w:rsid w:val="00D42B9B"/>
    <w:rsid w:val="00D43B3F"/>
    <w:rsid w:val="00D455E0"/>
    <w:rsid w:val="00D45F28"/>
    <w:rsid w:val="00D465B7"/>
    <w:rsid w:val="00D466B4"/>
    <w:rsid w:val="00D46BA8"/>
    <w:rsid w:val="00D47481"/>
    <w:rsid w:val="00D4749C"/>
    <w:rsid w:val="00D50E3B"/>
    <w:rsid w:val="00D51A34"/>
    <w:rsid w:val="00D54097"/>
    <w:rsid w:val="00D54334"/>
    <w:rsid w:val="00D54368"/>
    <w:rsid w:val="00D54768"/>
    <w:rsid w:val="00D54E42"/>
    <w:rsid w:val="00D54FA5"/>
    <w:rsid w:val="00D55783"/>
    <w:rsid w:val="00D55F86"/>
    <w:rsid w:val="00D56E56"/>
    <w:rsid w:val="00D56F5F"/>
    <w:rsid w:val="00D622D9"/>
    <w:rsid w:val="00D643B7"/>
    <w:rsid w:val="00D64E62"/>
    <w:rsid w:val="00D66999"/>
    <w:rsid w:val="00D7158D"/>
    <w:rsid w:val="00D71909"/>
    <w:rsid w:val="00D720DB"/>
    <w:rsid w:val="00D72963"/>
    <w:rsid w:val="00D72AA8"/>
    <w:rsid w:val="00D72F2F"/>
    <w:rsid w:val="00D738B7"/>
    <w:rsid w:val="00D74038"/>
    <w:rsid w:val="00D74D30"/>
    <w:rsid w:val="00D76731"/>
    <w:rsid w:val="00D76852"/>
    <w:rsid w:val="00D77159"/>
    <w:rsid w:val="00D77259"/>
    <w:rsid w:val="00D81985"/>
    <w:rsid w:val="00D81A53"/>
    <w:rsid w:val="00D824DE"/>
    <w:rsid w:val="00D827BB"/>
    <w:rsid w:val="00D82E86"/>
    <w:rsid w:val="00D842DC"/>
    <w:rsid w:val="00D84444"/>
    <w:rsid w:val="00D848C4"/>
    <w:rsid w:val="00D84D99"/>
    <w:rsid w:val="00D86161"/>
    <w:rsid w:val="00D86AEE"/>
    <w:rsid w:val="00D900D8"/>
    <w:rsid w:val="00D9122A"/>
    <w:rsid w:val="00D912B2"/>
    <w:rsid w:val="00D91379"/>
    <w:rsid w:val="00D916FD"/>
    <w:rsid w:val="00D91F67"/>
    <w:rsid w:val="00D93059"/>
    <w:rsid w:val="00D93181"/>
    <w:rsid w:val="00D93375"/>
    <w:rsid w:val="00D9378B"/>
    <w:rsid w:val="00D95922"/>
    <w:rsid w:val="00D95EE6"/>
    <w:rsid w:val="00D970CA"/>
    <w:rsid w:val="00D97D13"/>
    <w:rsid w:val="00DA00DB"/>
    <w:rsid w:val="00DA2A5A"/>
    <w:rsid w:val="00DA2ADD"/>
    <w:rsid w:val="00DA30D6"/>
    <w:rsid w:val="00DA3668"/>
    <w:rsid w:val="00DA3B83"/>
    <w:rsid w:val="00DA4120"/>
    <w:rsid w:val="00DA4D52"/>
    <w:rsid w:val="00DA65DB"/>
    <w:rsid w:val="00DA65ED"/>
    <w:rsid w:val="00DA67B0"/>
    <w:rsid w:val="00DA6B40"/>
    <w:rsid w:val="00DA75B8"/>
    <w:rsid w:val="00DB0AB5"/>
    <w:rsid w:val="00DB4C33"/>
    <w:rsid w:val="00DB55CC"/>
    <w:rsid w:val="00DB5A0B"/>
    <w:rsid w:val="00DB5C68"/>
    <w:rsid w:val="00DB5C95"/>
    <w:rsid w:val="00DB64F6"/>
    <w:rsid w:val="00DB655F"/>
    <w:rsid w:val="00DB6E75"/>
    <w:rsid w:val="00DB7249"/>
    <w:rsid w:val="00DB7BDF"/>
    <w:rsid w:val="00DB7C9B"/>
    <w:rsid w:val="00DC22DE"/>
    <w:rsid w:val="00DC3A3B"/>
    <w:rsid w:val="00DC4289"/>
    <w:rsid w:val="00DC5223"/>
    <w:rsid w:val="00DC5A68"/>
    <w:rsid w:val="00DC5A8C"/>
    <w:rsid w:val="00DC5F94"/>
    <w:rsid w:val="00DD007D"/>
    <w:rsid w:val="00DD40A1"/>
    <w:rsid w:val="00DD6ACB"/>
    <w:rsid w:val="00DE2339"/>
    <w:rsid w:val="00DE23C4"/>
    <w:rsid w:val="00DE2767"/>
    <w:rsid w:val="00DE2A64"/>
    <w:rsid w:val="00DE30AD"/>
    <w:rsid w:val="00DE32D6"/>
    <w:rsid w:val="00DE3AF8"/>
    <w:rsid w:val="00DE4488"/>
    <w:rsid w:val="00DE478E"/>
    <w:rsid w:val="00DE4D8C"/>
    <w:rsid w:val="00DE5904"/>
    <w:rsid w:val="00DE601B"/>
    <w:rsid w:val="00DE69C5"/>
    <w:rsid w:val="00DF0393"/>
    <w:rsid w:val="00DF1416"/>
    <w:rsid w:val="00DF1772"/>
    <w:rsid w:val="00DF209B"/>
    <w:rsid w:val="00DF22CE"/>
    <w:rsid w:val="00DF2D62"/>
    <w:rsid w:val="00DF39A0"/>
    <w:rsid w:val="00DF45B2"/>
    <w:rsid w:val="00DF48AD"/>
    <w:rsid w:val="00DF48D8"/>
    <w:rsid w:val="00DF5BC3"/>
    <w:rsid w:val="00DF736B"/>
    <w:rsid w:val="00DF74A4"/>
    <w:rsid w:val="00DF752A"/>
    <w:rsid w:val="00DF79A5"/>
    <w:rsid w:val="00DF7A94"/>
    <w:rsid w:val="00DF7D24"/>
    <w:rsid w:val="00E00411"/>
    <w:rsid w:val="00E00A01"/>
    <w:rsid w:val="00E00EBB"/>
    <w:rsid w:val="00E01259"/>
    <w:rsid w:val="00E012AD"/>
    <w:rsid w:val="00E016E5"/>
    <w:rsid w:val="00E0170B"/>
    <w:rsid w:val="00E01D2B"/>
    <w:rsid w:val="00E02EE1"/>
    <w:rsid w:val="00E0346A"/>
    <w:rsid w:val="00E03A2C"/>
    <w:rsid w:val="00E03A4B"/>
    <w:rsid w:val="00E0414A"/>
    <w:rsid w:val="00E04336"/>
    <w:rsid w:val="00E047DE"/>
    <w:rsid w:val="00E04948"/>
    <w:rsid w:val="00E04A7C"/>
    <w:rsid w:val="00E05898"/>
    <w:rsid w:val="00E058AB"/>
    <w:rsid w:val="00E07264"/>
    <w:rsid w:val="00E0736A"/>
    <w:rsid w:val="00E07C1C"/>
    <w:rsid w:val="00E118E5"/>
    <w:rsid w:val="00E12FA0"/>
    <w:rsid w:val="00E131D7"/>
    <w:rsid w:val="00E15430"/>
    <w:rsid w:val="00E170D0"/>
    <w:rsid w:val="00E20215"/>
    <w:rsid w:val="00E21E6B"/>
    <w:rsid w:val="00E2444A"/>
    <w:rsid w:val="00E24A80"/>
    <w:rsid w:val="00E24D76"/>
    <w:rsid w:val="00E2514D"/>
    <w:rsid w:val="00E25645"/>
    <w:rsid w:val="00E25E1F"/>
    <w:rsid w:val="00E261D7"/>
    <w:rsid w:val="00E271ED"/>
    <w:rsid w:val="00E307DC"/>
    <w:rsid w:val="00E3088E"/>
    <w:rsid w:val="00E30A33"/>
    <w:rsid w:val="00E317DE"/>
    <w:rsid w:val="00E32E1F"/>
    <w:rsid w:val="00E3300B"/>
    <w:rsid w:val="00E33789"/>
    <w:rsid w:val="00E34254"/>
    <w:rsid w:val="00E349CD"/>
    <w:rsid w:val="00E36B17"/>
    <w:rsid w:val="00E37101"/>
    <w:rsid w:val="00E376D3"/>
    <w:rsid w:val="00E379AA"/>
    <w:rsid w:val="00E408FA"/>
    <w:rsid w:val="00E40961"/>
    <w:rsid w:val="00E4157E"/>
    <w:rsid w:val="00E42906"/>
    <w:rsid w:val="00E437DB"/>
    <w:rsid w:val="00E43E42"/>
    <w:rsid w:val="00E43EF0"/>
    <w:rsid w:val="00E44918"/>
    <w:rsid w:val="00E4493E"/>
    <w:rsid w:val="00E45682"/>
    <w:rsid w:val="00E457A7"/>
    <w:rsid w:val="00E47A09"/>
    <w:rsid w:val="00E51577"/>
    <w:rsid w:val="00E528A8"/>
    <w:rsid w:val="00E53233"/>
    <w:rsid w:val="00E535AB"/>
    <w:rsid w:val="00E537BE"/>
    <w:rsid w:val="00E55863"/>
    <w:rsid w:val="00E560ED"/>
    <w:rsid w:val="00E5773D"/>
    <w:rsid w:val="00E57A98"/>
    <w:rsid w:val="00E609B4"/>
    <w:rsid w:val="00E614F1"/>
    <w:rsid w:val="00E61576"/>
    <w:rsid w:val="00E619D7"/>
    <w:rsid w:val="00E621C9"/>
    <w:rsid w:val="00E62380"/>
    <w:rsid w:val="00E62454"/>
    <w:rsid w:val="00E6248C"/>
    <w:rsid w:val="00E62D8B"/>
    <w:rsid w:val="00E62EFF"/>
    <w:rsid w:val="00E63860"/>
    <w:rsid w:val="00E64405"/>
    <w:rsid w:val="00E6595F"/>
    <w:rsid w:val="00E65B92"/>
    <w:rsid w:val="00E666C9"/>
    <w:rsid w:val="00E67260"/>
    <w:rsid w:val="00E714FE"/>
    <w:rsid w:val="00E71E82"/>
    <w:rsid w:val="00E74961"/>
    <w:rsid w:val="00E74CCE"/>
    <w:rsid w:val="00E750FF"/>
    <w:rsid w:val="00E75551"/>
    <w:rsid w:val="00E76D6E"/>
    <w:rsid w:val="00E76FFC"/>
    <w:rsid w:val="00E77522"/>
    <w:rsid w:val="00E77586"/>
    <w:rsid w:val="00E8089D"/>
    <w:rsid w:val="00E80D5E"/>
    <w:rsid w:val="00E80DFA"/>
    <w:rsid w:val="00E8234F"/>
    <w:rsid w:val="00E830B2"/>
    <w:rsid w:val="00E83FC9"/>
    <w:rsid w:val="00E84CBA"/>
    <w:rsid w:val="00E853BE"/>
    <w:rsid w:val="00E85446"/>
    <w:rsid w:val="00E8584D"/>
    <w:rsid w:val="00E86B09"/>
    <w:rsid w:val="00E86BAB"/>
    <w:rsid w:val="00E8726E"/>
    <w:rsid w:val="00E87635"/>
    <w:rsid w:val="00E878AE"/>
    <w:rsid w:val="00E90348"/>
    <w:rsid w:val="00E90537"/>
    <w:rsid w:val="00E916C4"/>
    <w:rsid w:val="00E91899"/>
    <w:rsid w:val="00E926E1"/>
    <w:rsid w:val="00E940A4"/>
    <w:rsid w:val="00E95AE5"/>
    <w:rsid w:val="00E95CC0"/>
    <w:rsid w:val="00E96A83"/>
    <w:rsid w:val="00E96C7D"/>
    <w:rsid w:val="00E96F28"/>
    <w:rsid w:val="00E973F4"/>
    <w:rsid w:val="00E97533"/>
    <w:rsid w:val="00E97E50"/>
    <w:rsid w:val="00EA0689"/>
    <w:rsid w:val="00EA06F4"/>
    <w:rsid w:val="00EA0F3A"/>
    <w:rsid w:val="00EA14AE"/>
    <w:rsid w:val="00EA1875"/>
    <w:rsid w:val="00EA2B09"/>
    <w:rsid w:val="00EA3B7F"/>
    <w:rsid w:val="00EA4938"/>
    <w:rsid w:val="00EA494A"/>
    <w:rsid w:val="00EA4FBB"/>
    <w:rsid w:val="00EA5947"/>
    <w:rsid w:val="00EA6473"/>
    <w:rsid w:val="00EA6681"/>
    <w:rsid w:val="00EA6757"/>
    <w:rsid w:val="00EA71F4"/>
    <w:rsid w:val="00EA7F16"/>
    <w:rsid w:val="00EB217F"/>
    <w:rsid w:val="00EB2A46"/>
    <w:rsid w:val="00EB2E1C"/>
    <w:rsid w:val="00EB3922"/>
    <w:rsid w:val="00EB4309"/>
    <w:rsid w:val="00EB66FB"/>
    <w:rsid w:val="00EB6A1B"/>
    <w:rsid w:val="00EB6EA2"/>
    <w:rsid w:val="00EC1B3A"/>
    <w:rsid w:val="00EC3C95"/>
    <w:rsid w:val="00EC576B"/>
    <w:rsid w:val="00EC57AA"/>
    <w:rsid w:val="00EC5ED7"/>
    <w:rsid w:val="00EC6155"/>
    <w:rsid w:val="00EC7969"/>
    <w:rsid w:val="00ED0CFD"/>
    <w:rsid w:val="00ED11A4"/>
    <w:rsid w:val="00ED1C3D"/>
    <w:rsid w:val="00ED2459"/>
    <w:rsid w:val="00ED295C"/>
    <w:rsid w:val="00ED2B71"/>
    <w:rsid w:val="00ED321A"/>
    <w:rsid w:val="00ED35E9"/>
    <w:rsid w:val="00ED39C9"/>
    <w:rsid w:val="00ED4743"/>
    <w:rsid w:val="00ED5E23"/>
    <w:rsid w:val="00ED681A"/>
    <w:rsid w:val="00EE1F67"/>
    <w:rsid w:val="00EE28F9"/>
    <w:rsid w:val="00EE5984"/>
    <w:rsid w:val="00EE619D"/>
    <w:rsid w:val="00EE61A1"/>
    <w:rsid w:val="00EE65A4"/>
    <w:rsid w:val="00EE6875"/>
    <w:rsid w:val="00EE73FE"/>
    <w:rsid w:val="00EE7AA0"/>
    <w:rsid w:val="00EE7C8F"/>
    <w:rsid w:val="00EF0517"/>
    <w:rsid w:val="00EF0932"/>
    <w:rsid w:val="00EF0AD4"/>
    <w:rsid w:val="00EF1C2A"/>
    <w:rsid w:val="00EF1E3F"/>
    <w:rsid w:val="00EF2673"/>
    <w:rsid w:val="00EF305A"/>
    <w:rsid w:val="00EF3E18"/>
    <w:rsid w:val="00EF46DA"/>
    <w:rsid w:val="00EF4BCD"/>
    <w:rsid w:val="00EF50CA"/>
    <w:rsid w:val="00EF5612"/>
    <w:rsid w:val="00EF7842"/>
    <w:rsid w:val="00F007E0"/>
    <w:rsid w:val="00F00CE8"/>
    <w:rsid w:val="00F01B7D"/>
    <w:rsid w:val="00F01BC5"/>
    <w:rsid w:val="00F0215F"/>
    <w:rsid w:val="00F02354"/>
    <w:rsid w:val="00F030E3"/>
    <w:rsid w:val="00F04CDD"/>
    <w:rsid w:val="00F04D43"/>
    <w:rsid w:val="00F05805"/>
    <w:rsid w:val="00F05E36"/>
    <w:rsid w:val="00F07886"/>
    <w:rsid w:val="00F07EC5"/>
    <w:rsid w:val="00F10981"/>
    <w:rsid w:val="00F1145E"/>
    <w:rsid w:val="00F11D71"/>
    <w:rsid w:val="00F14073"/>
    <w:rsid w:val="00F14E15"/>
    <w:rsid w:val="00F153EB"/>
    <w:rsid w:val="00F15914"/>
    <w:rsid w:val="00F15BF3"/>
    <w:rsid w:val="00F16498"/>
    <w:rsid w:val="00F16533"/>
    <w:rsid w:val="00F172E8"/>
    <w:rsid w:val="00F17A45"/>
    <w:rsid w:val="00F17EDB"/>
    <w:rsid w:val="00F20609"/>
    <w:rsid w:val="00F20758"/>
    <w:rsid w:val="00F21902"/>
    <w:rsid w:val="00F21CE2"/>
    <w:rsid w:val="00F21E6A"/>
    <w:rsid w:val="00F22E34"/>
    <w:rsid w:val="00F23A89"/>
    <w:rsid w:val="00F23E3C"/>
    <w:rsid w:val="00F259B0"/>
    <w:rsid w:val="00F27685"/>
    <w:rsid w:val="00F276A8"/>
    <w:rsid w:val="00F302B1"/>
    <w:rsid w:val="00F30BFD"/>
    <w:rsid w:val="00F30FC9"/>
    <w:rsid w:val="00F31662"/>
    <w:rsid w:val="00F334FA"/>
    <w:rsid w:val="00F33D4B"/>
    <w:rsid w:val="00F342DD"/>
    <w:rsid w:val="00F346BF"/>
    <w:rsid w:val="00F34CA1"/>
    <w:rsid w:val="00F3505B"/>
    <w:rsid w:val="00F359F2"/>
    <w:rsid w:val="00F35AFA"/>
    <w:rsid w:val="00F3608F"/>
    <w:rsid w:val="00F363CE"/>
    <w:rsid w:val="00F369B9"/>
    <w:rsid w:val="00F36DD2"/>
    <w:rsid w:val="00F3798B"/>
    <w:rsid w:val="00F41E09"/>
    <w:rsid w:val="00F41E55"/>
    <w:rsid w:val="00F4210A"/>
    <w:rsid w:val="00F424D2"/>
    <w:rsid w:val="00F437D5"/>
    <w:rsid w:val="00F43ED9"/>
    <w:rsid w:val="00F452DB"/>
    <w:rsid w:val="00F47783"/>
    <w:rsid w:val="00F47BDF"/>
    <w:rsid w:val="00F50AFF"/>
    <w:rsid w:val="00F50D8D"/>
    <w:rsid w:val="00F51089"/>
    <w:rsid w:val="00F53636"/>
    <w:rsid w:val="00F53E50"/>
    <w:rsid w:val="00F549C6"/>
    <w:rsid w:val="00F564AC"/>
    <w:rsid w:val="00F5780D"/>
    <w:rsid w:val="00F578F8"/>
    <w:rsid w:val="00F57CE2"/>
    <w:rsid w:val="00F60276"/>
    <w:rsid w:val="00F61B66"/>
    <w:rsid w:val="00F620C5"/>
    <w:rsid w:val="00F621A7"/>
    <w:rsid w:val="00F6255B"/>
    <w:rsid w:val="00F63290"/>
    <w:rsid w:val="00F67064"/>
    <w:rsid w:val="00F678EC"/>
    <w:rsid w:val="00F700F1"/>
    <w:rsid w:val="00F7022A"/>
    <w:rsid w:val="00F70FBB"/>
    <w:rsid w:val="00F72698"/>
    <w:rsid w:val="00F7273B"/>
    <w:rsid w:val="00F72749"/>
    <w:rsid w:val="00F7387B"/>
    <w:rsid w:val="00F743B1"/>
    <w:rsid w:val="00F743C7"/>
    <w:rsid w:val="00F753E6"/>
    <w:rsid w:val="00F75B15"/>
    <w:rsid w:val="00F772D7"/>
    <w:rsid w:val="00F77E43"/>
    <w:rsid w:val="00F80C9F"/>
    <w:rsid w:val="00F80FDE"/>
    <w:rsid w:val="00F81776"/>
    <w:rsid w:val="00F825DB"/>
    <w:rsid w:val="00F82D63"/>
    <w:rsid w:val="00F837CC"/>
    <w:rsid w:val="00F83E9D"/>
    <w:rsid w:val="00F84AA5"/>
    <w:rsid w:val="00F85709"/>
    <w:rsid w:val="00F865F5"/>
    <w:rsid w:val="00F86B29"/>
    <w:rsid w:val="00F872AB"/>
    <w:rsid w:val="00F909DD"/>
    <w:rsid w:val="00F90D57"/>
    <w:rsid w:val="00F9184E"/>
    <w:rsid w:val="00F92533"/>
    <w:rsid w:val="00F92AF2"/>
    <w:rsid w:val="00F93191"/>
    <w:rsid w:val="00F93353"/>
    <w:rsid w:val="00F93373"/>
    <w:rsid w:val="00F935A6"/>
    <w:rsid w:val="00F9399B"/>
    <w:rsid w:val="00F94B10"/>
    <w:rsid w:val="00F95567"/>
    <w:rsid w:val="00F96103"/>
    <w:rsid w:val="00F96112"/>
    <w:rsid w:val="00F97615"/>
    <w:rsid w:val="00F97CA2"/>
    <w:rsid w:val="00FA0802"/>
    <w:rsid w:val="00FA1397"/>
    <w:rsid w:val="00FA18D6"/>
    <w:rsid w:val="00FA1F33"/>
    <w:rsid w:val="00FA29C8"/>
    <w:rsid w:val="00FA4568"/>
    <w:rsid w:val="00FA53CA"/>
    <w:rsid w:val="00FA5678"/>
    <w:rsid w:val="00FA7D4E"/>
    <w:rsid w:val="00FB05AC"/>
    <w:rsid w:val="00FB0DF2"/>
    <w:rsid w:val="00FB1326"/>
    <w:rsid w:val="00FB1783"/>
    <w:rsid w:val="00FB2110"/>
    <w:rsid w:val="00FB2FAC"/>
    <w:rsid w:val="00FB31B3"/>
    <w:rsid w:val="00FB43E5"/>
    <w:rsid w:val="00FB55C0"/>
    <w:rsid w:val="00FB5A65"/>
    <w:rsid w:val="00FB60F4"/>
    <w:rsid w:val="00FB66CB"/>
    <w:rsid w:val="00FB6AA8"/>
    <w:rsid w:val="00FB70F5"/>
    <w:rsid w:val="00FC05BD"/>
    <w:rsid w:val="00FC0706"/>
    <w:rsid w:val="00FC0755"/>
    <w:rsid w:val="00FC1AB8"/>
    <w:rsid w:val="00FC4278"/>
    <w:rsid w:val="00FC47B0"/>
    <w:rsid w:val="00FC4E0E"/>
    <w:rsid w:val="00FC4F32"/>
    <w:rsid w:val="00FC5079"/>
    <w:rsid w:val="00FC509E"/>
    <w:rsid w:val="00FC523B"/>
    <w:rsid w:val="00FC5573"/>
    <w:rsid w:val="00FC5F85"/>
    <w:rsid w:val="00FC6B24"/>
    <w:rsid w:val="00FC74C9"/>
    <w:rsid w:val="00FC7DF0"/>
    <w:rsid w:val="00FD272A"/>
    <w:rsid w:val="00FD2D09"/>
    <w:rsid w:val="00FD3281"/>
    <w:rsid w:val="00FD3AAF"/>
    <w:rsid w:val="00FD403C"/>
    <w:rsid w:val="00FD43D0"/>
    <w:rsid w:val="00FD43DF"/>
    <w:rsid w:val="00FD4709"/>
    <w:rsid w:val="00FD52AE"/>
    <w:rsid w:val="00FD5C0A"/>
    <w:rsid w:val="00FD5DF7"/>
    <w:rsid w:val="00FD6026"/>
    <w:rsid w:val="00FD61F6"/>
    <w:rsid w:val="00FD64C1"/>
    <w:rsid w:val="00FD6975"/>
    <w:rsid w:val="00FD6BB3"/>
    <w:rsid w:val="00FE0B2E"/>
    <w:rsid w:val="00FE1B0D"/>
    <w:rsid w:val="00FE42ED"/>
    <w:rsid w:val="00FE4C52"/>
    <w:rsid w:val="00FE4CF4"/>
    <w:rsid w:val="00FE5390"/>
    <w:rsid w:val="00FE66A3"/>
    <w:rsid w:val="00FE7A04"/>
    <w:rsid w:val="00FE7EA2"/>
    <w:rsid w:val="00FF07F6"/>
    <w:rsid w:val="00FF09FB"/>
    <w:rsid w:val="00FF10BF"/>
    <w:rsid w:val="00FF1EEB"/>
    <w:rsid w:val="00FF2294"/>
    <w:rsid w:val="00FF2ABA"/>
    <w:rsid w:val="00FF2F08"/>
    <w:rsid w:val="00FF3F56"/>
    <w:rsid w:val="00FF540A"/>
    <w:rsid w:val="00FF5D9B"/>
    <w:rsid w:val="00FF6488"/>
    <w:rsid w:val="00FF6AE1"/>
    <w:rsid w:val="00FF6EB2"/>
    <w:rsid w:val="00FF6F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55EAE"/>
  <w15:chartTrackingRefBased/>
  <w15:docId w15:val="{CB9DCA04-6B0A-452F-BA35-7A31323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1D640E"/>
    <w:pPr>
      <w:spacing w:before="100" w:beforeAutospacing="1" w:after="100" w:afterAutospacing="1"/>
    </w:pPr>
    <w:rPr>
      <w:lang w:eastAsia="en-GB"/>
    </w:rPr>
  </w:style>
  <w:style w:type="table" w:styleId="TableGrid">
    <w:name w:val="Table Grid"/>
    <w:basedOn w:val="TableNormal"/>
    <w:rsid w:val="00363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22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0">
    <w:name w:val="paralevel1"/>
    <w:basedOn w:val="Normal"/>
    <w:rsid w:val="00B56C5C"/>
    <w:pPr>
      <w:spacing w:before="100" w:beforeAutospacing="1" w:after="100" w:afterAutospacing="1"/>
    </w:pPr>
    <w:rPr>
      <w:lang w:eastAsia="en-GB"/>
    </w:rPr>
  </w:style>
  <w:style w:type="character" w:styleId="Hyperlink">
    <w:name w:val="Hyperlink"/>
    <w:basedOn w:val="DefaultParagraphFont"/>
    <w:uiPriority w:val="99"/>
    <w:unhideWhenUsed/>
    <w:rsid w:val="0074530E"/>
    <w:rPr>
      <w:color w:val="0000FF"/>
      <w:u w:val="single"/>
    </w:rPr>
  </w:style>
  <w:style w:type="character" w:styleId="CommentReference">
    <w:name w:val="annotation reference"/>
    <w:basedOn w:val="DefaultParagraphFont"/>
    <w:rsid w:val="00BA079B"/>
    <w:rPr>
      <w:sz w:val="16"/>
      <w:szCs w:val="16"/>
    </w:rPr>
  </w:style>
  <w:style w:type="paragraph" w:styleId="CommentText">
    <w:name w:val="annotation text"/>
    <w:basedOn w:val="Normal"/>
    <w:link w:val="CommentTextChar"/>
    <w:rsid w:val="00BA079B"/>
    <w:rPr>
      <w:sz w:val="20"/>
      <w:szCs w:val="20"/>
    </w:rPr>
  </w:style>
  <w:style w:type="character" w:customStyle="1" w:styleId="CommentTextChar">
    <w:name w:val="Comment Text Char"/>
    <w:basedOn w:val="DefaultParagraphFont"/>
    <w:link w:val="CommentText"/>
    <w:rsid w:val="00BA079B"/>
    <w:rPr>
      <w:lang w:eastAsia="en-US"/>
    </w:rPr>
  </w:style>
  <w:style w:type="character" w:styleId="UnresolvedMention">
    <w:name w:val="Unresolved Mention"/>
    <w:basedOn w:val="DefaultParagraphFont"/>
    <w:uiPriority w:val="99"/>
    <w:semiHidden/>
    <w:unhideWhenUsed/>
    <w:rsid w:val="0048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128">
      <w:bodyDiv w:val="1"/>
      <w:marLeft w:val="0"/>
      <w:marRight w:val="0"/>
      <w:marTop w:val="0"/>
      <w:marBottom w:val="0"/>
      <w:divBdr>
        <w:top w:val="none" w:sz="0" w:space="0" w:color="auto"/>
        <w:left w:val="none" w:sz="0" w:space="0" w:color="auto"/>
        <w:bottom w:val="none" w:sz="0" w:space="0" w:color="auto"/>
        <w:right w:val="none" w:sz="0" w:space="0" w:color="auto"/>
      </w:divBdr>
    </w:div>
    <w:div w:id="666056525">
      <w:bodyDiv w:val="1"/>
      <w:marLeft w:val="0"/>
      <w:marRight w:val="0"/>
      <w:marTop w:val="0"/>
      <w:marBottom w:val="0"/>
      <w:divBdr>
        <w:top w:val="none" w:sz="0" w:space="0" w:color="auto"/>
        <w:left w:val="none" w:sz="0" w:space="0" w:color="auto"/>
        <w:bottom w:val="none" w:sz="0" w:space="0" w:color="auto"/>
        <w:right w:val="none" w:sz="0" w:space="0" w:color="auto"/>
      </w:divBdr>
    </w:div>
    <w:div w:id="972758152">
      <w:bodyDiv w:val="1"/>
      <w:marLeft w:val="0"/>
      <w:marRight w:val="0"/>
      <w:marTop w:val="0"/>
      <w:marBottom w:val="0"/>
      <w:divBdr>
        <w:top w:val="none" w:sz="0" w:space="0" w:color="auto"/>
        <w:left w:val="none" w:sz="0" w:space="0" w:color="auto"/>
        <w:bottom w:val="none" w:sz="0" w:space="0" w:color="auto"/>
        <w:right w:val="none" w:sz="0" w:space="0" w:color="auto"/>
      </w:divBdr>
    </w:div>
    <w:div w:id="1002321826">
      <w:bodyDiv w:val="1"/>
      <w:marLeft w:val="0"/>
      <w:marRight w:val="0"/>
      <w:marTop w:val="0"/>
      <w:marBottom w:val="0"/>
      <w:divBdr>
        <w:top w:val="none" w:sz="0" w:space="0" w:color="auto"/>
        <w:left w:val="none" w:sz="0" w:space="0" w:color="auto"/>
        <w:bottom w:val="none" w:sz="0" w:space="0" w:color="auto"/>
        <w:right w:val="none" w:sz="0" w:space="0" w:color="auto"/>
      </w:divBdr>
    </w:div>
    <w:div w:id="1610088832">
      <w:bodyDiv w:val="1"/>
      <w:marLeft w:val="0"/>
      <w:marRight w:val="0"/>
      <w:marTop w:val="0"/>
      <w:marBottom w:val="0"/>
      <w:divBdr>
        <w:top w:val="none" w:sz="0" w:space="0" w:color="auto"/>
        <w:left w:val="none" w:sz="0" w:space="0" w:color="auto"/>
        <w:bottom w:val="none" w:sz="0" w:space="0" w:color="auto"/>
        <w:right w:val="none" w:sz="0" w:space="0" w:color="auto"/>
      </w:divBdr>
    </w:div>
    <w:div w:id="1669401068">
      <w:bodyDiv w:val="1"/>
      <w:marLeft w:val="0"/>
      <w:marRight w:val="0"/>
      <w:marTop w:val="0"/>
      <w:marBottom w:val="0"/>
      <w:divBdr>
        <w:top w:val="none" w:sz="0" w:space="0" w:color="auto"/>
        <w:left w:val="none" w:sz="0" w:space="0" w:color="auto"/>
        <w:bottom w:val="none" w:sz="0" w:space="0" w:color="auto"/>
        <w:right w:val="none" w:sz="0" w:space="0" w:color="auto"/>
      </w:divBdr>
    </w:div>
    <w:div w:id="19483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dbc86a0-10f5-41f5-a0c7-cd27eba7d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9904C2A2E4847956E05C267FAD7E4" ma:contentTypeVersion="16" ma:contentTypeDescription="Create a new document." ma:contentTypeScope="" ma:versionID="88d336600b26c5c324a2c0bc6356c8ae">
  <xsd:schema xmlns:xsd="http://www.w3.org/2001/XMLSchema" xmlns:xs="http://www.w3.org/2001/XMLSchema" xmlns:p="http://schemas.microsoft.com/office/2006/metadata/properties" xmlns:ns3="3dbc86a0-10f5-41f5-a0c7-cd27eba7dc9b" xmlns:ns4="75412734-7ba0-4af0-8642-75ea21260fb7" targetNamespace="http://schemas.microsoft.com/office/2006/metadata/properties" ma:root="true" ma:fieldsID="87d5badae5c7cebe1bef27ef5ddd6630" ns3:_="" ns4:_="">
    <xsd:import namespace="3dbc86a0-10f5-41f5-a0c7-cd27eba7dc9b"/>
    <xsd:import namespace="75412734-7ba0-4af0-8642-75ea21260f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86a0-10f5-41f5-a0c7-cd27eba7d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12734-7ba0-4af0-8642-75ea21260f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customXml/itemProps2.xml><?xml version="1.0" encoding="utf-8"?>
<ds:datastoreItem xmlns:ds="http://schemas.openxmlformats.org/officeDocument/2006/customXml" ds:itemID="{715F9528-5E04-4597-8DAC-4F232BDAC798}">
  <ds:schemaRefs>
    <ds:schemaRef ds:uri="http://schemas.microsoft.com/office/2006/metadata/properties"/>
    <ds:schemaRef ds:uri="http://schemas.microsoft.com/office/infopath/2007/PartnerControls"/>
    <ds:schemaRef ds:uri="3dbc86a0-10f5-41f5-a0c7-cd27eba7dc9b"/>
  </ds:schemaRefs>
</ds:datastoreItem>
</file>

<file path=customXml/itemProps3.xml><?xml version="1.0" encoding="utf-8"?>
<ds:datastoreItem xmlns:ds="http://schemas.openxmlformats.org/officeDocument/2006/customXml" ds:itemID="{073DC776-AAC7-4F89-AE96-621DAF3361D2}">
  <ds:schemaRefs>
    <ds:schemaRef ds:uri="http://schemas.microsoft.com/sharepoint/v3/contenttype/forms"/>
  </ds:schemaRefs>
</ds:datastoreItem>
</file>

<file path=customXml/itemProps4.xml><?xml version="1.0" encoding="utf-8"?>
<ds:datastoreItem xmlns:ds="http://schemas.openxmlformats.org/officeDocument/2006/customXml" ds:itemID="{E7345C99-01D9-4ECB-8829-BF79DD31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86a0-10f5-41f5-a0c7-cd27eba7dc9b"/>
    <ds:schemaRef ds:uri="75412734-7ba0-4af0-8642-75ea2126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ca_judg2k.dotm</Template>
  <TotalTime>98</TotalTime>
  <Pages>33</Pages>
  <Words>18277</Words>
  <Characters>89041</Characters>
  <Application>Microsoft Office Word</Application>
  <DocSecurity>0</DocSecurity>
  <Lines>742</Lines>
  <Paragraphs>214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Lee, Richard</dc:creator>
  <cp:keywords/>
  <dc:description/>
  <cp:lastModifiedBy>Lee, Richard | (He/His)</cp:lastModifiedBy>
  <cp:revision>29</cp:revision>
  <dcterms:created xsi:type="dcterms:W3CDTF">2024-06-10T14:55:00Z</dcterms:created>
  <dcterms:modified xsi:type="dcterms:W3CDTF">2024-06-11T16:00:00Z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LEWISON</vt:lpwstr>
  </property>
  <property fmtid="{D5CDD505-2E9C-101B-9397-08002B2CF9AE}" pid="9" name="NCCaseNum">
    <vt:lpwstr>001273</vt:lpwstr>
  </property>
  <property fmtid="{D5CDD505-2E9C-101B-9397-08002B2CF9AE}" pid="10" name="ContentTypeId">
    <vt:lpwstr>0x0101008A89904C2A2E4847956E05C267FAD7E4</vt:lpwstr>
  </property>
  <property fmtid="{D5CDD505-2E9C-101B-9397-08002B2CF9AE}" pid="11" name="NCJudgeDate">
    <vt:lpwstr>12/06/2024</vt:lpwstr>
  </property>
  <property fmtid="{D5CDD505-2E9C-101B-9397-08002B2CF9AE}" pid="12" name="NCNumber">
    <vt:lpwstr>[2024] EWCA Civ 641</vt:lpwstr>
  </property>
</Properties>
</file>